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6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JOSEPHS ROBIN</w:t>
              </w:r>
            </w:hyperlink>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Safehold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00" w:type="dxa"/>
            <w:vAlign w:val="bottom"/>
            <w:tcBorders>
              <w:bottom w:val="single" w:sz="8" w:color="0000EE"/>
            </w:tcBorders>
            <w:gridSpan w:val="2"/>
            <w:vMerge w:val="continue"/>
          </w:tcPr>
          <w:p>
            <w:pPr>
              <w:spacing w:after="0"/>
              <w:rPr>
                <w:sz w:val="5"/>
                <w:szCs w:val="5"/>
                <w:color w:val="auto"/>
              </w:rPr>
            </w:pPr>
          </w:p>
        </w:tc>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20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6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40" w:type="dxa"/>
            <w:vAlign w:val="bottom"/>
            <w:tcBorders>
              <w:top w:val="single" w:sz="8" w:color="EEEEEE"/>
            </w:tcBorders>
            <w:vMerge w:val="restart"/>
          </w:tcPr>
          <w:p>
            <w:pPr>
              <w:ind w:left="8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01/15/2025</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1114 AVENUE OF THE AMERICAS, 39TH FLR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01/15/2025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309</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39,356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9"/>
              <w:spacing w:after="0"/>
              <w:rPr>
                <w:sz w:val="20"/>
                <w:szCs w:val="20"/>
                <w:color w:val="auto"/>
              </w:rPr>
            </w:pPr>
            <w:r>
              <w:rPr>
                <w:rFonts w:ascii="Times New Roman" w:cs="Times New Roman" w:eastAsia="Times New Roman" w:hAnsi="Times New Roman"/>
                <w:sz w:val="17"/>
                <w:szCs w:val="17"/>
                <w:color w:val="0000FF"/>
                <w:w w:val="99"/>
              </w:rPr>
              <w:t>3,107</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104,263</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Trusts</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0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15, 2025, the Reporting Person acquired 309 Common Stock Equivalents (CSEs) in accordance with the provisions of the Non-Employee Directors' Deferral Plan (Plan). Under the Plan, as dividends are declared and paid on Safehold Inc. common stock, the Reporting Person's holdings of outstanding CSEs are credited with additional CSEs based on the amount of the dividend and the value of a share of Safehold Inc. Common Stock on the dividend date. Each CSE is convertible on a one-for-one basis into shares of Safehold Inc. common stock.</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Austin Lee, as Attorney-in- </w:t>
      </w:r>
      <w:r>
        <w:rPr>
          <w:rFonts w:ascii="Times New Roman" w:cs="Times New Roman" w:eastAsia="Times New Roman" w:hAnsi="Times New Roman"/>
          <w:sz w:val="33"/>
          <w:szCs w:val="33"/>
          <w:color w:val="0000FF"/>
          <w:vertAlign w:val="subscript"/>
        </w:rPr>
        <w:t>01/17/2025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Robin Josephs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11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2801"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2025-01-17T05:36:54Z</dcterms:created>
  <dcterms:modified xsi:type="dcterms:W3CDTF">2025-01-17T05:36:54Z</dcterms:modified>
</cp:coreProperties>
</file>