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180" w:space="28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GIC Private Ltd</w:t>
              </w:r>
            </w:hyperlink>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10"/>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Safehold Inc. /MD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SAFE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6"/>
            <w:vMerge w:val="continue"/>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4"/>
            <w:vMerge w:val="continue"/>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60" w:type="dxa"/>
            <w:vAlign w:val="bottom"/>
          </w:tcPr>
          <w:p>
            <w:pPr>
              <w:spacing w:after="0"/>
              <w:rPr>
                <w:sz w:val="2"/>
                <w:szCs w:val="2"/>
                <w:color w:val="auto"/>
              </w:rPr>
            </w:pPr>
          </w:p>
        </w:tc>
        <w:tc>
          <w:tcPr>
            <w:tcW w:w="1640" w:type="dxa"/>
            <w:vAlign w:val="bottom"/>
            <w:gridSpan w:val="5"/>
            <w:vMerge w:val="restart"/>
          </w:tcPr>
          <w:p>
            <w:pPr>
              <w:ind w:left="3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16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40" w:type="dxa"/>
            <w:vAlign w:val="bottom"/>
            <w:gridSpan w:val="5"/>
            <w:vMerge w:val="restart"/>
          </w:tcPr>
          <w:p>
            <w:pPr>
              <w:ind w:left="3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4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15"/>
                <w:szCs w:val="15"/>
                <w:color w:val="auto"/>
              </w:rPr>
            </w:pPr>
          </w:p>
        </w:tc>
        <w:tc>
          <w:tcPr>
            <w:tcW w:w="1320" w:type="dxa"/>
            <w:vAlign w:val="bottom"/>
            <w:gridSpan w:val="4"/>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5"/>
                <w:szCs w:val="15"/>
                <w:color w:val="auto"/>
              </w:rPr>
            </w:pPr>
          </w:p>
        </w:tc>
        <w:tc>
          <w:tcPr>
            <w:tcW w:w="880" w:type="dxa"/>
            <w:vAlign w:val="bottom"/>
            <w:gridSpan w:val="2"/>
          </w:tcPr>
          <w:p>
            <w:pPr>
              <w:ind w:left="38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168 ROBINSON ROAD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03/31/2023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#37-01 CAPITAL TOWER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11"/>
            <w:vMerge w:val="continue"/>
          </w:tcPr>
          <w:p>
            <w:pPr>
              <w:spacing w:after="0"/>
              <w:rPr>
                <w:sz w:val="10"/>
                <w:szCs w:val="10"/>
                <w:color w:val="auto"/>
              </w:rPr>
            </w:pPr>
          </w:p>
        </w:tc>
        <w:tc>
          <w:tcPr>
            <w:tcW w:w="340" w:type="dxa"/>
            <w:vAlign w:val="bottom"/>
          </w:tcPr>
          <w:p>
            <w:pPr>
              <w:spacing w:after="0"/>
              <w:rPr>
                <w:sz w:val="10"/>
                <w:szCs w:val="10"/>
                <w:color w:val="auto"/>
              </w:rPr>
            </w:pPr>
          </w:p>
        </w:tc>
        <w:tc>
          <w:tcPr>
            <w:tcW w:w="342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200" w:type="dxa"/>
            <w:vAlign w:val="bottom"/>
            <w:tcBorders>
              <w:bottom w:val="single" w:sz="8" w:color="9A9A9A"/>
            </w:tcBorders>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90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5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500" w:type="dxa"/>
            <w:vAlign w:val="bottom"/>
            <w:gridSpan w:val="4"/>
            <w:vMerge w:val="continue"/>
          </w:tcPr>
          <w:p>
            <w:pPr>
              <w:spacing w:after="0"/>
              <w:rPr>
                <w:sz w:val="10"/>
                <w:szCs w:val="10"/>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SINGAPORE</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U0</w:t>
            </w: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068912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20" w:type="dxa"/>
            <w:vAlign w:val="bottom"/>
            <w:gridSpan w:val="8"/>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3"/>
          </w:tcPr>
          <w:p>
            <w:pPr>
              <w:spacing w:after="0"/>
              <w:rPr>
                <w:sz w:val="10"/>
                <w:szCs w:val="10"/>
                <w:color w:val="auto"/>
              </w:rPr>
            </w:pPr>
          </w:p>
        </w:tc>
        <w:tc>
          <w:tcPr>
            <w:tcW w:w="21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25"/>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ind w:left="32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2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26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9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2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8"/>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44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4"/>
            <w:vMerge w:val="restart"/>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4"/>
            <w:vMerge w:val="continue"/>
          </w:tcPr>
          <w:p>
            <w:pPr>
              <w:spacing w:after="0"/>
              <w:rPr>
                <w:sz w:val="8"/>
                <w:szCs w:val="8"/>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240" w:type="dxa"/>
            <w:vAlign w:val="bottom"/>
            <w:gridSpan w:val="4"/>
            <w:vMerge w:val="restart"/>
          </w:tcPr>
          <w:p>
            <w:pPr>
              <w:ind w:left="420"/>
              <w:spacing w:after="0"/>
              <w:rPr>
                <w:sz w:val="20"/>
                <w:szCs w:val="20"/>
                <w:color w:val="auto"/>
              </w:rPr>
            </w:pPr>
            <w:r>
              <w:rPr>
                <w:rFonts w:ascii="Times New Roman" w:cs="Times New Roman" w:eastAsia="Times New Roman" w:hAnsi="Times New Roman"/>
                <w:sz w:val="17"/>
                <w:szCs w:val="17"/>
                <w:color w:val="0000FF"/>
              </w:rPr>
              <w:t>03/31/2023</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(1)</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2,123,435</w:t>
            </w: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vMerge w:val="restart"/>
          </w:tcPr>
          <w:p>
            <w:pPr>
              <w:jc w:val="right"/>
              <w:ind w:right="113"/>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0</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8"/>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240" w:type="dxa"/>
            <w:vAlign w:val="bottom"/>
            <w:tcBorders>
              <w:top w:val="single" w:sz="8" w:color="2C2C2C"/>
            </w:tcBorders>
            <w:gridSpan w:val="4"/>
            <w:vMerge w:val="restart"/>
          </w:tcPr>
          <w:p>
            <w:pPr>
              <w:ind w:left="420"/>
              <w:spacing w:after="0"/>
              <w:rPr>
                <w:sz w:val="20"/>
                <w:szCs w:val="20"/>
                <w:color w:val="auto"/>
              </w:rPr>
            </w:pPr>
            <w:r>
              <w:rPr>
                <w:rFonts w:ascii="Times New Roman" w:cs="Times New Roman" w:eastAsia="Times New Roman" w:hAnsi="Times New Roman"/>
                <w:sz w:val="17"/>
                <w:szCs w:val="17"/>
                <w:color w:val="0000FF"/>
              </w:rPr>
              <w:t>03/21/2023</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gridSpan w:val="2"/>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(1)</w:t>
            </w:r>
          </w:p>
        </w:tc>
        <w:tc>
          <w:tcPr>
            <w:tcW w:w="88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17"/>
                <w:szCs w:val="17"/>
                <w:color w:val="0000FF"/>
              </w:rPr>
              <w:t>2,125,000</w:t>
            </w:r>
          </w:p>
        </w:tc>
        <w:tc>
          <w:tcPr>
            <w:tcW w:w="46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top w:val="single" w:sz="8" w:color="2C2C2C"/>
            </w:tcBorders>
            <w:gridSpan w:val="2"/>
            <w:vMerge w:val="restart"/>
          </w:tcPr>
          <w:p>
            <w:pPr>
              <w:jc w:val="right"/>
              <w:ind w:right="113"/>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80"/>
              <w:spacing w:after="0"/>
              <w:rPr>
                <w:sz w:val="20"/>
                <w:szCs w:val="20"/>
                <w:color w:val="auto"/>
              </w:rPr>
            </w:pPr>
            <w:r>
              <w:rPr>
                <w:rFonts w:ascii="Times New Roman" w:cs="Times New Roman" w:eastAsia="Times New Roman" w:hAnsi="Times New Roman"/>
                <w:sz w:val="17"/>
                <w:szCs w:val="17"/>
                <w:color w:val="0000FF"/>
              </w:rPr>
              <w:t>0</w:t>
            </w:r>
          </w:p>
        </w:tc>
        <w:tc>
          <w:tcPr>
            <w:tcW w:w="4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gridSpan w:val="2"/>
            <w:vMerge w:val="continue"/>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60" w:type="dxa"/>
            <w:vAlign w:val="bottom"/>
            <w:gridSpan w:val="2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60" w:type="dxa"/>
            <w:vAlign w:val="bottom"/>
            <w:gridSpan w:val="1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60" w:type="dxa"/>
            <w:vAlign w:val="bottom"/>
          </w:tcPr>
          <w:p>
            <w:pPr>
              <w:spacing w:after="0"/>
              <w:rPr>
                <w:sz w:val="11"/>
                <w:szCs w:val="11"/>
                <w:color w:val="auto"/>
              </w:rPr>
            </w:pP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3"/>
          </w:tcPr>
          <w:p>
            <w:pPr>
              <w:spacing w:after="0"/>
              <w:rPr>
                <w:sz w:val="7"/>
                <w:szCs w:val="7"/>
                <w:color w:val="auto"/>
              </w:rPr>
            </w:pPr>
          </w:p>
        </w:tc>
        <w:tc>
          <w:tcPr>
            <w:tcW w:w="102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GIC Private Ltd</w:t>
              </w:r>
            </w:hyperlink>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168 ROBINSON ROAD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#37-01 CAPITAL TOWER</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SINGAPORE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U0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068912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3"/>
          </w:tcPr>
          <w:p>
            <w:pPr>
              <w:spacing w:after="0"/>
              <w:rPr>
                <w:sz w:val="7"/>
                <w:szCs w:val="7"/>
                <w:color w:val="auto"/>
              </w:rPr>
            </w:pPr>
          </w:p>
        </w:tc>
        <w:tc>
          <w:tcPr>
            <w:tcW w:w="102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GIC Real Estate Private Ltd</w:t>
              </w:r>
            </w:hyperlink>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GIC PRIVATE LIMITED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168 ROBINSON ROAD, #37-01 CAPITAL TOWER</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SINGAPORE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U0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068912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GIC Real Estate, Inc.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 BUSH STREET, SUITE 1000</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SFTY Venture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GIC REAL ESTATE,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280 PARK AVENUE, 9TH FLOOR</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-2970530</wp:posOffset>
            </wp:positionV>
            <wp:extent cx="2809240" cy="3050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305054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4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2023, iStar Inc. ("iStar") acquired the Issuer pursuant to the terms that certain Agreement and Plan of Merger, dated as of August 10, 2022 (the "Merger Agreement"), entered into by and among the Issuer and iStar. Pursuant to the Merger Agreement, the Issuer merged with and into iStar, with iStar surviving the merger (the "Merger") and changing its name to "Safehold Inc." Pursuant to the terms of the Merger Agreement, each Issuer share of common stock outstanding immediately prior to the effective time of the Merger (other than certain excluded shares) automatically converted into the right to receive one newly issued share of iStar common stock.</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GIC Private Limited.</w:t>
      </w:r>
    </w:p>
    <w:p>
      <w:pPr>
        <w:spacing w:after="0" w:line="50"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GIC Real Estate, Inc., the investment manager for SFTY Venture LLC, has the power to vote and dispose of such shares. GIC Real Estate, Inc. shares such powers with GIC Real Estate Private Limited and GIC Private Limited. Each of the Reporting Persons disclaims beneficial ownership of these shares, except to the extent of its pecuniary interest therein, if any.</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SFTY Venture LLC.</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80"/>
          </w:cols>
          <w:pgMar w:left="480" w:top="125" w:right="539" w:bottom="1440" w:gutter="0" w:footer="0" w:header="0"/>
        </w:sectPr>
      </w:pPr>
    </w:p>
    <w:p>
      <w:pPr>
        <w:spacing w:after="0" w:line="1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GIC PRIVATE LIMITED,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48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Glien Tan Cheng Chuan,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3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236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Glien Tan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706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Chuan,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02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Director; By: /s/ Toh Tze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42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Meng, Name: Toh Tze Meng,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55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47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GIC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20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PRIVATE LIMITED,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3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Chan Hoe Yin, Name: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69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Hoe Yin, 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28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528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GIC REAL ESTATE,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192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Kristin Leung,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0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Kristin Leung,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036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9036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01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SFTY VENTURE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592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Kristin Leung,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3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Kristin Leung,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036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9036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01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00" w:space="60"/>
            <w:col w:w="2120"/>
          </w:cols>
          <w:pgMar w:left="480" w:top="125" w:right="53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25"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12" Type="http://schemas.openxmlformats.org/officeDocument/2006/relationships/hyperlink" Target="http://www.sec.gov/cgi-bin/browse-edgar?action=getcompany&amp;CIK=0000936828" TargetMode="External"/><Relationship Id="rId13" Type="http://schemas.openxmlformats.org/officeDocument/2006/relationships/hyperlink" Target="http://www.sec.gov/cgi-bin/browse-edgar?action=getcompany&amp;CIK=0001688852" TargetMode="External"/><Relationship Id="rId14" Type="http://schemas.openxmlformats.org/officeDocument/2006/relationships/hyperlink" Target="http://www.sec.gov/cgi-bin/browse-edgar?action=getcompany&amp;CIK=0001709755" TargetMode="External"/><Relationship Id="rId16" Type="http://schemas.openxmlformats.org/officeDocument/2006/relationships/hyperlink" Target="http://www.sec.gov/cgi-bin/browse-edgar?action=getcompany&amp;CIK=0001709752" TargetMode="External"/><Relationship Id="rId17" Type="http://schemas.openxmlformats.org/officeDocument/2006/relationships/hyperlink" Target="http://www.sec.gov/cgi-bin/browse-edgar?action=getcompany&amp;CIK=00017096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2023-04-04T17:30:04Z</dcterms:created>
  <dcterms:modified xsi:type="dcterms:W3CDTF">2023-04-04T17:30:04Z</dcterms:modified>
</cp:coreProperties>
</file>