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22"/>
          <w:szCs w:val="22"/>
          <w:color w:val="0000EE"/>
        </w:rPr>
      </w:pPr>
      <w:hyperlink w:anchor="page12">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June 15, 2017</w:t>
      </w:r>
    </w:p>
    <w:p>
      <w:pPr>
        <w:spacing w:after="0" w:line="20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Statement No. 333-217224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128905</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4</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S-11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143510</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REGISTRATION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UNDER</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THE SECURITIES ACT OF 1933 OF SECURITIES</w:t>
      </w:r>
    </w:p>
    <w:p>
      <w:pPr>
        <w:jc w:val="center"/>
        <w:spacing w:after="0"/>
        <w:rPr>
          <w:sz w:val="20"/>
          <w:szCs w:val="20"/>
          <w:color w:val="auto"/>
        </w:rPr>
      </w:pPr>
      <w:r>
        <w:rPr>
          <w:rFonts w:ascii="Times New Roman" w:cs="Times New Roman" w:eastAsia="Times New Roman" w:hAnsi="Times New Roman"/>
          <w:sz w:val="14"/>
          <w:szCs w:val="14"/>
          <w:b w:val="1"/>
          <w:bCs w:val="1"/>
          <w:color w:val="auto"/>
        </w:rPr>
        <w:t>OF CERTAIN REAL ESTATE COMPANIES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128905</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Safety, Income and Growth,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governing instruments)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128905</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1114 Avenue of the Americas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New York, New York 10036</w:t>
      </w:r>
    </w:p>
    <w:p>
      <w:pPr>
        <w:jc w:val="center"/>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Jay Sugarman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Safety, Income and Growth, Inc.</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Chief Executive Officer</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1114 Avenue of the Americas</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New York, New York 10036</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Tel (212) 930-9400</w:t>
      </w:r>
    </w:p>
    <w:p>
      <w:pPr>
        <w:jc w:val="center"/>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186" w:lineRule="exact"/>
        <w:rPr>
          <w:sz w:val="24"/>
          <w:szCs w:val="24"/>
          <w:color w:val="auto"/>
        </w:rPr>
      </w:pPr>
    </w:p>
    <w:tbl>
      <w:tblPr>
        <w:tblLayout w:type="fixed"/>
        <w:tblInd w:w="1900" w:type="dxa"/>
        <w:tblCellMar>
          <w:top w:w="0" w:type="dxa"/>
          <w:left w:w="0" w:type="dxa"/>
          <w:bottom w:w="0" w:type="dxa"/>
          <w:right w:w="0" w:type="dxa"/>
        </w:tblCellMar>
      </w:tblPr>
      <w:tr>
        <w:trPr>
          <w:trHeight w:val="178"/>
        </w:trPr>
        <w:tc>
          <w:tcPr>
            <w:tcW w:w="2760" w:type="dxa"/>
            <w:vAlign w:val="bottom"/>
          </w:tcPr>
          <w:p>
            <w:pPr>
              <w:spacing w:after="0"/>
              <w:rPr>
                <w:sz w:val="15"/>
                <w:szCs w:val="15"/>
                <w:color w:val="auto"/>
              </w:rPr>
            </w:pPr>
          </w:p>
        </w:tc>
        <w:tc>
          <w:tcPr>
            <w:tcW w:w="506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Copies to:</w:t>
            </w:r>
          </w:p>
        </w:tc>
      </w:tr>
      <w:tr>
        <w:trPr>
          <w:trHeight w:val="362"/>
        </w:trPr>
        <w:tc>
          <w:tcPr>
            <w:tcW w:w="2760" w:type="dxa"/>
            <w:vAlign w:val="bottom"/>
          </w:tcPr>
          <w:p>
            <w:pPr>
              <w:jc w:val="center"/>
              <w:ind w:right="1112"/>
              <w:spacing w:after="0"/>
              <w:rPr>
                <w:sz w:val="20"/>
                <w:szCs w:val="20"/>
                <w:color w:val="auto"/>
              </w:rPr>
            </w:pPr>
            <w:r>
              <w:rPr>
                <w:rFonts w:ascii="Times New Roman" w:cs="Times New Roman" w:eastAsia="Times New Roman" w:hAnsi="Times New Roman"/>
                <w:sz w:val="14"/>
                <w:szCs w:val="14"/>
                <w:b w:val="1"/>
                <w:bCs w:val="1"/>
                <w:color w:val="auto"/>
                <w:w w:val="94"/>
              </w:rPr>
              <w:t>Kathleen L. Werner, Esq.</w:t>
            </w:r>
          </w:p>
        </w:tc>
        <w:tc>
          <w:tcPr>
            <w:tcW w:w="2100" w:type="dxa"/>
            <w:vAlign w:val="bottom"/>
          </w:tcPr>
          <w:p>
            <w:pPr>
              <w:spacing w:after="0"/>
              <w:rPr>
                <w:sz w:val="24"/>
                <w:szCs w:val="24"/>
                <w:color w:val="auto"/>
              </w:rPr>
            </w:pPr>
          </w:p>
        </w:tc>
        <w:tc>
          <w:tcPr>
            <w:tcW w:w="2960" w:type="dxa"/>
            <w:vAlign w:val="bottom"/>
          </w:tcPr>
          <w:p>
            <w:pPr>
              <w:jc w:val="center"/>
              <w:ind w:left="932"/>
              <w:spacing w:after="0"/>
              <w:rPr>
                <w:sz w:val="20"/>
                <w:szCs w:val="20"/>
                <w:color w:val="auto"/>
              </w:rPr>
            </w:pPr>
            <w:r>
              <w:rPr>
                <w:rFonts w:ascii="Times New Roman" w:cs="Times New Roman" w:eastAsia="Times New Roman" w:hAnsi="Times New Roman"/>
                <w:sz w:val="14"/>
                <w:szCs w:val="14"/>
                <w:b w:val="1"/>
                <w:bCs w:val="1"/>
                <w:color w:val="auto"/>
                <w:w w:val="93"/>
              </w:rPr>
              <w:t>Edward F. Petrosky, Esq.</w:t>
            </w:r>
          </w:p>
        </w:tc>
      </w:tr>
      <w:tr>
        <w:trPr>
          <w:trHeight w:val="149"/>
        </w:trPr>
        <w:tc>
          <w:tcPr>
            <w:tcW w:w="2760" w:type="dxa"/>
            <w:vAlign w:val="bottom"/>
          </w:tcPr>
          <w:p>
            <w:pPr>
              <w:jc w:val="center"/>
              <w:ind w:right="1112"/>
              <w:spacing w:after="0" w:line="149" w:lineRule="exact"/>
              <w:rPr>
                <w:sz w:val="20"/>
                <w:szCs w:val="20"/>
                <w:color w:val="auto"/>
              </w:rPr>
            </w:pPr>
            <w:r>
              <w:rPr>
                <w:rFonts w:ascii="Times New Roman" w:cs="Times New Roman" w:eastAsia="Times New Roman" w:hAnsi="Times New Roman"/>
                <w:sz w:val="14"/>
                <w:szCs w:val="14"/>
                <w:b w:val="1"/>
                <w:bCs w:val="1"/>
                <w:color w:val="auto"/>
                <w:w w:val="95"/>
              </w:rPr>
              <w:t>Clifford Chance US LLP</w:t>
            </w:r>
          </w:p>
        </w:tc>
        <w:tc>
          <w:tcPr>
            <w:tcW w:w="2100" w:type="dxa"/>
            <w:vAlign w:val="bottom"/>
          </w:tcPr>
          <w:p>
            <w:pPr>
              <w:spacing w:after="0"/>
              <w:rPr>
                <w:sz w:val="12"/>
                <w:szCs w:val="12"/>
                <w:color w:val="auto"/>
              </w:rPr>
            </w:pPr>
          </w:p>
        </w:tc>
        <w:tc>
          <w:tcPr>
            <w:tcW w:w="2960" w:type="dxa"/>
            <w:vAlign w:val="bottom"/>
          </w:tcPr>
          <w:p>
            <w:pPr>
              <w:jc w:val="center"/>
              <w:ind w:left="932"/>
              <w:spacing w:after="0" w:line="149" w:lineRule="exact"/>
              <w:rPr>
                <w:sz w:val="20"/>
                <w:szCs w:val="20"/>
                <w:color w:val="auto"/>
              </w:rPr>
            </w:pPr>
            <w:r>
              <w:rPr>
                <w:rFonts w:ascii="Times New Roman" w:cs="Times New Roman" w:eastAsia="Times New Roman" w:hAnsi="Times New Roman"/>
                <w:sz w:val="14"/>
                <w:szCs w:val="14"/>
                <w:b w:val="1"/>
                <w:bCs w:val="1"/>
                <w:color w:val="auto"/>
                <w:w w:val="95"/>
              </w:rPr>
              <w:t>Bartholomew A. Sheehan III, Esq.</w:t>
            </w:r>
          </w:p>
        </w:tc>
      </w:tr>
      <w:tr>
        <w:trPr>
          <w:trHeight w:val="149"/>
        </w:trPr>
        <w:tc>
          <w:tcPr>
            <w:tcW w:w="2760" w:type="dxa"/>
            <w:vAlign w:val="bottom"/>
          </w:tcPr>
          <w:p>
            <w:pPr>
              <w:jc w:val="center"/>
              <w:ind w:right="1112"/>
              <w:spacing w:after="0" w:line="149" w:lineRule="exact"/>
              <w:rPr>
                <w:sz w:val="20"/>
                <w:szCs w:val="20"/>
                <w:color w:val="auto"/>
              </w:rPr>
            </w:pPr>
            <w:r>
              <w:rPr>
                <w:rFonts w:ascii="Times New Roman" w:cs="Times New Roman" w:eastAsia="Times New Roman" w:hAnsi="Times New Roman"/>
                <w:sz w:val="14"/>
                <w:szCs w:val="14"/>
                <w:b w:val="1"/>
                <w:bCs w:val="1"/>
                <w:color w:val="auto"/>
                <w:w w:val="94"/>
              </w:rPr>
              <w:t>31 West 52nd Street</w:t>
            </w:r>
          </w:p>
        </w:tc>
        <w:tc>
          <w:tcPr>
            <w:tcW w:w="2100" w:type="dxa"/>
            <w:vAlign w:val="bottom"/>
          </w:tcPr>
          <w:p>
            <w:pPr>
              <w:spacing w:after="0"/>
              <w:rPr>
                <w:sz w:val="12"/>
                <w:szCs w:val="12"/>
                <w:color w:val="auto"/>
              </w:rPr>
            </w:pPr>
          </w:p>
        </w:tc>
        <w:tc>
          <w:tcPr>
            <w:tcW w:w="2960" w:type="dxa"/>
            <w:vAlign w:val="bottom"/>
          </w:tcPr>
          <w:p>
            <w:pPr>
              <w:jc w:val="center"/>
              <w:ind w:left="932"/>
              <w:spacing w:after="0" w:line="149" w:lineRule="exact"/>
              <w:rPr>
                <w:sz w:val="20"/>
                <w:szCs w:val="20"/>
                <w:color w:val="auto"/>
              </w:rPr>
            </w:pPr>
            <w:r>
              <w:rPr>
                <w:rFonts w:ascii="Times New Roman" w:cs="Times New Roman" w:eastAsia="Times New Roman" w:hAnsi="Times New Roman"/>
                <w:sz w:val="14"/>
                <w:szCs w:val="14"/>
                <w:b w:val="1"/>
                <w:bCs w:val="1"/>
                <w:color w:val="auto"/>
                <w:w w:val="97"/>
              </w:rPr>
              <w:t>Sidley Austin LLP</w:t>
            </w:r>
          </w:p>
        </w:tc>
      </w:tr>
      <w:tr>
        <w:trPr>
          <w:trHeight w:val="149"/>
        </w:trPr>
        <w:tc>
          <w:tcPr>
            <w:tcW w:w="2760" w:type="dxa"/>
            <w:vAlign w:val="bottom"/>
          </w:tcPr>
          <w:p>
            <w:pPr>
              <w:jc w:val="center"/>
              <w:ind w:right="1112"/>
              <w:spacing w:after="0" w:line="149" w:lineRule="exact"/>
              <w:rPr>
                <w:sz w:val="20"/>
                <w:szCs w:val="20"/>
                <w:color w:val="auto"/>
              </w:rPr>
            </w:pPr>
            <w:r>
              <w:rPr>
                <w:rFonts w:ascii="Times New Roman" w:cs="Times New Roman" w:eastAsia="Times New Roman" w:hAnsi="Times New Roman"/>
                <w:sz w:val="14"/>
                <w:szCs w:val="14"/>
                <w:b w:val="1"/>
                <w:bCs w:val="1"/>
                <w:color w:val="auto"/>
                <w:w w:val="94"/>
              </w:rPr>
              <w:t>New York, New York 10019</w:t>
            </w:r>
          </w:p>
        </w:tc>
        <w:tc>
          <w:tcPr>
            <w:tcW w:w="2100" w:type="dxa"/>
            <w:vAlign w:val="bottom"/>
          </w:tcPr>
          <w:p>
            <w:pPr>
              <w:spacing w:after="0"/>
              <w:rPr>
                <w:sz w:val="12"/>
                <w:szCs w:val="12"/>
                <w:color w:val="auto"/>
              </w:rPr>
            </w:pPr>
          </w:p>
        </w:tc>
        <w:tc>
          <w:tcPr>
            <w:tcW w:w="2960" w:type="dxa"/>
            <w:vAlign w:val="bottom"/>
          </w:tcPr>
          <w:p>
            <w:pPr>
              <w:jc w:val="center"/>
              <w:ind w:left="932"/>
              <w:spacing w:after="0" w:line="149" w:lineRule="exact"/>
              <w:rPr>
                <w:sz w:val="20"/>
                <w:szCs w:val="20"/>
                <w:color w:val="auto"/>
              </w:rPr>
            </w:pPr>
            <w:r>
              <w:rPr>
                <w:rFonts w:ascii="Times New Roman" w:cs="Times New Roman" w:eastAsia="Times New Roman" w:hAnsi="Times New Roman"/>
                <w:sz w:val="14"/>
                <w:szCs w:val="14"/>
                <w:b w:val="1"/>
                <w:bCs w:val="1"/>
                <w:color w:val="auto"/>
                <w:w w:val="96"/>
              </w:rPr>
              <w:t>787 Seventh Avenue</w:t>
            </w:r>
          </w:p>
        </w:tc>
      </w:tr>
      <w:tr>
        <w:trPr>
          <w:trHeight w:val="149"/>
        </w:trPr>
        <w:tc>
          <w:tcPr>
            <w:tcW w:w="2760" w:type="dxa"/>
            <w:vAlign w:val="bottom"/>
          </w:tcPr>
          <w:p>
            <w:pPr>
              <w:jc w:val="center"/>
              <w:ind w:right="1112"/>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Tel (212) 878-8000</w:t>
            </w:r>
          </w:p>
        </w:tc>
        <w:tc>
          <w:tcPr>
            <w:tcW w:w="2100" w:type="dxa"/>
            <w:vAlign w:val="bottom"/>
          </w:tcPr>
          <w:p>
            <w:pPr>
              <w:spacing w:after="0"/>
              <w:rPr>
                <w:sz w:val="12"/>
                <w:szCs w:val="12"/>
                <w:color w:val="auto"/>
              </w:rPr>
            </w:pPr>
          </w:p>
        </w:tc>
        <w:tc>
          <w:tcPr>
            <w:tcW w:w="2960" w:type="dxa"/>
            <w:vAlign w:val="bottom"/>
          </w:tcPr>
          <w:p>
            <w:pPr>
              <w:jc w:val="center"/>
              <w:ind w:left="932"/>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New York, New York 10019</w:t>
            </w:r>
          </w:p>
        </w:tc>
      </w:tr>
      <w:tr>
        <w:trPr>
          <w:trHeight w:val="149"/>
        </w:trPr>
        <w:tc>
          <w:tcPr>
            <w:tcW w:w="2760" w:type="dxa"/>
            <w:vAlign w:val="bottom"/>
          </w:tcPr>
          <w:p>
            <w:pPr>
              <w:jc w:val="center"/>
              <w:ind w:right="1112"/>
              <w:spacing w:after="0" w:line="149" w:lineRule="exact"/>
              <w:rPr>
                <w:sz w:val="20"/>
                <w:szCs w:val="20"/>
                <w:color w:val="auto"/>
              </w:rPr>
            </w:pPr>
            <w:r>
              <w:rPr>
                <w:rFonts w:ascii="Times New Roman" w:cs="Times New Roman" w:eastAsia="Times New Roman" w:hAnsi="Times New Roman"/>
                <w:sz w:val="14"/>
                <w:szCs w:val="14"/>
                <w:b w:val="1"/>
                <w:bCs w:val="1"/>
                <w:color w:val="auto"/>
                <w:w w:val="96"/>
              </w:rPr>
              <w:t>Fax (212) 878-8375</w:t>
            </w:r>
          </w:p>
        </w:tc>
        <w:tc>
          <w:tcPr>
            <w:tcW w:w="2100" w:type="dxa"/>
            <w:vAlign w:val="bottom"/>
          </w:tcPr>
          <w:p>
            <w:pPr>
              <w:spacing w:after="0"/>
              <w:rPr>
                <w:sz w:val="12"/>
                <w:szCs w:val="12"/>
                <w:color w:val="auto"/>
              </w:rPr>
            </w:pPr>
          </w:p>
        </w:tc>
        <w:tc>
          <w:tcPr>
            <w:tcW w:w="2960" w:type="dxa"/>
            <w:vAlign w:val="bottom"/>
          </w:tcPr>
          <w:p>
            <w:pPr>
              <w:jc w:val="center"/>
              <w:ind w:left="932"/>
              <w:spacing w:after="0" w:line="149" w:lineRule="exact"/>
              <w:rPr>
                <w:sz w:val="20"/>
                <w:szCs w:val="20"/>
                <w:color w:val="auto"/>
              </w:rPr>
            </w:pPr>
            <w:r>
              <w:rPr>
                <w:rFonts w:ascii="Times New Roman" w:cs="Times New Roman" w:eastAsia="Times New Roman" w:hAnsi="Times New Roman"/>
                <w:sz w:val="14"/>
                <w:szCs w:val="14"/>
                <w:b w:val="1"/>
                <w:bCs w:val="1"/>
                <w:color w:val="auto"/>
                <w:w w:val="94"/>
              </w:rPr>
              <w:t>Tel (212) 839-5300</w:t>
            </w:r>
          </w:p>
        </w:tc>
      </w:tr>
      <w:tr>
        <w:trPr>
          <w:trHeight w:val="178"/>
        </w:trPr>
        <w:tc>
          <w:tcPr>
            <w:tcW w:w="27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960" w:type="dxa"/>
            <w:vAlign w:val="bottom"/>
          </w:tcPr>
          <w:p>
            <w:pPr>
              <w:jc w:val="center"/>
              <w:ind w:left="932"/>
              <w:spacing w:after="0"/>
              <w:rPr>
                <w:sz w:val="20"/>
                <w:szCs w:val="20"/>
                <w:color w:val="auto"/>
              </w:rPr>
            </w:pPr>
            <w:r>
              <w:rPr>
                <w:rFonts w:ascii="Times New Roman" w:cs="Times New Roman" w:eastAsia="Times New Roman" w:hAnsi="Times New Roman"/>
                <w:sz w:val="14"/>
                <w:szCs w:val="14"/>
                <w:b w:val="1"/>
                <w:bCs w:val="1"/>
                <w:color w:val="auto"/>
                <w:w w:val="95"/>
              </w:rPr>
              <w:t>Fax (212) 839-5599</w:t>
            </w:r>
          </w:p>
        </w:tc>
      </w:tr>
      <w:tr>
        <w:trPr>
          <w:trHeight w:val="203"/>
        </w:trPr>
        <w:tc>
          <w:tcPr>
            <w:tcW w:w="2760" w:type="dxa"/>
            <w:vAlign w:val="bottom"/>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2960" w:type="dxa"/>
            <w:vAlign w:val="bottom"/>
          </w:tcPr>
          <w:p>
            <w:pPr>
              <w:spacing w:after="0"/>
              <w:rPr>
                <w:sz w:val="17"/>
                <w:szCs w:val="17"/>
                <w:color w:val="auto"/>
              </w:rPr>
            </w:pPr>
          </w:p>
        </w:tc>
      </w:tr>
    </w:tbl>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soon as practicable after the effective date of this registration statement.</w:t>
      </w:r>
    </w:p>
    <w:p>
      <w:pPr>
        <w:spacing w:after="0" w:line="190" w:lineRule="exact"/>
        <w:rPr>
          <w:sz w:val="24"/>
          <w:szCs w:val="24"/>
          <w:color w:val="auto"/>
        </w:rPr>
      </w:pPr>
    </w:p>
    <w:p>
      <w:pPr>
        <w:ind w:left="720"/>
        <w:spacing w:after="0"/>
        <w:tabs>
          <w:tab w:leader="none" w:pos="10320" w:val="left"/>
        </w:tabs>
        <w:rPr>
          <w:sz w:val="20"/>
          <w:szCs w:val="20"/>
          <w:color w:val="auto"/>
        </w:rPr>
      </w:pPr>
      <w:r>
        <w:rPr>
          <w:rFonts w:ascii="Times New Roman" w:cs="Times New Roman" w:eastAsia="Times New Roman" w:hAnsi="Times New Roman"/>
          <w:sz w:val="12"/>
          <w:szCs w:val="12"/>
          <w:color w:val="auto"/>
        </w:rPr>
        <w:t>If any of the Securities being registered on this Form are to be offered on a delayed or continuous basis pursuant to Rule 415 under the Securities Act, check the following box:</w:t>
        <w:tab/>
        <w:t>o</w:t>
      </w:r>
    </w:p>
    <w:p>
      <w:pPr>
        <w:spacing w:after="0" w:line="227" w:lineRule="exact"/>
        <w:rPr>
          <w:sz w:val="24"/>
          <w:szCs w:val="24"/>
          <w:color w:val="auto"/>
        </w:rPr>
      </w:pPr>
    </w:p>
    <w:p>
      <w:pPr>
        <w:ind w:right="40" w:firstLine="709"/>
        <w:spacing w:after="0" w:line="241" w:lineRule="auto"/>
        <w:rPr>
          <w:sz w:val="20"/>
          <w:szCs w:val="20"/>
          <w:color w:val="auto"/>
        </w:rPr>
      </w:pPr>
      <w:r>
        <w:rPr>
          <w:rFonts w:ascii="Times New Roman" w:cs="Times New Roman" w:eastAsia="Times New Roman" w:hAnsi="Times New Roman"/>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90" w:lineRule="exact"/>
        <w:rPr>
          <w:sz w:val="24"/>
          <w:szCs w:val="24"/>
          <w:color w:val="auto"/>
        </w:rPr>
      </w:pPr>
    </w:p>
    <w:p>
      <w:pPr>
        <w:ind w:right="300" w:firstLine="709"/>
        <w:spacing w:after="0" w:line="241" w:lineRule="auto"/>
        <w:rPr>
          <w:sz w:val="20"/>
          <w:szCs w:val="20"/>
          <w:color w:val="auto"/>
        </w:rPr>
      </w:pPr>
      <w:r>
        <w:rPr>
          <w:rFonts w:ascii="Times New Roman" w:cs="Times New Roman" w:eastAsia="Times New Roman" w:hAnsi="Times New Roman"/>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0" w:lineRule="exact"/>
        <w:rPr>
          <w:sz w:val="24"/>
          <w:szCs w:val="24"/>
          <w:color w:val="auto"/>
        </w:rPr>
      </w:pPr>
    </w:p>
    <w:p>
      <w:pPr>
        <w:ind w:right="300" w:firstLine="709"/>
        <w:spacing w:after="0" w:line="241" w:lineRule="auto"/>
        <w:rPr>
          <w:sz w:val="20"/>
          <w:szCs w:val="20"/>
          <w:color w:val="auto"/>
        </w:rPr>
      </w:pPr>
      <w:r>
        <w:rPr>
          <w:rFonts w:ascii="Times New Roman" w:cs="Times New Roman" w:eastAsia="Times New Roman" w:hAnsi="Times New Roman"/>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90" w:lineRule="exact"/>
        <w:rPr>
          <w:sz w:val="24"/>
          <w:szCs w:val="24"/>
          <w:color w:val="auto"/>
        </w:rPr>
      </w:pPr>
    </w:p>
    <w:p>
      <w:pPr>
        <w:ind w:left="720"/>
        <w:spacing w:after="0"/>
        <w:tabs>
          <w:tab w:leader="none" w:pos="6200" w:val="left"/>
        </w:tabs>
        <w:rPr>
          <w:sz w:val="20"/>
          <w:szCs w:val="20"/>
          <w:color w:val="auto"/>
        </w:rPr>
      </w:pPr>
      <w:r>
        <w:rPr>
          <w:rFonts w:ascii="Times New Roman" w:cs="Times New Roman" w:eastAsia="Times New Roman" w:hAnsi="Times New Roman"/>
          <w:sz w:val="14"/>
          <w:szCs w:val="14"/>
          <w:color w:val="auto"/>
        </w:rPr>
        <w:t>If delivery of the prospectus is expected to be made pursuant to Rule 434, check the following box.</w:t>
      </w:r>
      <w:r>
        <w:rPr>
          <w:sz w:val="20"/>
          <w:szCs w:val="20"/>
          <w:color w:val="auto"/>
        </w:rPr>
        <w:tab/>
      </w:r>
      <w:r>
        <w:rPr>
          <w:rFonts w:ascii="Times New Roman" w:cs="Times New Roman" w:eastAsia="Times New Roman" w:hAnsi="Times New Roman"/>
          <w:sz w:val="12"/>
          <w:szCs w:val="12"/>
          <w:color w:val="auto"/>
        </w:rPr>
        <w:t>o</w:t>
      </w:r>
    </w:p>
    <w:p>
      <w:pPr>
        <w:spacing w:after="0" w:line="204" w:lineRule="exact"/>
        <w:rPr>
          <w:sz w:val="24"/>
          <w:szCs w:val="24"/>
          <w:color w:val="auto"/>
        </w:rPr>
      </w:pPr>
    </w:p>
    <w:p>
      <w:pPr>
        <w:ind w:right="80" w:firstLine="709"/>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63" w:right="239" w:bottom="0" w:gutter="0" w:footer="0" w:header="0"/>
        </w:sectPr>
      </w:pPr>
    </w:p>
    <w:p>
      <w:pPr>
        <w:spacing w:after="0" w:line="19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auto"/>
        </w:rPr>
        <w:t>Large accelerated filer o</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152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12"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4"/>
          <w:szCs w:val="14"/>
          <w:color w:val="auto"/>
        </w:rPr>
        <w:t>(Do not check if a</w:t>
      </w:r>
    </w:p>
    <w:p>
      <w:pPr>
        <w:jc w:val="center"/>
        <w:ind w:right="1520"/>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Smaller reporting company o</w:t>
      </w:r>
    </w:p>
    <w:p>
      <w:pPr>
        <w:spacing w:after="0" w:line="25"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348" w:lineRule="exact"/>
        <w:rPr>
          <w:sz w:val="24"/>
          <w:szCs w:val="24"/>
          <w:color w:val="auto"/>
        </w:rPr>
      </w:pPr>
    </w:p>
    <w:p>
      <w:pPr>
        <w:sectPr>
          <w:pgSz w:w="11900" w:h="16838" w:orient="portrait"/>
          <w:cols w:equalWidth="0" w:num="4">
            <w:col w:w="2060" w:space="720"/>
            <w:col w:w="2100" w:space="720"/>
            <w:col w:w="3020" w:space="720"/>
            <w:col w:w="2080"/>
          </w:cols>
          <w:pgMar w:left="240" w:top="463" w:right="239" w:bottom="0" w:gutter="0" w:footer="0" w:header="0"/>
          <w:type w:val="continuous"/>
        </w:sectPr>
      </w:pPr>
    </w:p>
    <w:p>
      <w:pPr>
        <w:spacing w:after="0" w:line="13" w:lineRule="exact"/>
        <w:rPr>
          <w:sz w:val="24"/>
          <w:szCs w:val="24"/>
          <w:color w:val="auto"/>
        </w:rPr>
      </w:pPr>
    </w:p>
    <w:p>
      <w:pPr>
        <w:ind w:right="140" w:firstLine="709"/>
        <w:spacing w:after="0" w:line="16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CALCULATION OF REGISTRATION FEE</w:t>
      </w:r>
    </w:p>
    <w:p>
      <w:pPr>
        <w:sectPr>
          <w:pgSz w:w="11900" w:h="16838" w:orient="portrait"/>
          <w:cols w:equalWidth="0" w:num="1">
            <w:col w:w="11420"/>
          </w:cols>
          <w:pgMar w:left="240" w:top="463"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6960" w:type="dxa"/>
            <w:vAlign w:val="bottom"/>
            <w:tcBorders>
              <w:top w:val="single" w:sz="8" w:color="auto"/>
              <w:bottom w:val="single" w:sz="8" w:color="auto"/>
            </w:tcBorders>
          </w:tcPr>
          <w:p>
            <w:pPr>
              <w:spacing w:after="0"/>
              <w:rPr>
                <w:sz w:val="3"/>
                <w:szCs w:val="3"/>
                <w:color w:val="auto"/>
              </w:rPr>
            </w:pPr>
          </w:p>
        </w:tc>
        <w:tc>
          <w:tcPr>
            <w:tcW w:w="3100" w:type="dxa"/>
            <w:vAlign w:val="bottom"/>
            <w:tcBorders>
              <w:top w:val="single" w:sz="8" w:color="auto"/>
              <w:bottom w:val="single" w:sz="8" w:color="auto"/>
            </w:tcBorders>
          </w:tcPr>
          <w:p>
            <w:pPr>
              <w:spacing w:after="0"/>
              <w:rPr>
                <w:sz w:val="3"/>
                <w:szCs w:val="3"/>
                <w:color w:val="auto"/>
              </w:rPr>
            </w:pPr>
          </w:p>
        </w:tc>
        <w:tc>
          <w:tcPr>
            <w:tcW w:w="1340" w:type="dxa"/>
            <w:vAlign w:val="bottom"/>
            <w:tcBorders>
              <w:top w:val="single" w:sz="8" w:color="auto"/>
              <w:bottom w:val="single" w:sz="8" w:color="auto"/>
            </w:tcBorders>
          </w:tcPr>
          <w:p>
            <w:pPr>
              <w:spacing w:after="0"/>
              <w:rPr>
                <w:sz w:val="3"/>
                <w:szCs w:val="3"/>
                <w:color w:val="auto"/>
              </w:rPr>
            </w:pPr>
          </w:p>
        </w:tc>
      </w:tr>
      <w:tr>
        <w:trPr>
          <w:trHeight w:val="112"/>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3100" w:type="dxa"/>
            <w:vAlign w:val="bottom"/>
          </w:tcPr>
          <w:p>
            <w:pPr>
              <w:jc w:val="center"/>
              <w:ind w:left="1514"/>
              <w:spacing w:after="0" w:line="113" w:lineRule="exact"/>
              <w:rPr>
                <w:sz w:val="20"/>
                <w:szCs w:val="20"/>
                <w:color w:val="auto"/>
              </w:rPr>
            </w:pPr>
            <w:r>
              <w:rPr>
                <w:rFonts w:ascii="Times New Roman" w:cs="Times New Roman" w:eastAsia="Times New Roman" w:hAnsi="Times New Roman"/>
                <w:sz w:val="12"/>
                <w:szCs w:val="12"/>
                <w:b w:val="1"/>
                <w:bCs w:val="1"/>
                <w:color w:val="auto"/>
              </w:rPr>
              <w:t>Proposed maximum</w:t>
            </w:r>
          </w:p>
        </w:tc>
        <w:tc>
          <w:tcPr>
            <w:tcW w:w="1340" w:type="dxa"/>
            <w:vAlign w:val="bottom"/>
          </w:tcPr>
          <w:p>
            <w:pPr>
              <w:spacing w:after="0"/>
              <w:rPr>
                <w:sz w:val="9"/>
                <w:szCs w:val="9"/>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3100" w:type="dxa"/>
            <w:vAlign w:val="bottom"/>
          </w:tcPr>
          <w:p>
            <w:pPr>
              <w:jc w:val="center"/>
              <w:ind w:left="1494"/>
              <w:spacing w:after="0" w:line="149" w:lineRule="exact"/>
              <w:rPr>
                <w:sz w:val="20"/>
                <w:szCs w:val="20"/>
                <w:color w:val="auto"/>
              </w:rPr>
            </w:pPr>
            <w:r>
              <w:rPr>
                <w:rFonts w:ascii="Times New Roman" w:cs="Times New Roman" w:eastAsia="Times New Roman" w:hAnsi="Times New Roman"/>
                <w:sz w:val="14"/>
                <w:szCs w:val="14"/>
                <w:b w:val="1"/>
                <w:bCs w:val="1"/>
                <w:color w:val="auto"/>
                <w:w w:val="96"/>
              </w:rPr>
              <w:t>aggregate offering</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r>
      <w:tr>
        <w:trPr>
          <w:trHeight w:val="186"/>
        </w:trPr>
        <w:tc>
          <w:tcPr>
            <w:tcW w:w="20" w:type="dxa"/>
            <w:vAlign w:val="bottom"/>
          </w:tcPr>
          <w:p>
            <w:pPr>
              <w:spacing w:after="0"/>
              <w:rPr>
                <w:sz w:val="16"/>
                <w:szCs w:val="16"/>
                <w:color w:val="auto"/>
              </w:rPr>
            </w:pPr>
          </w:p>
        </w:tc>
        <w:tc>
          <w:tcPr>
            <w:tcW w:w="6960" w:type="dxa"/>
            <w:vAlign w:val="bottom"/>
            <w:tcBorders>
              <w:bottom w:val="single" w:sz="8" w:color="auto"/>
            </w:tcBorders>
          </w:tcPr>
          <w:p>
            <w:pPr>
              <w:ind w:left="3280"/>
              <w:spacing w:after="0"/>
              <w:rPr>
                <w:sz w:val="20"/>
                <w:szCs w:val="20"/>
                <w:color w:val="auto"/>
              </w:rPr>
            </w:pPr>
            <w:r>
              <w:rPr>
                <w:rFonts w:ascii="Times New Roman" w:cs="Times New Roman" w:eastAsia="Times New Roman" w:hAnsi="Times New Roman"/>
                <w:sz w:val="14"/>
                <w:szCs w:val="14"/>
                <w:b w:val="1"/>
                <w:bCs w:val="1"/>
                <w:color w:val="auto"/>
              </w:rPr>
              <w:t>Title of securities to be registered</w:t>
            </w:r>
          </w:p>
        </w:tc>
        <w:tc>
          <w:tcPr>
            <w:tcW w:w="3100" w:type="dxa"/>
            <w:vAlign w:val="bottom"/>
            <w:tcBorders>
              <w:bottom w:val="single" w:sz="8" w:color="auto"/>
            </w:tcBorders>
          </w:tcPr>
          <w:p>
            <w:pPr>
              <w:jc w:val="center"/>
              <w:ind w:left="1494"/>
              <w:spacing w:after="0"/>
              <w:rPr>
                <w:sz w:val="20"/>
                <w:szCs w:val="20"/>
                <w:color w:val="auto"/>
              </w:rPr>
            </w:pPr>
            <w:r>
              <w:rPr>
                <w:rFonts w:ascii="Times New Roman" w:cs="Times New Roman" w:eastAsia="Times New Roman" w:hAnsi="Times New Roman"/>
                <w:sz w:val="14"/>
                <w:szCs w:val="14"/>
                <w:b w:val="1"/>
                <w:bCs w:val="1"/>
                <w:color w:val="auto"/>
                <w:w w:val="98"/>
              </w:rPr>
              <w:t>price(1)(2)</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registration fee(3)</w:t>
            </w:r>
          </w:p>
        </w:tc>
      </w:tr>
      <w:tr>
        <w:trPr>
          <w:trHeight w:val="175"/>
        </w:trPr>
        <w:tc>
          <w:tcPr>
            <w:tcW w:w="20" w:type="dxa"/>
            <w:vAlign w:val="bottom"/>
            <w:tcBorders>
              <w:bottom w:val="single" w:sz="8" w:color="auto"/>
            </w:tcBorders>
          </w:tcPr>
          <w:p>
            <w:pPr>
              <w:spacing w:after="0"/>
              <w:rPr>
                <w:sz w:val="15"/>
                <w:szCs w:val="15"/>
                <w:color w:val="auto"/>
              </w:rPr>
            </w:pPr>
          </w:p>
        </w:tc>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31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color w:val="auto"/>
              </w:rPr>
              <w:t>$235,750,000</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$27,323.43</w:t>
            </w:r>
          </w:p>
        </w:tc>
      </w:tr>
      <w:tr>
        <w:trPr>
          <w:trHeight w:val="20"/>
        </w:trPr>
        <w:tc>
          <w:tcPr>
            <w:tcW w:w="20" w:type="dxa"/>
            <w:vAlign w:val="bottom"/>
          </w:tcPr>
          <w:p>
            <w:pPr>
              <w:spacing w:after="0" w:line="20" w:lineRule="exact"/>
              <w:rPr>
                <w:sz w:val="1"/>
                <w:szCs w:val="1"/>
                <w:color w:val="auto"/>
              </w:rPr>
            </w:pPr>
          </w:p>
        </w:tc>
        <w:tc>
          <w:tcPr>
            <w:tcW w:w="696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540" w:hanging="532"/>
        <w:spacing w:after="0"/>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registration fee pursuant to Rule 457(o) under the Securities Act of 1933, as amended.</w:t>
      </w:r>
    </w:p>
    <w:p>
      <w:pPr>
        <w:spacing w:after="0" w:line="122" w:lineRule="exact"/>
        <w:rPr>
          <w:rFonts w:ascii="Times New Roman" w:cs="Times New Roman" w:eastAsia="Times New Roman" w:hAnsi="Times New Roman"/>
          <w:sz w:val="14"/>
          <w:szCs w:val="14"/>
          <w:color w:val="auto"/>
        </w:rPr>
      </w:pPr>
    </w:p>
    <w:p>
      <w:pPr>
        <w:ind w:left="540" w:hanging="532"/>
        <w:spacing w:after="0"/>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offering price of common stock that may be sold if the option to purchase additional shares granted by the Registrant to the underwriters is exercised in full.</w:t>
      </w:r>
    </w:p>
    <w:p>
      <w:pPr>
        <w:spacing w:after="0" w:line="122" w:lineRule="exact"/>
        <w:rPr>
          <w:rFonts w:ascii="Times New Roman" w:cs="Times New Roman" w:eastAsia="Times New Roman" w:hAnsi="Times New Roman"/>
          <w:sz w:val="14"/>
          <w:szCs w:val="14"/>
          <w:color w:val="auto"/>
        </w:rPr>
      </w:pPr>
    </w:p>
    <w:p>
      <w:pPr>
        <w:ind w:left="540" w:hanging="532"/>
        <w:spacing w:after="0"/>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pursuant to Rule 457(o) based on an estimate of the proposed maximum aggregate offering price. Fee has been previously paid.</w:t>
      </w:r>
    </w:p>
    <w:p>
      <w:pPr>
        <w:spacing w:after="0" w:line="200" w:lineRule="exact"/>
        <w:rPr>
          <w:sz w:val="20"/>
          <w:szCs w:val="20"/>
          <w:color w:val="auto"/>
        </w:rPr>
      </w:pPr>
    </w:p>
    <w:p>
      <w:pPr>
        <w:ind w:right="40" w:firstLine="709"/>
        <w:spacing w:after="0" w:line="236" w:lineRule="auto"/>
        <w:rPr>
          <w:sz w:val="20"/>
          <w:szCs w:val="20"/>
          <w:color w:val="auto"/>
        </w:rPr>
      </w:pPr>
      <w:r>
        <w:rPr>
          <w:rFonts w:ascii="Times New Roman" w:cs="Times New Roman" w:eastAsia="Times New Roman" w:hAnsi="Times New Roman"/>
          <w:sz w:val="14"/>
          <w:szCs w:val="14"/>
          <w:b w:val="1"/>
          <w:bCs w:val="1"/>
          <w:color w:val="auto"/>
        </w:rPr>
        <w:t xml:space="preserve">The Registrant hereby amends this Registration Statement on such date or dates as may be necessary to delay its effective date </w:t>
      </w:r>
      <w:r>
        <w:rPr>
          <w:rFonts w:ascii="Times New Roman" w:cs="Times New Roman" w:eastAsia="Times New Roman" w:hAnsi="Times New Roman"/>
          <w:sz w:val="14"/>
          <w:szCs w:val="14"/>
          <w:color w:val="auto"/>
        </w:rPr>
        <w:t>until</w:t>
      </w:r>
      <w:r>
        <w:rPr>
          <w:rFonts w:ascii="Times New Roman" w:cs="Times New Roman" w:eastAsia="Times New Roman" w:hAnsi="Times New Roman"/>
          <w:sz w:val="14"/>
          <w:szCs w:val="14"/>
          <w:b w:val="1"/>
          <w:bCs w:val="1"/>
          <w:color w:val="auto"/>
        </w:rPr>
        <w:t xml:space="preserve">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318135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487680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5" w:right="23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7" w:lineRule="exact"/>
        <w:rPr>
          <w:sz w:val="20"/>
          <w:szCs w:val="20"/>
          <w:color w:val="auto"/>
        </w:rPr>
      </w:pPr>
    </w:p>
    <w:p>
      <w:pPr>
        <w:jc w:val="both"/>
        <w:ind w:firstLine="615"/>
        <w:spacing w:after="0" w:line="258" w:lineRule="auto"/>
        <w:rPr>
          <w:sz w:val="20"/>
          <w:szCs w:val="20"/>
          <w:color w:val="auto"/>
        </w:rPr>
      </w:pPr>
      <w:r>
        <w:rPr>
          <w:rFonts w:ascii="Times New Roman" w:cs="Times New Roman" w:eastAsia="Times New Roman" w:hAnsi="Times New Roman"/>
          <w:sz w:val="18"/>
          <w:szCs w:val="18"/>
          <w:color w:val="auto"/>
        </w:rPr>
        <w:t>Safety, Income and Growth, Inc. is filing this Amendment No. 4 (the "Amendment") to its Registration Statement on Form S-11 (Registration No. 333-217224) (the "Registration Statement") as an exhibit-only filing. Accordingly, this Amendment consists only of the facing page, this explanatory note, Part II of the Registration Statement, the signature page to the Registration Statement and the filed exhibits. The preliminary prospectus is unchanged and has therefore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339" w:right="4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1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31.</w:t>
      </w:r>
      <w:r>
        <w:rPr>
          <w:sz w:val="20"/>
          <w:szCs w:val="20"/>
          <w:color w:val="auto"/>
        </w:rPr>
        <w:tab/>
      </w:r>
      <w:r>
        <w:rPr>
          <w:rFonts w:ascii="Times New Roman" w:cs="Times New Roman" w:eastAsia="Times New Roman" w:hAnsi="Times New Roman"/>
          <w:sz w:val="16"/>
          <w:szCs w:val="16"/>
          <w:b w:val="1"/>
          <w:bCs w:val="1"/>
          <w:color w:val="auto"/>
        </w:rPr>
        <w:t>Other expenses of issuance and distribution.</w:t>
      </w:r>
    </w:p>
    <w:p>
      <w:pPr>
        <w:spacing w:after="0" w:line="227" w:lineRule="exact"/>
        <w:rPr>
          <w:sz w:val="20"/>
          <w:szCs w:val="20"/>
          <w:color w:val="auto"/>
        </w:rPr>
      </w:pPr>
    </w:p>
    <w:p>
      <w:pPr>
        <w:ind w:right="240" w:firstLine="611"/>
        <w:spacing w:after="0" w:line="275" w:lineRule="auto"/>
        <w:rPr>
          <w:sz w:val="20"/>
          <w:szCs w:val="20"/>
          <w:color w:val="auto"/>
        </w:rPr>
      </w:pPr>
      <w:r>
        <w:rPr>
          <w:rFonts w:ascii="Times New Roman" w:cs="Times New Roman" w:eastAsia="Times New Roman" w:hAnsi="Times New Roman"/>
          <w:sz w:val="18"/>
          <w:szCs w:val="18"/>
          <w:color w:val="auto"/>
        </w:rPr>
        <w:t>The following table shows the fees and expenses, other than underwriting discounts and commissions, to be paid by us in connection with the sale and distribution of the securities being registered hereby. All amounts except the SEC registration fee are estimated.</w:t>
      </w:r>
    </w:p>
    <w:p>
      <w:pPr>
        <w:spacing w:after="0" w:line="18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27,323.43</w:t>
            </w: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Industry Regulatory Authority, Inc. filing fee</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35,862.50</w:t>
            </w: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Stock Exchange listing fee</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150,000.00</w:t>
            </w: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fees and expenses (including Blue Sky fees)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2,500,000.00</w:t>
            </w: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2,000,000.00</w:t>
            </w: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250,000.00</w:t>
            </w: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fees and expenses</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15,000.00</w:t>
            </w: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5,671,814.07</w:t>
            </w:r>
          </w:p>
        </w:tc>
      </w:tr>
      <w:tr>
        <w:trPr>
          <w:trHeight w:val="20"/>
        </w:trPr>
        <w:tc>
          <w:tcPr>
            <w:tcW w:w="2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10,650,000.00</w:t>
            </w:r>
            <w:r>
              <w:rPr>
                <w:rFonts w:ascii="Times New Roman" w:cs="Times New Roman" w:eastAsia="Times New Roman" w:hAnsi="Times New Roman"/>
                <w:sz w:val="18"/>
                <w:szCs w:val="18"/>
                <w:b w:val="1"/>
                <w:bCs w:val="1"/>
                <w:color w:val="auto"/>
              </w:rPr>
              <w:t>*</w:t>
            </w:r>
          </w:p>
        </w:tc>
      </w:tr>
      <w:tr>
        <w:trPr>
          <w:trHeight w:val="20"/>
        </w:trPr>
        <w:tc>
          <w:tcPr>
            <w:tcW w:w="2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500" w:type="dxa"/>
            <w:vAlign w:val="bottom"/>
            <w:tcBorders>
              <w:bottom w:val="single" w:sz="8" w:color="auto"/>
            </w:tcBorders>
          </w:tcPr>
          <w:p>
            <w:pPr>
              <w:spacing w:after="0"/>
              <w:rPr>
                <w:sz w:val="7"/>
                <w:szCs w:val="7"/>
                <w:color w:val="auto"/>
              </w:rPr>
            </w:pPr>
          </w:p>
        </w:tc>
        <w:tc>
          <w:tcPr>
            <w:tcW w:w="27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15" w:lineRule="exact"/>
        <w:rPr>
          <w:sz w:val="20"/>
          <w:szCs w:val="20"/>
          <w:color w:val="auto"/>
        </w:rPr>
      </w:pPr>
    </w:p>
    <w:p>
      <w:pPr>
        <w:ind w:left="2260" w:right="40" w:hanging="540"/>
        <w:spacing w:after="0" w:line="258" w:lineRule="auto"/>
        <w:tabs>
          <w:tab w:leader="none" w:pos="2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iStar has agreed to pay the underwriting discounts and commissions payable to the underwriters in connection with the offering to which this registration statement relates, our other expenses incurred in connection with such offering and our expenses incurred in connection with the concurrent iStar placement as described in the prospectus forming a part of this registration statement, in an aggregate amount not to exceed $25 million.</w:t>
      </w:r>
    </w:p>
    <w:p>
      <w:pPr>
        <w:spacing w:after="0" w:line="18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32.</w:t>
      </w:r>
      <w:r>
        <w:rPr>
          <w:sz w:val="20"/>
          <w:szCs w:val="20"/>
          <w:color w:val="auto"/>
        </w:rPr>
        <w:tab/>
      </w:r>
      <w:r>
        <w:rPr>
          <w:rFonts w:ascii="Times New Roman" w:cs="Times New Roman" w:eastAsia="Times New Roman" w:hAnsi="Times New Roman"/>
          <w:sz w:val="16"/>
          <w:szCs w:val="16"/>
          <w:b w:val="1"/>
          <w:bCs w:val="1"/>
          <w:color w:val="auto"/>
        </w:rPr>
        <w:t>Sales to Special Parties.</w:t>
      </w: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33.</w:t>
      </w:r>
      <w:r>
        <w:rPr>
          <w:sz w:val="20"/>
          <w:szCs w:val="20"/>
          <w:color w:val="auto"/>
        </w:rPr>
        <w:tab/>
      </w:r>
      <w:r>
        <w:rPr>
          <w:rFonts w:ascii="Times New Roman" w:cs="Times New Roman" w:eastAsia="Times New Roman" w:hAnsi="Times New Roman"/>
          <w:sz w:val="16"/>
          <w:szCs w:val="16"/>
          <w:b w:val="1"/>
          <w:bCs w:val="1"/>
          <w:color w:val="auto"/>
        </w:rPr>
        <w:t>Recent sales of unregistered securities.</w:t>
      </w:r>
    </w:p>
    <w:p>
      <w:pPr>
        <w:spacing w:after="0" w:line="227" w:lineRule="exact"/>
        <w:rPr>
          <w:sz w:val="20"/>
          <w:szCs w:val="20"/>
          <w:color w:val="auto"/>
        </w:rPr>
      </w:pPr>
    </w:p>
    <w:p>
      <w:pPr>
        <w:ind w:right="240" w:firstLine="615"/>
        <w:spacing w:after="0" w:line="310" w:lineRule="auto"/>
        <w:rPr>
          <w:sz w:val="20"/>
          <w:szCs w:val="20"/>
          <w:color w:val="auto"/>
        </w:rPr>
      </w:pPr>
      <w:r>
        <w:rPr>
          <w:rFonts w:ascii="Times New Roman" w:cs="Times New Roman" w:eastAsia="Times New Roman" w:hAnsi="Times New Roman"/>
          <w:sz w:val="16"/>
          <w:szCs w:val="16"/>
          <w:color w:val="auto"/>
        </w:rPr>
        <w:t>On April 14, 2017, we issued 2,775,000 shares of our common stock to iStar for an aggregate purchase price of $55.5 million, 2,125,000 shares of our common stock to GICRE for an aggregate purchase price of $42.5 million and 750,000 shares of our common stock to LA for an aggregate purchase price of $15 million. All of the foregoing issuances were exempt from the registration requirements of the Securities Act pursuant to Section 4(a)(2) thereof.</w:t>
      </w:r>
    </w:p>
    <w:p>
      <w:pPr>
        <w:spacing w:after="0" w:line="151" w:lineRule="exact"/>
        <w:rPr>
          <w:sz w:val="20"/>
          <w:szCs w:val="20"/>
          <w:color w:val="auto"/>
        </w:rPr>
      </w:pPr>
    </w:p>
    <w:p>
      <w:pPr>
        <w:ind w:firstLine="615"/>
        <w:spacing w:after="0" w:line="258" w:lineRule="auto"/>
        <w:rPr>
          <w:sz w:val="20"/>
          <w:szCs w:val="20"/>
          <w:color w:val="auto"/>
        </w:rPr>
      </w:pPr>
      <w:r>
        <w:rPr>
          <w:rFonts w:ascii="Times New Roman" w:cs="Times New Roman" w:eastAsia="Times New Roman" w:hAnsi="Times New Roman"/>
          <w:sz w:val="18"/>
          <w:szCs w:val="18"/>
          <w:color w:val="auto"/>
        </w:rPr>
        <w:t>Concurrently with the completion of this offering, iStar will purchase shares of our common stock having an aggregate value of $45.0 million, equivalent to 2,250,000 shares of our common stock based on the mid-point of the initial public offering price range set forth on the cover page of the prospectus constituting part of this registration statement, at a price per share equal to the initial public offering price in the offering to which the prospectus relates. The foregoing issuance will be exempt from the registration requirements of the Securities Act pursuant to Section 4(a)(2) thereof.</w:t>
      </w:r>
    </w:p>
    <w:p>
      <w:pPr>
        <w:spacing w:after="0" w:line="18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34.</w:t>
      </w:r>
      <w:r>
        <w:rPr>
          <w:sz w:val="20"/>
          <w:szCs w:val="20"/>
          <w:color w:val="auto"/>
        </w:rPr>
        <w:tab/>
      </w:r>
      <w:r>
        <w:rPr>
          <w:rFonts w:ascii="Times New Roman" w:cs="Times New Roman" w:eastAsia="Times New Roman" w:hAnsi="Times New Roman"/>
          <w:sz w:val="16"/>
          <w:szCs w:val="16"/>
          <w:b w:val="1"/>
          <w:bCs w:val="1"/>
          <w:color w:val="auto"/>
        </w:rPr>
        <w:t>Indemnification and limitation of directors' and executive officers' liability.</w:t>
      </w:r>
    </w:p>
    <w:p>
      <w:pPr>
        <w:spacing w:after="0" w:line="227" w:lineRule="exact"/>
        <w:rPr>
          <w:sz w:val="20"/>
          <w:szCs w:val="20"/>
          <w:color w:val="auto"/>
        </w:rPr>
      </w:pPr>
    </w:p>
    <w:p>
      <w:pPr>
        <w:ind w:right="140" w:firstLine="615"/>
        <w:spacing w:after="0" w:line="289" w:lineRule="auto"/>
        <w:rPr>
          <w:sz w:val="20"/>
          <w:szCs w:val="20"/>
          <w:color w:val="auto"/>
        </w:rPr>
      </w:pPr>
      <w:r>
        <w:rPr>
          <w:rFonts w:ascii="Times New Roman" w:cs="Times New Roman" w:eastAsia="Times New Roman" w:hAnsi="Times New Roman"/>
          <w:sz w:val="16"/>
          <w:szCs w:val="16"/>
          <w:color w:val="auto"/>
        </w:rPr>
        <w:t>Maryland law permits a Maryland corporation to include in its charter a provision eliminating the liability of its directors and officers to the corporation and its stockholders for money damages except for liability resulting from (1) actual receipt of an improper benefit or profit in money, property or services or</w:t>
      </w:r>
    </w:p>
    <w:p>
      <w:pPr>
        <w:spacing w:after="0" w:line="1" w:lineRule="exact"/>
        <w:rPr>
          <w:sz w:val="20"/>
          <w:szCs w:val="20"/>
          <w:color w:val="auto"/>
        </w:rPr>
      </w:pPr>
    </w:p>
    <w:p>
      <w:pPr>
        <w:ind w:right="620" w:firstLine="8"/>
        <w:spacing w:after="0" w:line="261" w:lineRule="auto"/>
        <w:tabs>
          <w:tab w:leader="none" w:pos="24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and deliberate dishonesty that was established by a final judgment and was material to the cause of action. Our charter contains a provision that eliminates the liability of our directors and executive officers to the maximum extent permitted by Maryland law.</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4" w:name="page5"/>
    <w:bookmarkEnd w:id="4"/>
    <w:p>
      <w:pPr>
        <w:ind w:right="80" w:firstLine="611"/>
        <w:spacing w:after="0" w:line="256" w:lineRule="auto"/>
        <w:rPr>
          <w:sz w:val="20"/>
          <w:szCs w:val="20"/>
          <w:color w:val="auto"/>
        </w:rPr>
      </w:pPr>
      <w:r>
        <w:rPr>
          <w:rFonts w:ascii="Times New Roman" w:cs="Times New Roman" w:eastAsia="Times New Roman" w:hAnsi="Times New Roman"/>
          <w:sz w:val="18"/>
          <w:szCs w:val="18"/>
          <w:color w:val="auto"/>
        </w:rPr>
        <w:t>The MGCL requires us (unless our charter provides otherwise, which our charter does not) to indemnify a director or executive officer who has been successful, on the merits or otherwise, in the defense of any proceeding to which he or she is made a party by reason of his or her service in that capacity. The MGCL permits us to indemnify our present and former directors and executive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w:t>
      </w:r>
    </w:p>
    <w:p>
      <w:pPr>
        <w:spacing w:after="0" w:line="206" w:lineRule="exact"/>
        <w:rPr>
          <w:sz w:val="20"/>
          <w:szCs w:val="20"/>
          <w:color w:val="auto"/>
        </w:rPr>
      </w:pPr>
    </w:p>
    <w:p>
      <w:pPr>
        <w:ind w:left="1080" w:right="100" w:hanging="532"/>
        <w:spacing w:after="0" w:line="275"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or omission of the director or executive officer was material to the matter giving rise to the proceeding and (1) was committed in bad faith or (2) was the result of active and deliberate dishonesty;</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executive officer actually received an improper personal benefit in money, property or services;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criminal proceeding, the director or executive officer had reasonable cause to believe that the act or omission was unlawful.</w:t>
      </w:r>
    </w:p>
    <w:p>
      <w:pPr>
        <w:spacing w:after="0" w:line="225" w:lineRule="exact"/>
        <w:rPr>
          <w:sz w:val="20"/>
          <w:szCs w:val="20"/>
          <w:color w:val="auto"/>
        </w:rPr>
      </w:pPr>
    </w:p>
    <w:p>
      <w:pPr>
        <w:ind w:right="40" w:firstLine="615"/>
        <w:spacing w:after="0" w:line="296" w:lineRule="auto"/>
        <w:rPr>
          <w:sz w:val="20"/>
          <w:szCs w:val="20"/>
          <w:color w:val="auto"/>
        </w:rPr>
      </w:pPr>
      <w:r>
        <w:rPr>
          <w:rFonts w:ascii="Times New Roman" w:cs="Times New Roman" w:eastAsia="Times New Roman" w:hAnsi="Times New Roman"/>
          <w:sz w:val="16"/>
          <w:szCs w:val="16"/>
          <w:color w:val="auto"/>
        </w:rPr>
        <w:t>However, under the MGCL, we may not indemnify a director or officer in a suit by us or in our right in which the director or officer was adjudged liable to us or in a suit in which the director or officer was adjudged liable on the basis that personal benefit was improperly received.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 However, indemnification for an adverse judgment in a suit by us or in our right, or for a judgment of liability on the basis that personal benefit was improperly received, is limited to expenses.</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In addition, the MGCL permits us to advance reasonable expenses to a director or officer upon our receipt of:</w:t>
      </w:r>
    </w:p>
    <w:p>
      <w:pPr>
        <w:spacing w:after="0" w:line="239" w:lineRule="exact"/>
        <w:rPr>
          <w:sz w:val="20"/>
          <w:szCs w:val="20"/>
          <w:color w:val="auto"/>
        </w:rPr>
      </w:pPr>
    </w:p>
    <w:p>
      <w:pPr>
        <w:ind w:left="1080" w:right="760" w:hanging="532"/>
        <w:spacing w:after="0" w:line="275"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affirmation by the director or officer of his or her good faith belief that he or she has met the standard of conduct necessary for indemnification by us; and</w:t>
      </w:r>
    </w:p>
    <w:p>
      <w:pPr>
        <w:spacing w:after="0" w:line="200"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undertaking by the director or officer or on the director's or officer's behalf to repay the amount paid or reimbursed by the corporation if it is ultimately determined that the director or officer did not meet the standard of conduct.</w:t>
      </w:r>
    </w:p>
    <w:p>
      <w:pPr>
        <w:spacing w:after="0" w:line="174" w:lineRule="exact"/>
        <w:rPr>
          <w:sz w:val="20"/>
          <w:szCs w:val="20"/>
          <w:color w:val="auto"/>
        </w:rPr>
      </w:pPr>
    </w:p>
    <w:p>
      <w:pPr>
        <w:ind w:right="40" w:firstLine="615"/>
        <w:spacing w:after="0" w:line="339" w:lineRule="auto"/>
        <w:rPr>
          <w:sz w:val="20"/>
          <w:szCs w:val="20"/>
          <w:color w:val="auto"/>
        </w:rPr>
      </w:pPr>
      <w:r>
        <w:rPr>
          <w:rFonts w:ascii="Times New Roman" w:cs="Times New Roman" w:eastAsia="Times New Roman" w:hAnsi="Times New Roman"/>
          <w:sz w:val="16"/>
          <w:szCs w:val="16"/>
          <w:color w:val="auto"/>
        </w:rPr>
        <w:t>Our charter and bylaws obligate us to the fullest extent permitted by Maryland law in effect from time to time, to indemnify and, without requiring a preliminary determination of the ultimate entitlement to indemnification, pay or reimburse reasonable expenses in advance of final disposition of a proceeding to:</w:t>
      </w:r>
    </w:p>
    <w:p>
      <w:pPr>
        <w:spacing w:after="0" w:line="142" w:lineRule="exact"/>
        <w:rPr>
          <w:sz w:val="20"/>
          <w:szCs w:val="20"/>
          <w:color w:val="auto"/>
        </w:rPr>
      </w:pPr>
    </w:p>
    <w:p>
      <w:pPr>
        <w:ind w:left="1080" w:hanging="532"/>
        <w:spacing w:after="0" w:line="275"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present or former director or executive officer who is made or threatened to be made a party to or witness in the proceeding by reason of his or her service in that capacity;</w:t>
      </w:r>
    </w:p>
    <w:p>
      <w:pPr>
        <w:spacing w:after="0" w:line="187" w:lineRule="exact"/>
        <w:rPr>
          <w:rFonts w:ascii="Times New Roman" w:cs="Times New Roman" w:eastAsia="Times New Roman" w:hAnsi="Times New Roman"/>
          <w:sz w:val="18"/>
          <w:szCs w:val="18"/>
          <w:color w:val="auto"/>
        </w:rPr>
      </w:pPr>
    </w:p>
    <w:p>
      <w:pPr>
        <w:ind w:left="1080" w:right="40" w:hanging="532"/>
        <w:spacing w:after="0" w:line="258"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who, while a director or executive officer of our company and at our request, serves or has served as a director, executive officer, partner, member manager, or trustee of another corporation, real estate investment trust, partnership, limited liability company, joint venture, trust, employee benefit plan or any other enterprise and who is made or threatened to be made a party to or witness in the proceeding by reason of his or her service in that capacity; or</w:t>
      </w:r>
    </w:p>
    <w:p>
      <w:pPr>
        <w:spacing w:after="0" w:line="217"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who served any predecessor of our company in a similar capacity, who is made or threatened to be made a party to or witness in the proceeding by reason of his or her service in such capacity.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 w:name="page6"/>
    <w:bookmarkEnd w:id="5"/>
    <w:p>
      <w:pPr>
        <w:ind w:right="180" w:firstLine="615"/>
        <w:spacing w:after="0" w:line="275" w:lineRule="auto"/>
        <w:rPr>
          <w:sz w:val="20"/>
          <w:szCs w:val="20"/>
          <w:color w:val="auto"/>
        </w:rPr>
      </w:pPr>
      <w:r>
        <w:rPr>
          <w:rFonts w:ascii="Times New Roman" w:cs="Times New Roman" w:eastAsia="Times New Roman" w:hAnsi="Times New Roman"/>
          <w:sz w:val="18"/>
          <w:szCs w:val="18"/>
          <w:color w:val="auto"/>
        </w:rPr>
        <w:t>Our charter and bylaws also permit us, with the approval of our board of directors, to indemnify and advance expenses to any employee or agent of our company or a predecessor of our company.</w:t>
      </w:r>
    </w:p>
    <w:p>
      <w:pPr>
        <w:spacing w:after="0" w:line="174" w:lineRule="exact"/>
        <w:rPr>
          <w:sz w:val="20"/>
          <w:szCs w:val="20"/>
          <w:color w:val="auto"/>
        </w:rPr>
      </w:pPr>
    </w:p>
    <w:p>
      <w:pPr>
        <w:ind w:firstLine="615"/>
        <w:spacing w:after="0" w:line="258" w:lineRule="auto"/>
        <w:rPr>
          <w:sz w:val="20"/>
          <w:szCs w:val="20"/>
          <w:color w:val="auto"/>
        </w:rPr>
      </w:pPr>
      <w:r>
        <w:rPr>
          <w:rFonts w:ascii="Times New Roman" w:cs="Times New Roman" w:eastAsia="Times New Roman" w:hAnsi="Times New Roman"/>
          <w:sz w:val="18"/>
          <w:szCs w:val="18"/>
          <w:color w:val="auto"/>
        </w:rPr>
        <w:t>Upon completion of this offering, we intend to enter into indemnification agreements with each of our directors and executive officers providing for the indemnification by us for certain liabilities and expenses incurred as a result of actions brought, or threatened to be brought, against (i) our directors and executive officers and (ii) our executive officers who are former members, managers, stockholders, directors, limited partners, general partners, officers or controlling persons of our predecessor in their capacities as such.</w:t>
      </w:r>
    </w:p>
    <w:p>
      <w:pPr>
        <w:spacing w:after="0" w:line="190" w:lineRule="exact"/>
        <w:rPr>
          <w:sz w:val="20"/>
          <w:szCs w:val="20"/>
          <w:color w:val="auto"/>
        </w:rPr>
      </w:pPr>
    </w:p>
    <w:p>
      <w:pPr>
        <w:jc w:val="both"/>
        <w:ind w:right="40" w:firstLine="615"/>
        <w:spacing w:after="0" w:line="339" w:lineRule="auto"/>
        <w:rPr>
          <w:sz w:val="20"/>
          <w:szCs w:val="20"/>
          <w:color w:val="auto"/>
        </w:rPr>
      </w:pPr>
      <w:r>
        <w:rPr>
          <w:rFonts w:ascii="Times New Roman" w:cs="Times New Roman" w:eastAsia="Times New Roman" w:hAnsi="Times New Roman"/>
          <w:sz w:val="16"/>
          <w:szCs w:val="16"/>
          <w:color w:val="auto"/>
        </w:rPr>
        <w:t>Insofar as the foregoing provisions permit indemnification of directors, officers or persons controlling us for liability arising under the Securities Act, we have been informed that, in the opinion of the SEC, this indemnification is against public policy as expressed in the Securities Act and is therefore unenforceable.</w:t>
      </w:r>
    </w:p>
    <w:p>
      <w:pPr>
        <w:spacing w:after="0" w:line="12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35.</w:t>
      </w:r>
      <w:r>
        <w:rPr>
          <w:sz w:val="20"/>
          <w:szCs w:val="20"/>
          <w:color w:val="auto"/>
        </w:rPr>
        <w:tab/>
      </w:r>
      <w:r>
        <w:rPr>
          <w:rFonts w:ascii="Times New Roman" w:cs="Times New Roman" w:eastAsia="Times New Roman" w:hAnsi="Times New Roman"/>
          <w:sz w:val="16"/>
          <w:szCs w:val="16"/>
          <w:b w:val="1"/>
          <w:bCs w:val="1"/>
          <w:color w:val="auto"/>
        </w:rPr>
        <w:t>Treatment of proceeds from stock being registered.</w:t>
      </w: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None of the proceeds will be credited to an account other than the appropriate capital share account.</w:t>
      </w:r>
    </w:p>
    <w:p>
      <w:pPr>
        <w:spacing w:after="0" w:line="22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36.</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237" w:lineRule="exact"/>
        <w:rPr>
          <w:sz w:val="20"/>
          <w:szCs w:val="20"/>
          <w:color w:val="auto"/>
        </w:rPr>
      </w:pPr>
    </w:p>
    <w:p>
      <w:pPr>
        <w:ind w:left="540" w:hanging="532"/>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Financial Statements.</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See page F-1 for an index to the financial statements and schedules included in this registration statement.</w:t>
      </w:r>
    </w:p>
    <w:p>
      <w:pPr>
        <w:spacing w:after="0" w:line="248" w:lineRule="exact"/>
        <w:rPr>
          <w:sz w:val="20"/>
          <w:szCs w:val="20"/>
          <w:color w:val="auto"/>
        </w:rPr>
      </w:pPr>
    </w:p>
    <w:p>
      <w:pPr>
        <w:ind w:left="540" w:hanging="532"/>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Exhibits.   </w:t>
      </w:r>
      <w:r>
        <w:rPr>
          <w:rFonts w:ascii="Times New Roman" w:cs="Times New Roman" w:eastAsia="Times New Roman" w:hAnsi="Times New Roman"/>
          <w:sz w:val="18"/>
          <w:szCs w:val="18"/>
          <w:color w:val="auto"/>
        </w:rPr>
        <w:t>The following is a complete list of exhibits filed as part of the registration statement, which are incorporated herein: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06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65"/>
        </w:trPr>
        <w:tc>
          <w:tcPr>
            <w:tcW w:w="172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780" w:type="dxa"/>
            <w:vAlign w:val="bottom"/>
            <w:gridSpan w:val="2"/>
          </w:tcPr>
          <w:p>
            <w:pPr>
              <w:ind w:left="29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195"/>
        </w:trPr>
        <w:tc>
          <w:tcPr>
            <w:tcW w:w="1720" w:type="dxa"/>
            <w:vAlign w:val="bottom"/>
          </w:tcPr>
          <w:p>
            <w:pPr>
              <w:spacing w:after="0"/>
              <w:rPr>
                <w:sz w:val="16"/>
                <w:szCs w:val="16"/>
                <w:color w:val="auto"/>
              </w:rPr>
            </w:pPr>
          </w:p>
        </w:tc>
        <w:tc>
          <w:tcPr>
            <w:tcW w:w="6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16"/>
                <w:szCs w:val="16"/>
                <w:color w:val="auto"/>
              </w:rPr>
            </w:pPr>
          </w:p>
        </w:tc>
        <w:tc>
          <w:tcPr>
            <w:tcW w:w="706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Form of Underwriting Agreement among Safety, Income and Growth, Inc., Safety Income and</w:t>
            </w:r>
          </w:p>
        </w:tc>
        <w:tc>
          <w:tcPr>
            <w:tcW w:w="1720" w:type="dxa"/>
            <w:vAlign w:val="bottom"/>
          </w:tcPr>
          <w:p>
            <w:pPr>
              <w:spacing w:after="0"/>
              <w:rPr>
                <w:sz w:val="16"/>
                <w:szCs w:val="16"/>
                <w:color w:val="auto"/>
              </w:rPr>
            </w:pPr>
          </w:p>
        </w:tc>
      </w:tr>
      <w:tr>
        <w:trPr>
          <w:trHeight w:val="228"/>
        </w:trPr>
        <w:tc>
          <w:tcPr>
            <w:tcW w:w="1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Growth Operating Partnership LP, SFTY Manager LLC and the underwriters named therein</w:t>
            </w:r>
          </w:p>
        </w:tc>
      </w:tr>
      <w:tr>
        <w:trPr>
          <w:trHeight w:val="459"/>
        </w:trPr>
        <w:tc>
          <w:tcPr>
            <w:tcW w:w="26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 and Plan of Merger between Safety, Income and Growth, Inc. and SIGI Acquisition, Inc.</w:t>
            </w:r>
          </w:p>
        </w:tc>
      </w:tr>
      <w:tr>
        <w:trPr>
          <w:trHeight w:val="459"/>
        </w:trPr>
        <w:tc>
          <w:tcPr>
            <w:tcW w:w="26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Articles of Amendment and Restatement of Safety, Income and Growth, Inc.</w:t>
            </w:r>
          </w:p>
        </w:tc>
      </w:tr>
      <w:tr>
        <w:trPr>
          <w:trHeight w:val="459"/>
        </w:trPr>
        <w:tc>
          <w:tcPr>
            <w:tcW w:w="26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Bylaws of Safety, Income and Growth, Inc.</w:t>
            </w:r>
          </w:p>
        </w:tc>
      </w:tr>
      <w:tr>
        <w:trPr>
          <w:trHeight w:val="459"/>
        </w:trPr>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Specimen Common Stock Certificate of Safety, Income and Growth, Inc.</w:t>
            </w:r>
          </w:p>
        </w:tc>
      </w:tr>
      <w:tr>
        <w:trPr>
          <w:trHeight w:val="459"/>
        </w:trPr>
        <w:tc>
          <w:tcPr>
            <w:tcW w:w="26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Opinion of Clifford Chance US LLP (including consent of such firm)</w:t>
            </w:r>
          </w:p>
        </w:tc>
      </w:tr>
      <w:tr>
        <w:trPr>
          <w:trHeight w:val="459"/>
        </w:trPr>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Opinion of Clifford Chance US LLP (including consent of such firm)</w:t>
            </w:r>
          </w:p>
        </w:tc>
      </w:tr>
      <w:tr>
        <w:trPr>
          <w:trHeight w:val="447"/>
        </w:trPr>
        <w:tc>
          <w:tcPr>
            <w:tcW w:w="26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10.1**</w:t>
            </w: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First Amended and Restated Limited Partnership Agreement of Safety Income and Growth</w:t>
            </w:r>
          </w:p>
        </w:tc>
      </w:tr>
      <w:tr>
        <w:trPr>
          <w:trHeight w:val="228"/>
        </w:trPr>
        <w:tc>
          <w:tcPr>
            <w:tcW w:w="1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Partnership LP</w:t>
            </w:r>
          </w:p>
        </w:tc>
      </w:tr>
      <w:tr>
        <w:trPr>
          <w:trHeight w:val="459"/>
        </w:trPr>
        <w:tc>
          <w:tcPr>
            <w:tcW w:w="1720" w:type="dxa"/>
            <w:vAlign w:val="bottom"/>
          </w:tcPr>
          <w:p>
            <w:pPr>
              <w:spacing w:after="0"/>
              <w:rPr>
                <w:sz w:val="24"/>
                <w:szCs w:val="24"/>
                <w:color w:val="auto"/>
              </w:rPr>
            </w:pPr>
          </w:p>
        </w:tc>
        <w:tc>
          <w:tcPr>
            <w:tcW w:w="9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10.2**† Form of Equity Incentive Plan</w:t>
            </w:r>
          </w:p>
        </w:tc>
      </w:tr>
      <w:tr>
        <w:trPr>
          <w:trHeight w:val="459"/>
        </w:trPr>
        <w:tc>
          <w:tcPr>
            <w:tcW w:w="26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10.3**</w:t>
            </w: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Indemnification Agreement</w:t>
            </w:r>
          </w:p>
        </w:tc>
      </w:tr>
      <w:tr>
        <w:trPr>
          <w:trHeight w:val="459"/>
        </w:trPr>
        <w:tc>
          <w:tcPr>
            <w:tcW w:w="26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10.4**</w:t>
            </w: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Management Agreement</w:t>
            </w:r>
          </w:p>
        </w:tc>
      </w:tr>
      <w:tr>
        <w:trPr>
          <w:trHeight w:val="432"/>
        </w:trPr>
        <w:tc>
          <w:tcPr>
            <w:tcW w:w="1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780" w:type="dxa"/>
            <w:vAlign w:val="bottom"/>
            <w:gridSpan w:val="2"/>
          </w:tcPr>
          <w:p>
            <w:pPr>
              <w:ind w:left="2940"/>
              <w:spacing w:after="0"/>
              <w:rPr>
                <w:sz w:val="20"/>
                <w:szCs w:val="20"/>
                <w:color w:val="auto"/>
              </w:rPr>
            </w:pPr>
            <w:r>
              <w:rPr>
                <w:rFonts w:ascii="Times New Roman" w:cs="Times New Roman" w:eastAsia="Times New Roman" w:hAnsi="Times New Roman"/>
                <w:sz w:val="18"/>
                <w:szCs w:val="18"/>
                <w:color w:val="auto"/>
              </w:rPr>
              <w:t>II-3</w:t>
            </w:r>
          </w:p>
        </w:tc>
      </w:tr>
      <w:tr>
        <w:trPr>
          <w:trHeight w:val="228"/>
        </w:trPr>
        <w:tc>
          <w:tcPr>
            <w:tcW w:w="17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0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tbl>
      <w:tblPr>
        <w:tblLayout w:type="fixed"/>
        <w:tblInd w:w="1720" w:type="dxa"/>
        <w:tblCellMar>
          <w:top w:w="0" w:type="dxa"/>
          <w:left w:w="0" w:type="dxa"/>
          <w:bottom w:w="0" w:type="dxa"/>
          <w:right w:w="0" w:type="dxa"/>
        </w:tblCellMar>
      </w:tblPr>
      <w:tr>
        <w:trPr>
          <w:trHeight w:val="161"/>
        </w:trPr>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80" w:type="dxa"/>
            <w:vAlign w:val="bottom"/>
          </w:tcPr>
          <w:p>
            <w:pPr>
              <w:spacing w:after="0"/>
              <w:rPr>
                <w:sz w:val="13"/>
                <w:szCs w:val="13"/>
                <w:color w:val="auto"/>
              </w:rPr>
            </w:pPr>
          </w:p>
        </w:tc>
        <w:tc>
          <w:tcPr>
            <w:tcW w:w="5480" w:type="dxa"/>
            <w:vAlign w:val="bottom"/>
          </w:tcPr>
          <w:p>
            <w:pPr>
              <w:spacing w:after="0"/>
              <w:rPr>
                <w:sz w:val="13"/>
                <w:szCs w:val="13"/>
                <w:color w:val="auto"/>
              </w:rPr>
            </w:pPr>
          </w:p>
        </w:tc>
      </w:tr>
      <w:tr>
        <w:trPr>
          <w:trHeight w:val="165"/>
        </w:trPr>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548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22"/>
        </w:trPr>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w:t>
            </w:r>
          </w:p>
        </w:tc>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Exclusivity Agreement</w:t>
            </w:r>
          </w:p>
        </w:tc>
      </w:tr>
      <w:tr>
        <w:trPr>
          <w:trHeight w:val="445"/>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tcPr>
          <w:p>
            <w:pPr>
              <w:spacing w:after="0"/>
              <w:rPr>
                <w:sz w:val="24"/>
                <w:szCs w:val="24"/>
                <w:color w:val="auto"/>
              </w:rPr>
            </w:pPr>
          </w:p>
        </w:tc>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Revolving Credit Agreement</w:t>
            </w:r>
          </w:p>
        </w:tc>
      </w:tr>
      <w:tr>
        <w:trPr>
          <w:trHeight w:val="459"/>
        </w:trPr>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w:t>
            </w:r>
          </w:p>
        </w:tc>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Registration Rights Agreement among Safety, Income and Growth, Inc. and iStar Inc.</w:t>
            </w:r>
          </w:p>
        </w:tc>
      </w:tr>
      <w:tr>
        <w:trPr>
          <w:trHeight w:val="459"/>
        </w:trPr>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w:t>
            </w:r>
          </w:p>
        </w:tc>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Initial Portfolio Agreement</w:t>
            </w:r>
          </w:p>
        </w:tc>
      </w:tr>
      <w:tr>
        <w:trPr>
          <w:trHeight w:val="459"/>
        </w:trPr>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Agreement, between Safety, Income and Growth, Inc. and SFTY Venture LLC</w:t>
            </w:r>
          </w:p>
        </w:tc>
      </w:tr>
      <w:tr>
        <w:trPr>
          <w:trHeight w:val="459"/>
        </w:trPr>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10.10**</w:t>
            </w:r>
          </w:p>
        </w:tc>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Agreement, between Safety, Income and Growth, Inc. and SFTY VII-B, LLC</w:t>
            </w:r>
          </w:p>
        </w:tc>
      </w:tr>
      <w:tr>
        <w:trPr>
          <w:trHeight w:val="447"/>
        </w:trPr>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10.11**</w:t>
            </w:r>
          </w:p>
        </w:tc>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Registration Rights Agreement, among Safety, Income and Growth, Inc., SFTY Venture LLC and</w:t>
            </w:r>
          </w:p>
        </w:tc>
      </w:tr>
      <w:tr>
        <w:trPr>
          <w:trHeight w:val="228"/>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SFTY VII-B, LLC</w:t>
            </w:r>
          </w:p>
        </w:tc>
      </w:tr>
      <w:tr>
        <w:trPr>
          <w:trHeight w:val="447"/>
        </w:trPr>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10.12**</w:t>
            </w:r>
          </w:p>
        </w:tc>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Agreement, dated March 30, 2017, among Barclays Bank PLC, JP Morgan Chase National</w:t>
            </w:r>
          </w:p>
        </w:tc>
      </w:tr>
      <w:tr>
        <w:trPr>
          <w:trHeight w:val="216"/>
        </w:trPr>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Association and Bank of America, N.A., the company and the company subsidiaries named therein</w:t>
            </w:r>
          </w:p>
        </w:tc>
      </w:tr>
      <w:tr>
        <w:trPr>
          <w:trHeight w:val="228"/>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borrower</w:t>
            </w:r>
          </w:p>
        </w:tc>
      </w:tr>
      <w:tr>
        <w:trPr>
          <w:trHeight w:val="459"/>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320" w:type="dxa"/>
            <w:vAlign w:val="bottom"/>
          </w:tcPr>
          <w:p>
            <w:pPr>
              <w:spacing w:after="0"/>
              <w:rPr>
                <w:sz w:val="24"/>
                <w:szCs w:val="24"/>
                <w:color w:val="auto"/>
              </w:rPr>
            </w:pPr>
          </w:p>
        </w:tc>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Option GNL Agreement</w:t>
            </w:r>
          </w:p>
        </w:tc>
      </w:tr>
      <w:tr>
        <w:trPr>
          <w:trHeight w:val="459"/>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320" w:type="dxa"/>
            <w:vAlign w:val="bottom"/>
          </w:tcPr>
          <w:p>
            <w:pPr>
              <w:spacing w:after="0"/>
              <w:rPr>
                <w:sz w:val="24"/>
                <w:szCs w:val="24"/>
                <w:color w:val="auto"/>
              </w:rPr>
            </w:pPr>
          </w:p>
        </w:tc>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Assignment, Assumption and Transfer Agreement</w:t>
            </w:r>
          </w:p>
        </w:tc>
      </w:tr>
      <w:tr>
        <w:trPr>
          <w:trHeight w:val="459"/>
        </w:trPr>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21.1**</w:t>
            </w:r>
          </w:p>
        </w:tc>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List of subsidiaries of Safety, Income and Growth, Inc.</w:t>
            </w:r>
          </w:p>
        </w:tc>
      </w:tr>
      <w:tr>
        <w:trPr>
          <w:trHeight w:val="459"/>
        </w:trPr>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23.2**</w:t>
            </w:r>
          </w:p>
        </w:tc>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Clifford Chance US LLP (included in Exhibit 5.1)</w:t>
            </w:r>
          </w:p>
        </w:tc>
      </w:tr>
      <w:tr>
        <w:trPr>
          <w:trHeight w:val="459"/>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320" w:type="dxa"/>
            <w:vAlign w:val="bottom"/>
          </w:tcPr>
          <w:p>
            <w:pPr>
              <w:spacing w:after="0"/>
              <w:rPr>
                <w:sz w:val="24"/>
                <w:szCs w:val="24"/>
                <w:color w:val="auto"/>
              </w:rPr>
            </w:pPr>
          </w:p>
        </w:tc>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Clifford Chance US LLP (included in Exhibit 8.1)</w:t>
            </w:r>
          </w:p>
        </w:tc>
      </w:tr>
      <w:tr>
        <w:trPr>
          <w:trHeight w:val="459"/>
        </w:trPr>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23.3**</w:t>
            </w:r>
          </w:p>
        </w:tc>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PricewaterhouseCoopers</w:t>
            </w:r>
          </w:p>
        </w:tc>
      </w:tr>
      <w:tr>
        <w:trPr>
          <w:trHeight w:val="459"/>
        </w:trPr>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23.4**</w:t>
            </w:r>
          </w:p>
        </w:tc>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Rosen Consulting Group</w:t>
            </w:r>
          </w:p>
        </w:tc>
      </w:tr>
      <w:tr>
        <w:trPr>
          <w:trHeight w:val="459"/>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20" w:type="dxa"/>
            <w:vAlign w:val="bottom"/>
          </w:tcPr>
          <w:p>
            <w:pPr>
              <w:spacing w:after="0"/>
              <w:rPr>
                <w:sz w:val="24"/>
                <w:szCs w:val="24"/>
                <w:color w:val="auto"/>
              </w:rPr>
            </w:pPr>
          </w:p>
        </w:tc>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Marcum LLP</w:t>
            </w:r>
          </w:p>
        </w:tc>
      </w:tr>
      <w:tr>
        <w:trPr>
          <w:trHeight w:val="459"/>
        </w:trPr>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24.1**</w:t>
            </w:r>
          </w:p>
        </w:tc>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of Attorney (included on the signature page of the registration statement)</w:t>
            </w:r>
          </w:p>
        </w:tc>
      </w:tr>
      <w:tr>
        <w:trPr>
          <w:trHeight w:val="459"/>
        </w:trPr>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99.1**</w:t>
            </w:r>
          </w:p>
        </w:tc>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Consents of director nominees</w:t>
            </w:r>
          </w:p>
        </w:tc>
      </w:tr>
      <w:tr>
        <w:trPr>
          <w:trHeight w:val="110"/>
        </w:trPr>
        <w:tc>
          <w:tcPr>
            <w:tcW w:w="6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5480" w:type="dxa"/>
            <w:vAlign w:val="bottom"/>
          </w:tcPr>
          <w:p>
            <w:pPr>
              <w:spacing w:after="0"/>
              <w:rPr>
                <w:sz w:val="9"/>
                <w:szCs w:val="9"/>
                <w:color w:val="auto"/>
              </w:rPr>
            </w:pPr>
          </w:p>
        </w:tc>
      </w:tr>
    </w:tbl>
    <w:p>
      <w:pPr>
        <w:spacing w:after="0" w:line="215" w:lineRule="exact"/>
        <w:rPr>
          <w:sz w:val="20"/>
          <w:szCs w:val="20"/>
          <w:color w:val="auto"/>
        </w:rPr>
      </w:pPr>
    </w:p>
    <w:p>
      <w:pPr>
        <w:ind w:left="2260" w:hanging="540"/>
        <w:spacing w:after="0"/>
        <w:tabs>
          <w:tab w:leader="none" w:pos="2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52" w:lineRule="exact"/>
        <w:rPr>
          <w:sz w:val="20"/>
          <w:szCs w:val="20"/>
          <w:color w:val="auto"/>
        </w:rPr>
      </w:pPr>
    </w:p>
    <w:p>
      <w:pPr>
        <w:ind w:left="2260" w:hanging="540"/>
        <w:spacing w:after="0"/>
        <w:tabs>
          <w:tab w:leader="none" w:pos="2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2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37.</w:t>
      </w:r>
      <w:r>
        <w:rPr>
          <w:sz w:val="20"/>
          <w:szCs w:val="20"/>
          <w:color w:val="auto"/>
        </w:rPr>
        <w:tab/>
      </w:r>
      <w:r>
        <w:rPr>
          <w:rFonts w:ascii="Times New Roman" w:cs="Times New Roman" w:eastAsia="Times New Roman" w:hAnsi="Times New Roman"/>
          <w:sz w:val="16"/>
          <w:szCs w:val="16"/>
          <w:b w:val="1"/>
          <w:bCs w:val="1"/>
          <w:color w:val="auto"/>
        </w:rPr>
        <w:t>Undertakings.</w:t>
      </w:r>
    </w:p>
    <w:p>
      <w:pPr>
        <w:spacing w:after="0" w:line="241" w:lineRule="exact"/>
        <w:rPr>
          <w:sz w:val="20"/>
          <w:szCs w:val="20"/>
          <w:color w:val="auto"/>
        </w:rPr>
      </w:pPr>
    </w:p>
    <w:p>
      <w:pPr>
        <w:ind w:left="1080" w:right="400" w:hanging="532"/>
        <w:spacing w:after="0" w:line="339" w:lineRule="auto"/>
        <w:tabs>
          <w:tab w:leader="none" w:pos="10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1" w:lineRule="exact"/>
        <w:rPr>
          <w:rFonts w:ascii="Times New Roman" w:cs="Times New Roman" w:eastAsia="Times New Roman" w:hAnsi="Times New Roman"/>
          <w:sz w:val="16"/>
          <w:szCs w:val="16"/>
          <w:color w:val="auto"/>
        </w:rPr>
      </w:pPr>
    </w:p>
    <w:p>
      <w:pPr>
        <w:ind w:left="1080" w:hanging="532"/>
        <w:spacing w:after="0" w:line="26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Insofar as indemnification for liabilities arising under the Securities Act of 1933, as amended (or the Securities Act), may be permitted to directors, officers or controlling persons of the registrant pursuant to the foregoing provisions, or otherwise, the registrant has been advised that in the opinion of the Securities and Exchange Commission such indemnification is against public policy as expressed in the Securities</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10" w:right="319" w:bottom="1440" w:gutter="0" w:footer="0" w:header="0"/>
        </w:sectPr>
      </w:pPr>
    </w:p>
    <w:bookmarkStart w:id="7" w:name="page8"/>
    <w:bookmarkEnd w:id="7"/>
    <w:p>
      <w:pPr>
        <w:ind w:left="540" w:right="60"/>
        <w:spacing w:after="0" w:line="296" w:lineRule="auto"/>
        <w:rPr>
          <w:sz w:val="20"/>
          <w:szCs w:val="20"/>
          <w:color w:val="auto"/>
        </w:rPr>
      </w:pPr>
      <w:r>
        <w:rPr>
          <w:rFonts w:ascii="Times New Roman" w:cs="Times New Roman" w:eastAsia="Times New Roman" w:hAnsi="Times New Roman"/>
          <w:sz w:val="16"/>
          <w:szCs w:val="16"/>
          <w:color w:val="auto"/>
        </w:rPr>
        <w:t>Act and is, therefore, unenforceable. If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5" w:lineRule="exact"/>
        <w:rPr>
          <w:sz w:val="20"/>
          <w:szCs w:val="20"/>
          <w:color w:val="auto"/>
        </w:rPr>
      </w:pPr>
    </w:p>
    <w:p>
      <w:pPr>
        <w:ind w:left="540" w:hanging="532"/>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The undersigned registrant hereby further undertakes that:</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jc w:val="both"/>
        <w:ind w:left="1080" w:hanging="532"/>
        <w:spacing w:after="0" w:line="310" w:lineRule="auto"/>
        <w:tabs>
          <w:tab w:leader="none" w:pos="108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4" w:lineRule="exact"/>
        <w:rPr>
          <w:rFonts w:ascii="Times New Roman" w:cs="Times New Roman" w:eastAsia="Times New Roman" w:hAnsi="Times New Roman"/>
          <w:sz w:val="16"/>
          <w:szCs w:val="16"/>
          <w:color w:val="auto"/>
        </w:rPr>
      </w:pPr>
    </w:p>
    <w:p>
      <w:pPr>
        <w:ind w:left="1080" w:right="60" w:hanging="532"/>
        <w:spacing w:after="0" w:line="262" w:lineRule="auto"/>
        <w:tabs>
          <w:tab w:leader="none" w:pos="10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780" w:top="125" w:right="319" w:bottom="1440" w:gutter="0" w:footer="0" w:header="0"/>
        </w:sectPr>
      </w:pPr>
    </w:p>
    <w:bookmarkStart w:id="8" w:name="page9"/>
    <w:bookmarkEnd w:id="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firstLine="615"/>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S-11 and has duly caused this Registration Statement to be signed on its behalf by the undersigned, thereunto duly authorized, in the City of New York, State of New York, on June 15, 2017.</w:t>
      </w:r>
    </w:p>
    <w:p>
      <w:pPr>
        <w:spacing w:after="0" w:line="18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Safety, Income and Growth, Inc.</w:t>
      </w:r>
    </w:p>
    <w:p>
      <w:pPr>
        <w:spacing w:after="0" w:line="254" w:lineRule="exact"/>
        <w:rPr>
          <w:sz w:val="20"/>
          <w:szCs w:val="20"/>
          <w:color w:val="auto"/>
        </w:rPr>
      </w:pPr>
    </w:p>
    <w:p>
      <w:pPr>
        <w:ind w:left="574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74930</wp:posOffset>
            </wp:positionV>
            <wp:extent cx="26327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78" w:lineRule="exact"/>
        <w:rPr>
          <w:sz w:val="20"/>
          <w:szCs w:val="20"/>
          <w:color w:val="auto"/>
        </w:rPr>
      </w:pPr>
    </w:p>
    <w:p>
      <w:pPr>
        <w:ind w:left="6160"/>
        <w:spacing w:after="0"/>
        <w:tabs>
          <w:tab w:leader="none" w:pos="6800" w:val="left"/>
        </w:tabs>
        <w:rPr>
          <w:sz w:val="20"/>
          <w:szCs w:val="20"/>
          <w:color w:val="auto"/>
        </w:rPr>
      </w:pPr>
      <w:r>
        <w:rPr>
          <w:rFonts w:ascii="Times New Roman" w:cs="Times New Roman" w:eastAsia="Times New Roman" w:hAnsi="Times New Roman"/>
          <w:sz w:val="18"/>
          <w:szCs w:val="18"/>
          <w:color w:val="auto"/>
        </w:rPr>
        <w:t>Name:</w:t>
        <w:tab/>
        <w:t>Jay Sugarman</w:t>
      </w:r>
    </w:p>
    <w:p>
      <w:pPr>
        <w:spacing w:after="0" w:line="21" w:lineRule="exact"/>
        <w:rPr>
          <w:sz w:val="20"/>
          <w:szCs w:val="20"/>
          <w:color w:val="auto"/>
        </w:rPr>
      </w:pPr>
    </w:p>
    <w:p>
      <w:pPr>
        <w:ind w:left="6160"/>
        <w:spacing w:after="0"/>
        <w:tabs>
          <w:tab w:leader="none" w:pos="68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Executive Officer</w:t>
      </w:r>
    </w:p>
    <w:p>
      <w:pPr>
        <w:spacing w:after="0" w:line="2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39" w:right="359" w:bottom="1440" w:gutter="0" w:footer="0" w:header="0"/>
        </w:sectPr>
      </w:pPr>
    </w:p>
    <w:bookmarkStart w:id="9" w:name="page10"/>
    <w:bookmarkEnd w:id="9"/>
    <w:p>
      <w:pPr>
        <w:ind w:firstLine="615"/>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as indicated.</w:t>
      </w:r>
    </w:p>
    <w:p>
      <w:pPr>
        <w:spacing w:after="0" w:line="171" w:lineRule="exact"/>
        <w:rPr>
          <w:sz w:val="20"/>
          <w:szCs w:val="20"/>
          <w:color w:val="auto"/>
        </w:rPr>
      </w:pPr>
    </w:p>
    <w:p>
      <w:pPr>
        <w:ind w:left="2800"/>
        <w:spacing w:after="0"/>
        <w:tabs>
          <w:tab w:leader="none" w:pos="6660" w:val="left"/>
          <w:tab w:leader="none" w:pos="9400" w:val="left"/>
        </w:tabs>
        <w:rPr>
          <w:sz w:val="20"/>
          <w:szCs w:val="20"/>
          <w:color w:val="auto"/>
        </w:rPr>
      </w:pPr>
      <w:r>
        <w:rPr>
          <w:rFonts w:ascii="Times New Roman" w:cs="Times New Roman" w:eastAsia="Times New Roman" w:hAnsi="Times New Roman"/>
          <w:sz w:val="14"/>
          <w:szCs w:val="14"/>
          <w:b w:val="1"/>
          <w:bCs w:val="1"/>
          <w:u w:val="single" w:color="auto"/>
          <w:color w:val="auto"/>
        </w:rPr>
        <w:t>Name</w:t>
      </w:r>
      <w:r>
        <w:rPr>
          <w:sz w:val="20"/>
          <w:szCs w:val="20"/>
          <w:color w:val="auto"/>
        </w:rPr>
        <w:tab/>
      </w:r>
      <w:r>
        <w:rPr>
          <w:rFonts w:ascii="Times New Roman" w:cs="Times New Roman" w:eastAsia="Times New Roman" w:hAnsi="Times New Roman"/>
          <w:sz w:val="14"/>
          <w:szCs w:val="14"/>
          <w:b w:val="1"/>
          <w:bCs w:val="1"/>
          <w:u w:val="single" w:color="auto"/>
          <w:color w:val="auto"/>
        </w:rPr>
        <w:t>Title</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ectPr>
          <w:pgSz w:w="11900" w:h="16838" w:orient="portrait"/>
          <w:cols w:equalWidth="0" w:num="1">
            <w:col w:w="10980"/>
          </w:cols>
          <w:pgMar w:left="240" w:top="125" w:right="67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left="1660"/>
        <w:spacing w:after="0"/>
        <w:rPr>
          <w:sz w:val="20"/>
          <w:szCs w:val="20"/>
          <w:color w:val="auto"/>
        </w:rPr>
      </w:pPr>
      <w:r>
        <w:rPr>
          <w:rFonts w:ascii="Times New Roman" w:cs="Times New Roman" w:eastAsia="Times New Roman" w:hAnsi="Times New Roman"/>
          <w:sz w:val="18"/>
          <w:szCs w:val="18"/>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74930</wp:posOffset>
            </wp:positionV>
            <wp:extent cx="23323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78" w:lineRule="exact"/>
        <w:rPr>
          <w:sz w:val="20"/>
          <w:szCs w:val="20"/>
          <w:color w:val="auto"/>
        </w:rPr>
      </w:pPr>
    </w:p>
    <w:p>
      <w:pPr>
        <w:jc w:val="center"/>
        <w:ind w:left="1660"/>
        <w:spacing w:after="0"/>
        <w:rPr>
          <w:sz w:val="20"/>
          <w:szCs w:val="20"/>
          <w:color w:val="auto"/>
        </w:rPr>
      </w:pPr>
      <w:r>
        <w:rPr>
          <w:rFonts w:ascii="Times New Roman" w:cs="Times New Roman" w:eastAsia="Times New Roman" w:hAnsi="Times New Roman"/>
          <w:sz w:val="18"/>
          <w:szCs w:val="18"/>
          <w:color w:val="auto"/>
        </w:rPr>
        <w:t>Jay Sugarman</w:t>
      </w:r>
    </w:p>
    <w:p>
      <w:pPr>
        <w:spacing w:after="0" w:line="252" w:lineRule="exact"/>
        <w:rPr>
          <w:sz w:val="20"/>
          <w:szCs w:val="20"/>
          <w:color w:val="auto"/>
        </w:rPr>
      </w:pPr>
    </w:p>
    <w:p>
      <w:pPr>
        <w:jc w:val="center"/>
        <w:ind w:left="16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74930</wp:posOffset>
            </wp:positionV>
            <wp:extent cx="23323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7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Dean Adler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366395</wp:posOffset>
            </wp:positionV>
            <wp:extent cx="23323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1660"/>
        <w:spacing w:after="0"/>
        <w:rPr>
          <w:sz w:val="20"/>
          <w:szCs w:val="20"/>
          <w:color w:val="auto"/>
        </w:rPr>
      </w:pPr>
      <w:r>
        <w:rPr>
          <w:rFonts w:ascii="Times New Roman" w:cs="Times New Roman" w:eastAsia="Times New Roman" w:hAnsi="Times New Roman"/>
          <w:sz w:val="18"/>
          <w:szCs w:val="18"/>
          <w:color w:val="auto"/>
        </w:rPr>
        <w:t>Jesse Hom</w:t>
      </w:r>
    </w:p>
    <w:p>
      <w:pPr>
        <w:spacing w:after="0" w:line="252" w:lineRule="exact"/>
        <w:rPr>
          <w:sz w:val="20"/>
          <w:szCs w:val="20"/>
          <w:color w:val="auto"/>
        </w:rPr>
      </w:pPr>
    </w:p>
    <w:p>
      <w:pPr>
        <w:jc w:val="center"/>
        <w:ind w:left="1660"/>
        <w:spacing w:after="0"/>
        <w:rPr>
          <w:sz w:val="20"/>
          <w:szCs w:val="20"/>
          <w:color w:val="auto"/>
        </w:rPr>
      </w:pPr>
      <w:r>
        <w:rPr>
          <w:rFonts w:ascii="Times New Roman" w:cs="Times New Roman" w:eastAsia="Times New Roman" w:hAnsi="Times New Roman"/>
          <w:sz w:val="16"/>
          <w:szCs w:val="16"/>
          <w:color w:val="auto"/>
        </w:rPr>
        <w:t>/s/ GEOFFREY G. JERVIS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89535</wp:posOffset>
            </wp:positionV>
            <wp:extent cx="23323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1" w:lineRule="exact"/>
        <w:rPr>
          <w:sz w:val="20"/>
          <w:szCs w:val="20"/>
          <w:color w:val="auto"/>
        </w:rPr>
      </w:pPr>
    </w:p>
    <w:p>
      <w:pPr>
        <w:jc w:val="center"/>
        <w:ind w:left="1660"/>
        <w:spacing w:after="0"/>
        <w:rPr>
          <w:sz w:val="20"/>
          <w:szCs w:val="20"/>
          <w:color w:val="auto"/>
        </w:rPr>
      </w:pPr>
      <w:r>
        <w:rPr>
          <w:rFonts w:ascii="Times New Roman" w:cs="Times New Roman" w:eastAsia="Times New Roman" w:hAnsi="Times New Roman"/>
          <w:sz w:val="18"/>
          <w:szCs w:val="18"/>
          <w:color w:val="auto"/>
        </w:rPr>
        <w:t>Geoffrey G. Jervis</w:t>
      </w:r>
    </w:p>
    <w:p>
      <w:pPr>
        <w:spacing w:after="0" w:line="252" w:lineRule="exact"/>
        <w:rPr>
          <w:sz w:val="20"/>
          <w:szCs w:val="20"/>
          <w:color w:val="auto"/>
        </w:rPr>
      </w:pPr>
    </w:p>
    <w:p>
      <w:pPr>
        <w:jc w:val="center"/>
        <w:ind w:left="1660"/>
        <w:spacing w:after="0"/>
        <w:rPr>
          <w:sz w:val="20"/>
          <w:szCs w:val="20"/>
          <w:color w:val="auto"/>
        </w:rPr>
      </w:pPr>
      <w:r>
        <w:rPr>
          <w:rFonts w:ascii="Times New Roman" w:cs="Times New Roman" w:eastAsia="Times New Roman" w:hAnsi="Times New Roman"/>
          <w:sz w:val="18"/>
          <w:szCs w:val="18"/>
          <w:color w:val="auto"/>
        </w:rPr>
        <w:t>* /s/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74930</wp:posOffset>
            </wp:positionV>
            <wp:extent cx="23323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78" w:lineRule="exact"/>
        <w:rPr>
          <w:sz w:val="20"/>
          <w:szCs w:val="20"/>
          <w:color w:val="auto"/>
        </w:rPr>
      </w:pPr>
    </w:p>
    <w:p>
      <w:pPr>
        <w:jc w:val="center"/>
        <w:ind w:left="1660"/>
        <w:spacing w:after="0"/>
        <w:rPr>
          <w:sz w:val="20"/>
          <w:szCs w:val="20"/>
          <w:color w:val="auto"/>
        </w:rPr>
      </w:pPr>
      <w:r>
        <w:rPr>
          <w:rFonts w:ascii="Times New Roman" w:cs="Times New Roman" w:eastAsia="Times New Roman" w:hAnsi="Times New Roman"/>
          <w:sz w:val="18"/>
          <w:szCs w:val="18"/>
          <w:color w:val="auto"/>
        </w:rPr>
        <w:t>Jay Sugarman</w:t>
      </w:r>
    </w:p>
    <w:p>
      <w:pPr>
        <w:spacing w:after="0" w:line="21" w:lineRule="exact"/>
        <w:rPr>
          <w:sz w:val="20"/>
          <w:szCs w:val="20"/>
          <w:color w:val="auto"/>
        </w:rPr>
      </w:pPr>
    </w:p>
    <w:p>
      <w:pPr>
        <w:jc w:val="center"/>
        <w:ind w:left="1660"/>
        <w:spacing w:after="0"/>
        <w:rPr>
          <w:sz w:val="20"/>
          <w:szCs w:val="20"/>
          <w:color w:val="auto"/>
        </w:rPr>
      </w:pPr>
      <w:r>
        <w:rPr>
          <w:rFonts w:ascii="Times New Roman" w:cs="Times New Roman" w:eastAsia="Times New Roman" w:hAnsi="Times New Roman"/>
          <w:sz w:val="18"/>
          <w:szCs w:val="18"/>
          <w:color w:val="auto"/>
        </w:rPr>
        <w:t>Attorney in Fact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auto"/>
        </w:rPr>
        <w:t>Chairman of the Board, Chief Executive Officer (Principal Executive Officer) and Director</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49" w:lineRule="exact"/>
        <w:rPr>
          <w:sz w:val="20"/>
          <w:szCs w:val="20"/>
          <w:color w:val="auto"/>
        </w:rPr>
      </w:pPr>
    </w:p>
    <w:p>
      <w:pPr>
        <w:jc w:val="both"/>
        <w:ind w:right="220"/>
        <w:spacing w:after="0" w:line="339" w:lineRule="auto"/>
        <w:rPr>
          <w:sz w:val="20"/>
          <w:szCs w:val="20"/>
          <w:color w:val="auto"/>
        </w:rPr>
      </w:pPr>
      <w:r>
        <w:rPr>
          <w:rFonts w:ascii="Times New Roman" w:cs="Times New Roman" w:eastAsia="Times New Roman" w:hAnsi="Times New Roman"/>
          <w:sz w:val="16"/>
          <w:szCs w:val="16"/>
          <w:color w:val="auto"/>
        </w:rPr>
        <w:t>Chief Operating and Chief Financial Officer (Principal 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-3171190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15, 2017</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15, 2017</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15, 2017</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15, 2017</w:t>
      </w:r>
    </w:p>
    <w:p>
      <w:pPr>
        <w:sectPr>
          <w:pgSz w:w="11900" w:h="16838" w:orient="portrait"/>
          <w:cols w:equalWidth="0" w:num="3">
            <w:col w:w="4280" w:space="720"/>
            <w:col w:w="3380" w:space="700"/>
            <w:col w:w="1900"/>
          </w:cols>
          <w:pgMar w:left="240" w:top="125" w:right="679" w:bottom="1440" w:gutter="0" w:footer="0" w:header="0"/>
          <w:type w:val="continuous"/>
        </w:sectPr>
      </w:pPr>
    </w:p>
    <w:bookmarkStart w:id="10" w:name="page11"/>
    <w:bookmarkEnd w:id="10"/>
    <w:tbl>
      <w:tblPr>
        <w:tblLayout w:type="fixed"/>
        <w:tblInd w:w="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50"/>
        </w:trPr>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 w:type="dxa"/>
            <w:vAlign w:val="bottom"/>
          </w:tcPr>
          <w:p>
            <w:pPr>
              <w:spacing w:after="0"/>
              <w:rPr>
                <w:sz w:val="24"/>
                <w:szCs w:val="24"/>
                <w:color w:val="auto"/>
              </w:rPr>
            </w:pPr>
          </w:p>
        </w:tc>
        <w:tc>
          <w:tcPr>
            <w:tcW w:w="8200" w:type="dxa"/>
            <w:vAlign w:val="bottom"/>
          </w:tcPr>
          <w:p>
            <w:pPr>
              <w:spacing w:after="0"/>
              <w:rPr>
                <w:sz w:val="24"/>
                <w:szCs w:val="24"/>
                <w:color w:val="auto"/>
              </w:rPr>
            </w:pPr>
          </w:p>
        </w:tc>
      </w:tr>
      <w:tr>
        <w:trPr>
          <w:trHeight w:val="165"/>
        </w:trPr>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4"/>
                <w:szCs w:val="14"/>
                <w:color w:val="auto"/>
              </w:rPr>
            </w:pPr>
          </w:p>
        </w:tc>
        <w:tc>
          <w:tcPr>
            <w:tcW w:w="8200" w:type="dxa"/>
            <w:vAlign w:val="bottom"/>
          </w:tcPr>
          <w:p>
            <w:pPr>
              <w:ind w:left="35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195"/>
        </w:trPr>
        <w:tc>
          <w:tcPr>
            <w:tcW w:w="6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Form of Underwriting Agreement among Safety, Income and Growth, Inc., Safety Income and Growth Operating</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Partnership LP, SFTY Manager LLC and the underwriters named therein</w:t>
            </w:r>
          </w:p>
        </w:tc>
      </w:tr>
      <w:tr>
        <w:trPr>
          <w:trHeight w:val="216"/>
        </w:trPr>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8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Agreement and Plan of Merger between Safety, Income and Growth, Inc. and SIGI Acquisition, Inc.</w:t>
            </w:r>
          </w:p>
        </w:tc>
      </w:tr>
      <w:tr>
        <w:trPr>
          <w:trHeight w:val="216"/>
        </w:trPr>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8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Form of Articles of Amendment and Restatement of Safety, Income and Growth, Inc.</w:t>
            </w:r>
          </w:p>
        </w:tc>
      </w:tr>
      <w:tr>
        <w:trPr>
          <w:trHeight w:val="216"/>
        </w:trPr>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8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Form of Bylaws of Safety, Income and Growth, Inc.</w:t>
            </w:r>
          </w:p>
        </w:tc>
      </w:tr>
      <w:tr>
        <w:trPr>
          <w:trHeight w:val="216"/>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8"/>
                <w:szCs w:val="18"/>
                <w:color w:val="auto"/>
              </w:rPr>
            </w:pPr>
          </w:p>
        </w:tc>
        <w:tc>
          <w:tcPr>
            <w:tcW w:w="8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Specimen Common Stock Certificate of Safety, Income and Growth, Inc.</w:t>
            </w:r>
          </w:p>
        </w:tc>
      </w:tr>
      <w:tr>
        <w:trPr>
          <w:trHeight w:val="216"/>
        </w:trPr>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8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Opinion of Clifford Chance US LLP (including consent of such firm)</w:t>
            </w:r>
          </w:p>
        </w:tc>
      </w:tr>
      <w:tr>
        <w:trPr>
          <w:trHeight w:val="216"/>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Pr>
          <w:p>
            <w:pPr>
              <w:spacing w:after="0"/>
              <w:rPr>
                <w:sz w:val="18"/>
                <w:szCs w:val="18"/>
                <w:color w:val="auto"/>
              </w:rPr>
            </w:pPr>
          </w:p>
        </w:tc>
        <w:tc>
          <w:tcPr>
            <w:tcW w:w="8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Tax Opinion of Clifford Chance US LLP (including consent of such firm)</w:t>
            </w:r>
          </w:p>
        </w:tc>
      </w:tr>
      <w:tr>
        <w:trPr>
          <w:trHeight w:val="228"/>
        </w:trPr>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w:t>
            </w:r>
          </w:p>
        </w:tc>
        <w:tc>
          <w:tcPr>
            <w:tcW w:w="8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Form of First Amended and Restated Limited Partnership Agreement of Safety Income and Growth Operating</w:t>
            </w: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840" w:type="dxa"/>
            <w:vAlign w:val="bottom"/>
          </w:tcPr>
          <w:p>
            <w:pPr>
              <w:spacing w:after="0"/>
              <w:rPr>
                <w:sz w:val="17"/>
                <w:szCs w:val="17"/>
                <w:color w:val="auto"/>
              </w:rPr>
            </w:pPr>
          </w:p>
        </w:tc>
        <w:tc>
          <w:tcPr>
            <w:tcW w:w="8280" w:type="dxa"/>
            <w:vAlign w:val="bottom"/>
            <w:gridSpan w:val="2"/>
          </w:tcPr>
          <w:p>
            <w:pPr>
              <w:ind w:left="60"/>
              <w:spacing w:after="0" w:line="204" w:lineRule="exact"/>
              <w:rPr>
                <w:sz w:val="20"/>
                <w:szCs w:val="20"/>
                <w:color w:val="auto"/>
              </w:rPr>
            </w:pPr>
            <w:r>
              <w:rPr>
                <w:rFonts w:ascii="Times New Roman" w:cs="Times New Roman" w:eastAsia="Times New Roman" w:hAnsi="Times New Roman"/>
                <w:sz w:val="18"/>
                <w:szCs w:val="18"/>
                <w:color w:val="auto"/>
              </w:rPr>
              <w:t>Partnership LP</w:t>
            </w:r>
          </w:p>
        </w:tc>
      </w:tr>
      <w:tr>
        <w:trPr>
          <w:trHeight w:val="216"/>
        </w:trPr>
        <w:tc>
          <w:tcPr>
            <w:tcW w:w="91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10.2**† Form of Equity Incentive Plan</w:t>
            </w:r>
          </w:p>
        </w:tc>
      </w:tr>
      <w:tr>
        <w:trPr>
          <w:trHeight w:val="216"/>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Form of Indemnification Agreement</w:t>
            </w:r>
          </w:p>
        </w:tc>
      </w:tr>
      <w:tr>
        <w:trPr>
          <w:trHeight w:val="216"/>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Form of Management Agreement</w:t>
            </w:r>
          </w:p>
        </w:tc>
      </w:tr>
      <w:tr>
        <w:trPr>
          <w:trHeight w:val="216"/>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Form of Exclusivity Agreement</w:t>
            </w:r>
          </w:p>
        </w:tc>
      </w:tr>
      <w:tr>
        <w:trPr>
          <w:trHeight w:val="216"/>
        </w:trPr>
        <w:tc>
          <w:tcPr>
            <w:tcW w:w="8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10.6</w:t>
            </w:r>
          </w:p>
        </w:tc>
        <w:tc>
          <w:tcPr>
            <w:tcW w:w="8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Form of Revolving Credit Agreement</w:t>
            </w:r>
          </w:p>
        </w:tc>
      </w:tr>
      <w:tr>
        <w:trPr>
          <w:trHeight w:val="216"/>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Form of Registration Rights Agreement among Safety, Income and Growth, Inc. and iStar Inc.</w:t>
            </w:r>
          </w:p>
        </w:tc>
      </w:tr>
      <w:tr>
        <w:trPr>
          <w:trHeight w:val="216"/>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Form of Initial Portfolio Agreement</w:t>
            </w:r>
          </w:p>
        </w:tc>
      </w:tr>
      <w:tr>
        <w:trPr>
          <w:trHeight w:val="216"/>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Stockholder's Agreement, between Safety, Income and Growth, Inc. and SFTY Venture LLC</w:t>
            </w:r>
          </w:p>
        </w:tc>
      </w:tr>
      <w:tr>
        <w:trPr>
          <w:trHeight w:val="216"/>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8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Stockholder's Agreement, between Safety, Income and Growth, Inc. and SFTY VII-B, LLC</w:t>
            </w:r>
          </w:p>
        </w:tc>
      </w:tr>
      <w:tr>
        <w:trPr>
          <w:trHeight w:val="216"/>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8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6"/>
              </w:rPr>
              <w:t>Registration Rights Agreement, among Safety, Income and Growth, Inc., SFTY Venture LLC and SFTY VII-B, LLC</w:t>
            </w:r>
          </w:p>
        </w:tc>
      </w:tr>
      <w:tr>
        <w:trPr>
          <w:trHeight w:val="216"/>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8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Loan Agreement, dated March 30, 2017, among Barclays Bank PLC, JP Morgan Chase National Association and</w:t>
            </w:r>
          </w:p>
        </w:tc>
      </w:tr>
      <w:tr>
        <w:trPr>
          <w:trHeight w:val="216"/>
        </w:trPr>
        <w:tc>
          <w:tcPr>
            <w:tcW w:w="840" w:type="dxa"/>
            <w:vAlign w:val="bottom"/>
          </w:tcPr>
          <w:p>
            <w:pPr>
              <w:spacing w:after="0"/>
              <w:rPr>
                <w:sz w:val="18"/>
                <w:szCs w:val="18"/>
                <w:color w:val="auto"/>
              </w:rPr>
            </w:pPr>
          </w:p>
        </w:tc>
        <w:tc>
          <w:tcPr>
            <w:tcW w:w="8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Bank of America, N.A., the company and the company subsidiaries named therein as borrower</w:t>
            </w:r>
          </w:p>
        </w:tc>
      </w:tr>
      <w:tr>
        <w:trPr>
          <w:trHeight w:val="216"/>
        </w:trPr>
        <w:tc>
          <w:tcPr>
            <w:tcW w:w="8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10.13</w:t>
            </w:r>
          </w:p>
        </w:tc>
        <w:tc>
          <w:tcPr>
            <w:tcW w:w="8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Form of Option GNL Agreement</w:t>
            </w:r>
          </w:p>
        </w:tc>
      </w:tr>
      <w:tr>
        <w:trPr>
          <w:trHeight w:val="216"/>
        </w:trPr>
        <w:tc>
          <w:tcPr>
            <w:tcW w:w="8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10.14</w:t>
            </w:r>
          </w:p>
        </w:tc>
        <w:tc>
          <w:tcPr>
            <w:tcW w:w="8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Form of Assignment, Assumption and Transfer Agreement</w:t>
            </w:r>
          </w:p>
        </w:tc>
      </w:tr>
      <w:tr>
        <w:trPr>
          <w:trHeight w:val="216"/>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List of subsidiaries of Safety, Income and Growth, Inc.</w:t>
            </w:r>
          </w:p>
        </w:tc>
      </w:tr>
      <w:tr>
        <w:trPr>
          <w:trHeight w:val="216"/>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Consent of Clifford Chance US LLP (included in Exhibit 5.1)</w:t>
            </w:r>
          </w:p>
        </w:tc>
      </w:tr>
      <w:tr>
        <w:trPr>
          <w:trHeight w:val="216"/>
        </w:trPr>
        <w:tc>
          <w:tcPr>
            <w:tcW w:w="8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23.2</w:t>
            </w:r>
          </w:p>
        </w:tc>
        <w:tc>
          <w:tcPr>
            <w:tcW w:w="8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Consent of Clifford Chance US LLP (included in Exhibit 8.1)</w:t>
            </w:r>
          </w:p>
        </w:tc>
      </w:tr>
      <w:tr>
        <w:trPr>
          <w:trHeight w:val="216"/>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Consent of PricewaterhouseCoopers</w:t>
            </w:r>
          </w:p>
        </w:tc>
      </w:tr>
      <w:tr>
        <w:trPr>
          <w:trHeight w:val="216"/>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Consent of Rosen Consulting Group</w:t>
            </w:r>
          </w:p>
        </w:tc>
      </w:tr>
      <w:tr>
        <w:trPr>
          <w:trHeight w:val="216"/>
        </w:trPr>
        <w:tc>
          <w:tcPr>
            <w:tcW w:w="8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23.5</w:t>
            </w:r>
          </w:p>
        </w:tc>
        <w:tc>
          <w:tcPr>
            <w:tcW w:w="8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Consent of Marcum LLP</w:t>
            </w:r>
          </w:p>
        </w:tc>
      </w:tr>
      <w:tr>
        <w:trPr>
          <w:trHeight w:val="216"/>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Power of Attorney (included on the signature page of the registration statement)</w:t>
            </w:r>
          </w:p>
        </w:tc>
      </w:tr>
      <w:tr>
        <w:trPr>
          <w:trHeight w:val="22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8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Consents of director nominees</w:t>
            </w:r>
          </w:p>
        </w:tc>
      </w:tr>
      <w:tr>
        <w:trPr>
          <w:trHeight w:val="110"/>
        </w:trPr>
        <w:tc>
          <w:tcPr>
            <w:tcW w:w="84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6280" w:type="dxa"/>
            <w:vAlign w:val="bottom"/>
          </w:tcPr>
          <w:p>
            <w:pPr>
              <w:spacing w:after="0"/>
              <w:rPr>
                <w:sz w:val="9"/>
                <w:szCs w:val="9"/>
                <w:color w:val="auto"/>
              </w:rPr>
            </w:pPr>
          </w:p>
        </w:tc>
      </w:tr>
    </w:tbl>
    <w:p>
      <w:pPr>
        <w:spacing w:after="0" w:line="215" w:lineRule="exact"/>
        <w:rPr>
          <w:sz w:val="20"/>
          <w:szCs w:val="20"/>
          <w:color w:val="auto"/>
        </w:rPr>
      </w:pPr>
    </w:p>
    <w:p>
      <w:pPr>
        <w:ind w:left="540" w:hanging="531"/>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52" w:lineRule="exact"/>
        <w:rPr>
          <w:sz w:val="20"/>
          <w:szCs w:val="20"/>
          <w:color w:val="auto"/>
        </w:rPr>
      </w:pPr>
    </w:p>
    <w:p>
      <w:pPr>
        <w:ind w:left="540" w:hanging="531"/>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39" w:right="1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EXPLANATORY NOTE</w:t>
        </w:r>
      </w:hyperlink>
    </w:p>
    <w:p>
      <w:pPr>
        <w:spacing w:after="0" w:line="2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PART II INFORMATION NOT REQUIRED IN PROSPECTUS</w:t>
        </w:r>
      </w:hyperlink>
    </w:p>
    <w:p>
      <w:pPr>
        <w:spacing w:after="0" w:line="213"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Item 31. Other expenses of issuance and distribution.</w:t>
        </w:r>
      </w:hyperlink>
    </w:p>
    <w:p>
      <w:pPr>
        <w:spacing w:after="0" w:line="21"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Item 32. Sales to Special Parties.</w:t>
        </w:r>
      </w:hyperlink>
    </w:p>
    <w:p>
      <w:pPr>
        <w:spacing w:after="0" w:line="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Item 33. Recent sales of unregistered securities.</w:t>
        </w:r>
      </w:hyperlink>
    </w:p>
    <w:p>
      <w:pPr>
        <w:spacing w:after="0" w:line="9" w:lineRule="exact"/>
        <w:rPr>
          <w:sz w:val="20"/>
          <w:szCs w:val="20"/>
          <w:color w:val="auto"/>
        </w:rPr>
      </w:pPr>
    </w:p>
    <w:p>
      <w:pPr>
        <w:ind w:left="540"/>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Item 34. Indemnification and limitation of directors' and executive officers' liability.</w:t>
        </w:r>
      </w:hyperlink>
    </w:p>
    <w:p>
      <w:pPr>
        <w:spacing w:after="0" w:line="32"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Item 35. Treatment of proceeds from stock being registered.</w:t>
        </w:r>
      </w:hyperlink>
    </w:p>
    <w:p>
      <w:pPr>
        <w:spacing w:after="0" w:line="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Item 36. Financial statements and exhibits.</w:t>
        </w:r>
      </w:hyperlink>
    </w:p>
    <w:p>
      <w:pPr>
        <w:spacing w:after="0" w:line="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Item 37. Undertakings.</w:t>
        </w:r>
      </w:hyperlink>
    </w:p>
    <w:p>
      <w:pPr>
        <w:spacing w:after="0" w:line="21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SIGNATURES</w:t>
        </w:r>
      </w:hyperlink>
    </w:p>
    <w:p>
      <w:pPr>
        <w:spacing w:after="0" w:line="2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EXHIBIT INDEX</w:t>
        </w:r>
      </w:hyperlink>
    </w:p>
    <w:p>
      <w:pPr>
        <w:sectPr>
          <w:pgSz w:w="11900" w:h="16838" w:orient="portrait"/>
          <w:cols w:equalWidth="0" w:num="1">
            <w:col w:w="10219"/>
          </w:cols>
          <w:pgMar w:left="240" w:top="814" w:right="1440"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SAFETY, INCOME AND GROWTH,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Maryland corporation)</w:t>
      </w:r>
    </w:p>
    <w:p>
      <w:pPr>
        <w:spacing w:after="0" w:line="207" w:lineRule="exact"/>
        <w:rPr>
          <w:sz w:val="20"/>
          <w:szCs w:val="20"/>
          <w:color w:val="auto"/>
        </w:rPr>
      </w:pPr>
    </w:p>
    <w:p>
      <w:pPr>
        <w:ind w:left="3940" w:hanging="206"/>
        <w:spacing w:after="0"/>
        <w:tabs>
          <w:tab w:leader="none" w:pos="3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$0.01 par value per share</w:t>
      </w:r>
    </w:p>
    <w:p>
      <w:pPr>
        <w:spacing w:after="0" w:line="225" w:lineRule="exact"/>
        <w:rPr>
          <w:rFonts w:ascii="Times New Roman" w:cs="Times New Roman" w:eastAsia="Times New Roman" w:hAnsi="Times New Roman"/>
          <w:sz w:val="18"/>
          <w:szCs w:val="18"/>
          <w:color w:val="auto"/>
        </w:rPr>
      </w:pPr>
    </w:p>
    <w:p>
      <w:pPr>
        <w:ind w:left="4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UNDERWRITING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512445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SAFETY, INCOME AND GROWTH,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Maryland corporation)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Shares of Common Stock</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UNDERWRITING AGREEMENT</w:t>
      </w:r>
    </w:p>
    <w:p>
      <w:pPr>
        <w:spacing w:after="0" w:line="229" w:lineRule="exact"/>
        <w:rPr>
          <w:sz w:val="20"/>
          <w:szCs w:val="20"/>
          <w:color w:val="auto"/>
        </w:rPr>
      </w:pPr>
    </w:p>
    <w:p>
      <w:pPr>
        <w:ind w:left="10800"/>
        <w:spacing w:after="0"/>
        <w:rPr>
          <w:sz w:val="20"/>
          <w:szCs w:val="20"/>
          <w:color w:val="auto"/>
        </w:rPr>
      </w:pPr>
      <w:r>
        <w:rPr>
          <w:rFonts w:ascii="Times New Roman" w:cs="Times New Roman" w:eastAsia="Times New Roman" w:hAnsi="Times New Roman"/>
          <w:sz w:val="17"/>
          <w:szCs w:val="17"/>
          <w:color w:val="auto"/>
        </w:rPr>
        <w:t>[·], 2017</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Merrill Lynch, Pierce, Fenner &amp; Smith</w:t>
      </w:r>
    </w:p>
    <w:p>
      <w:pPr>
        <w:spacing w:after="0" w:line="2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Safety, Income and Growth, Inc., a Maryland corporation, Safety Income and Growth Operating Partnership LP, a Delaware limited partnership (the “</w:t>
      </w:r>
      <w:r>
        <w:rPr>
          <w:rFonts w:ascii="Times New Roman" w:cs="Times New Roman" w:eastAsia="Times New Roman" w:hAnsi="Times New Roman"/>
          <w:sz w:val="18"/>
          <w:szCs w:val="18"/>
          <w:u w:val="single" w:color="auto"/>
          <w:color w:val="auto"/>
        </w:rPr>
        <w:t>Operating Partnership</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u w:val="single" w:color="auto"/>
          <w:color w:val="auto"/>
        </w:rPr>
        <w:t>Transaction Entities</w:t>
      </w:r>
      <w:r>
        <w:rPr>
          <w:rFonts w:ascii="Times New Roman" w:cs="Times New Roman" w:eastAsia="Times New Roman" w:hAnsi="Times New Roman"/>
          <w:sz w:val="18"/>
          <w:szCs w:val="18"/>
          <w:color w:val="auto"/>
        </w:rPr>
        <w:t>”), and SFTY Manager LLC, a Delaware limited liability company (the “</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confirm their respective agreements with Merrill Lynch, Pierce, Fenner &amp; Smith Incorporated (“</w:t>
      </w:r>
      <w:r>
        <w:rPr>
          <w:rFonts w:ascii="Times New Roman" w:cs="Times New Roman" w:eastAsia="Times New Roman" w:hAnsi="Times New Roman"/>
          <w:sz w:val="18"/>
          <w:szCs w:val="18"/>
          <w:u w:val="single" w:color="auto"/>
          <w:color w:val="auto"/>
        </w:rPr>
        <w:t>Merrill Lynch</w:t>
      </w:r>
      <w:r>
        <w:rPr>
          <w:rFonts w:ascii="Times New Roman" w:cs="Times New Roman" w:eastAsia="Times New Roman" w:hAnsi="Times New Roman"/>
          <w:sz w:val="18"/>
          <w:szCs w:val="18"/>
          <w:color w:val="auto"/>
        </w:rPr>
        <w:t>”), J.P. Morgan Securities LLC (“</w:t>
      </w:r>
      <w:r>
        <w:rPr>
          <w:rFonts w:ascii="Times New Roman" w:cs="Times New Roman" w:eastAsia="Times New Roman" w:hAnsi="Times New Roman"/>
          <w:sz w:val="18"/>
          <w:szCs w:val="18"/>
          <w:u w:val="single" w:color="auto"/>
          <w:color w:val="auto"/>
        </w:rPr>
        <w:t>JPMorgan</w:t>
      </w:r>
      <w:r>
        <w:rPr>
          <w:rFonts w:ascii="Times New Roman" w:cs="Times New Roman" w:eastAsia="Times New Roman" w:hAnsi="Times New Roman"/>
          <w:sz w:val="18"/>
          <w:szCs w:val="18"/>
          <w:color w:val="auto"/>
        </w:rPr>
        <w:t>”), Barclays Capital Inc. (“</w:t>
      </w:r>
      <w:r>
        <w:rPr>
          <w:rFonts w:ascii="Times New Roman" w:cs="Times New Roman" w:eastAsia="Times New Roman" w:hAnsi="Times New Roman"/>
          <w:sz w:val="18"/>
          <w:szCs w:val="18"/>
          <w:u w:val="single" w:color="auto"/>
          <w:color w:val="auto"/>
        </w:rPr>
        <w:t>Barclays</w:t>
      </w:r>
      <w:r>
        <w:rPr>
          <w:rFonts w:ascii="Times New Roman" w:cs="Times New Roman" w:eastAsia="Times New Roman" w:hAnsi="Times New Roman"/>
          <w:sz w:val="18"/>
          <w:szCs w:val="18"/>
          <w:color w:val="auto"/>
        </w:rPr>
        <w:t xml:space="preserve">”) and each of the other Underwriters named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which term shall also include any underwriter substituted as hereinafter provided in Section 11 hereof), for whom Merrill Lynch, JPMorgan and Barclays are acting as representatives (in such capacity, 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with respect to (i) the sale by the Company (as defined below) and the purchase by the Underwriters, acting severally and not jointly, of the respective numbers of shares of common stock, $0.01 par value per share, of the Company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xml:space="preserve">”)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totaling [·] shares of Common Stock in the aggregate and (ii) the grant by the Company to the Underwriters, acting severally and not jointly, of the option described in Section 2(b) hereof to purchase all or any part of [·] additional shares of Common Stock. The aforesaid [·] shares of Common Stock (the “</w:t>
      </w:r>
      <w:r>
        <w:rPr>
          <w:rFonts w:ascii="Times New Roman" w:cs="Times New Roman" w:eastAsia="Times New Roman" w:hAnsi="Times New Roman"/>
          <w:sz w:val="18"/>
          <w:szCs w:val="18"/>
          <w:u w:val="single" w:color="auto"/>
          <w:color w:val="auto"/>
        </w:rPr>
        <w:t>Initial Securities</w:t>
      </w:r>
      <w:r>
        <w:rPr>
          <w:rFonts w:ascii="Times New Roman" w:cs="Times New Roman" w:eastAsia="Times New Roman" w:hAnsi="Times New Roman"/>
          <w:sz w:val="18"/>
          <w:szCs w:val="18"/>
          <w:color w:val="auto"/>
        </w:rPr>
        <w:t>”) to be purchased by the Underwriters and all or any part of the [·] shares of Common Stock subject to the option described in Section 2(b) hereof (the “</w:t>
      </w:r>
      <w:r>
        <w:rPr>
          <w:rFonts w:ascii="Times New Roman" w:cs="Times New Roman" w:eastAsia="Times New Roman" w:hAnsi="Times New Roman"/>
          <w:sz w:val="18"/>
          <w:szCs w:val="18"/>
          <w:u w:val="single" w:color="auto"/>
          <w:color w:val="auto"/>
        </w:rPr>
        <w:t>Option Securities</w:t>
      </w:r>
      <w:r>
        <w:rPr>
          <w:rFonts w:ascii="Times New Roman" w:cs="Times New Roman" w:eastAsia="Times New Roman" w:hAnsi="Times New Roman"/>
          <w:sz w:val="18"/>
          <w:szCs w:val="18"/>
          <w:color w:val="auto"/>
        </w:rPr>
        <w:t>”) are hereinafter called, collectively,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as used herein shall mean Safety, Income and Growth, Inc., together with its consolidated subsidiaries, including the Operating Partnership, after giving effect to the Formation Transactions (as defined below). The terms “</w:t>
      </w:r>
      <w:r>
        <w:rPr>
          <w:rFonts w:ascii="Times New Roman" w:cs="Times New Roman" w:eastAsia="Times New Roman" w:hAnsi="Times New Roman"/>
          <w:sz w:val="18"/>
          <w:szCs w:val="18"/>
          <w:u w:val="single" w:color="auto"/>
          <w:color w:val="auto"/>
        </w:rPr>
        <w:t>Predecessor”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predecessor entities</w:t>
      </w:r>
      <w:r>
        <w:rPr>
          <w:rFonts w:ascii="Times New Roman" w:cs="Times New Roman" w:eastAsia="Times New Roman" w:hAnsi="Times New Roman"/>
          <w:sz w:val="18"/>
          <w:szCs w:val="18"/>
          <w:color w:val="auto"/>
        </w:rPr>
        <w:t>” as used herein shall mean the Company’s predecessor before giving effect to the Formation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Prior to or concurrently with the sale of the Securities, the Company will (i) complete a series of transactions described in the Registration Statement, the General Disclosure Package and the Prospectus (as each term is defined below) under the caption “Structure and Formation of Our Company,” including the acquisition of all of the equity interests in its predecessor entities, all of which were wholly-owned by iStar Inc. (“</w:t>
      </w:r>
      <w:r>
        <w:rPr>
          <w:rFonts w:ascii="Times New Roman" w:cs="Times New Roman" w:eastAsia="Times New Roman" w:hAnsi="Times New Roman"/>
          <w:sz w:val="18"/>
          <w:szCs w:val="18"/>
          <w:u w:val="single" w:color="auto"/>
          <w:color w:val="auto"/>
        </w:rPr>
        <w:t>iStar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Formation Transactions</w:t>
      </w:r>
      <w:r>
        <w:rPr>
          <w:rFonts w:ascii="Times New Roman" w:cs="Times New Roman" w:eastAsia="Times New Roman" w:hAnsi="Times New Roman"/>
          <w:sz w:val="18"/>
          <w:szCs w:val="18"/>
          <w:color w:val="auto"/>
        </w:rPr>
        <w:t>”); and (ii) sell [·] shares of Common Stock in a private placement to iStar at a price per share of $[·] (the “</w:t>
      </w:r>
      <w:r>
        <w:rPr>
          <w:rFonts w:ascii="Times New Roman" w:cs="Times New Roman" w:eastAsia="Times New Roman" w:hAnsi="Times New Roman"/>
          <w:sz w:val="18"/>
          <w:szCs w:val="18"/>
          <w:u w:val="single" w:color="auto"/>
          <w:color w:val="auto"/>
        </w:rPr>
        <w:t>Concurrent iStar Placement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Transaction Entities understand that the Underwriters propose to make a public offering of the Securities as soon as the Representatives deem advisable after this Agreement has been executed and delivered.</w:t>
      </w:r>
    </w:p>
    <w:p>
      <w:pPr>
        <w:spacing w:after="0" w:line="162"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Company and the Underwriters agree that up to [·] shares of the Initial Securities to be purchased by the Underwriters (the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shall be reserved for sale by the Underwriters to certain persons designated by the Company (the “</w:t>
      </w:r>
      <w:r>
        <w:rPr>
          <w:rFonts w:ascii="Times New Roman" w:cs="Times New Roman" w:eastAsia="Times New Roman" w:hAnsi="Times New Roman"/>
          <w:sz w:val="18"/>
          <w:szCs w:val="18"/>
          <w:u w:val="single" w:color="auto"/>
          <w:color w:val="auto"/>
        </w:rPr>
        <w:t>Invitees</w:t>
      </w:r>
      <w:r>
        <w:rPr>
          <w:rFonts w:ascii="Times New Roman" w:cs="Times New Roman" w:eastAsia="Times New Roman" w:hAnsi="Times New Roman"/>
          <w:sz w:val="18"/>
          <w:szCs w:val="18"/>
          <w:color w:val="auto"/>
        </w:rPr>
        <w:t>”), as part of the distribution of the Securities by the Underwriters, subject to the terms of this Agreement, the applicable rules, regulations and interpretations of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and all other applicable laws, rules and regulations. The Company solely determined, without any direct or indirect</w:t>
      </w:r>
    </w:p>
    <w:p>
      <w:pPr>
        <w:sectPr>
          <w:pgSz w:w="11900" w:h="16838" w:orient="portrait"/>
          <w:cols w:equalWidth="0" w:num="1">
            <w:col w:w="11420"/>
          </w:cols>
          <w:pgMar w:left="240" w:top="360" w:right="239" w:bottom="0" w:gutter="0" w:footer="0" w:header="0"/>
        </w:sectPr>
      </w:pPr>
    </w:p>
    <w:bookmarkStart w:id="13" w:name="page14"/>
    <w:bookmarkEnd w:id="13"/>
    <w:p>
      <w:pPr>
        <w:ind w:right="140"/>
        <w:spacing w:after="0" w:line="266" w:lineRule="auto"/>
        <w:rPr>
          <w:sz w:val="20"/>
          <w:szCs w:val="20"/>
          <w:color w:val="auto"/>
        </w:rPr>
      </w:pPr>
      <w:r>
        <w:rPr>
          <w:rFonts w:ascii="Times New Roman" w:cs="Times New Roman" w:eastAsia="Times New Roman" w:hAnsi="Times New Roman"/>
          <w:sz w:val="18"/>
          <w:szCs w:val="18"/>
          <w:color w:val="auto"/>
        </w:rPr>
        <w:t>participation by the Underwriters, the Invitees who will purchase Reserved Securities (including the amount to be purchased by such persons) sold by the Underwriters. To the extent that such Reserved Securities are not orally confirmed for purchase by Invitees by 11:59 P.M. (New York City time) on the date of this Agreement, such Reserved Securities may be offered to the public as part of the public offering contemplated hereby.</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 registration statement on Form S-11 (No. 333-217224), including the related preliminary prospectus or prospectuses, covering the registration of the offer and sale of the Securities under the Securities Act of 1933, as amended (the “</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Promptly after execution and delivery of this Agreement, the Company will prepare and file a prospectus in accordance with the provisions of Rule 430A (“</w:t>
      </w:r>
      <w:r>
        <w:rPr>
          <w:rFonts w:ascii="Times New Roman" w:cs="Times New Roman" w:eastAsia="Times New Roman" w:hAnsi="Times New Roman"/>
          <w:sz w:val="18"/>
          <w:szCs w:val="18"/>
          <w:u w:val="single" w:color="auto"/>
          <w:color w:val="auto"/>
        </w:rPr>
        <w:t>Rule 430A</w:t>
      </w:r>
      <w:r>
        <w:rPr>
          <w:rFonts w:ascii="Times New Roman" w:cs="Times New Roman" w:eastAsia="Times New Roman" w:hAnsi="Times New Roman"/>
          <w:sz w:val="18"/>
          <w:szCs w:val="18"/>
          <w:color w:val="auto"/>
        </w:rPr>
        <w:t>”) of the rules and regulations of the Commission under the 1933 Act (the “</w:t>
      </w:r>
      <w:r>
        <w:rPr>
          <w:rFonts w:ascii="Times New Roman" w:cs="Times New Roman" w:eastAsia="Times New Roman" w:hAnsi="Times New Roman"/>
          <w:sz w:val="18"/>
          <w:szCs w:val="18"/>
          <w:u w:val="single" w:color="auto"/>
          <w:color w:val="auto"/>
        </w:rPr>
        <w:t>1933 Act Regulations</w:t>
      </w:r>
      <w:r>
        <w:rPr>
          <w:rFonts w:ascii="Times New Roman" w:cs="Times New Roman" w:eastAsia="Times New Roman" w:hAnsi="Times New Roman"/>
          <w:sz w:val="18"/>
          <w:szCs w:val="18"/>
          <w:color w:val="auto"/>
        </w:rPr>
        <w:t>”) and</w:t>
      </w:r>
    </w:p>
    <w:p>
      <w:pPr>
        <w:spacing w:after="0" w:line="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Rule 424(b) (“</w:t>
      </w:r>
      <w:r>
        <w:rPr>
          <w:rFonts w:ascii="Times New Roman" w:cs="Times New Roman" w:eastAsia="Times New Roman" w:hAnsi="Times New Roman"/>
          <w:sz w:val="18"/>
          <w:szCs w:val="18"/>
          <w:u w:val="single" w:color="auto"/>
          <w:color w:val="auto"/>
        </w:rPr>
        <w:t>Rule 424(b)</w:t>
      </w:r>
      <w:r>
        <w:rPr>
          <w:rFonts w:ascii="Times New Roman" w:cs="Times New Roman" w:eastAsia="Times New Roman" w:hAnsi="Times New Roman"/>
          <w:sz w:val="18"/>
          <w:szCs w:val="18"/>
          <w:color w:val="auto"/>
        </w:rPr>
        <w:t>”) of the 1933 Act Regulations. The information included in such prospectus that was omitted from such registration statement at the time it became effective but that is deemed to be part of such registration statement at the time it became effective pursuant to Rule 430A(b) is hereinafter called the “</w:t>
      </w:r>
      <w:r>
        <w:rPr>
          <w:rFonts w:ascii="Times New Roman" w:cs="Times New Roman" w:eastAsia="Times New Roman" w:hAnsi="Times New Roman"/>
          <w:sz w:val="18"/>
          <w:szCs w:val="18"/>
          <w:u w:val="single" w:color="auto"/>
          <w:color w:val="auto"/>
        </w:rPr>
        <w:t>Rule 430A Information</w:t>
      </w:r>
      <w:r>
        <w:rPr>
          <w:rFonts w:ascii="Times New Roman" w:cs="Times New Roman" w:eastAsia="Times New Roman" w:hAnsi="Times New Roman"/>
          <w:sz w:val="18"/>
          <w:szCs w:val="18"/>
          <w:color w:val="auto"/>
        </w:rPr>
        <w:t>.” Such registration statement, including the amendments, exhibits and any schedules thereto, as of the time it became effective, and including the Rule 430A Information, is hereinafter called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Any registration statement filed pursuant to</w:t>
      </w:r>
    </w:p>
    <w:p>
      <w:pPr>
        <w:spacing w:after="0" w:line="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Rule 462(b) of the 1933 Act Regulations (“</w:t>
      </w:r>
      <w:r>
        <w:rPr>
          <w:rFonts w:ascii="Times New Roman" w:cs="Times New Roman" w:eastAsia="Times New Roman" w:hAnsi="Times New Roman"/>
          <w:sz w:val="18"/>
          <w:szCs w:val="18"/>
          <w:u w:val="single" w:color="auto"/>
          <w:color w:val="auto"/>
        </w:rPr>
        <w:t>Rule 462(b)</w:t>
      </w:r>
      <w:r>
        <w:rPr>
          <w:rFonts w:ascii="Times New Roman" w:cs="Times New Roman" w:eastAsia="Times New Roman" w:hAnsi="Times New Roman"/>
          <w:sz w:val="18"/>
          <w:szCs w:val="18"/>
          <w:color w:val="auto"/>
        </w:rPr>
        <w:t>”) is hereinafter called the “</w:t>
      </w:r>
      <w:r>
        <w:rPr>
          <w:rFonts w:ascii="Times New Roman" w:cs="Times New Roman" w:eastAsia="Times New Roman" w:hAnsi="Times New Roman"/>
          <w:sz w:val="18"/>
          <w:szCs w:val="18"/>
          <w:u w:val="single" w:color="auto"/>
          <w:color w:val="auto"/>
        </w:rPr>
        <w:t>Rule 462(b) Registration Statement</w:t>
      </w:r>
      <w:r>
        <w:rPr>
          <w:rFonts w:ascii="Times New Roman" w:cs="Times New Roman" w:eastAsia="Times New Roman" w:hAnsi="Times New Roman"/>
          <w:sz w:val="18"/>
          <w:szCs w:val="18"/>
          <w:color w:val="auto"/>
        </w:rPr>
        <w:t>” and, after such filing, the term “Registration Statement” shall include the Rule 462(b) Registration Statement. Each prospectus used prior to the effectiveness of the Registration Statement, and each prospectus that omitted the Rule 430A Information that was used after such effectiveness and prior to the execution and delivery of this Agreement, if any, is hereinafter called a “</w:t>
      </w:r>
      <w:r>
        <w:rPr>
          <w:rFonts w:ascii="Times New Roman" w:cs="Times New Roman" w:eastAsia="Times New Roman" w:hAnsi="Times New Roman"/>
          <w:sz w:val="18"/>
          <w:szCs w:val="18"/>
          <w:u w:val="single" w:color="auto"/>
          <w:color w:val="auto"/>
        </w:rPr>
        <w:t>preliminary prospectus</w:t>
      </w:r>
      <w:r>
        <w:rPr>
          <w:rFonts w:ascii="Times New Roman" w:cs="Times New Roman" w:eastAsia="Times New Roman" w:hAnsi="Times New Roman"/>
          <w:sz w:val="18"/>
          <w:szCs w:val="18"/>
          <w:color w:val="auto"/>
        </w:rPr>
        <w:t>.” The final prospectus, in the form first furnished to the Underwriters for use in connection with the offering of the Securities, is hereinafter called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Agreement:</w:t>
      </w:r>
    </w:p>
    <w:p>
      <w:pPr>
        <w:spacing w:after="0" w:line="225" w:lineRule="exact"/>
        <w:rPr>
          <w:sz w:val="20"/>
          <w:szCs w:val="20"/>
          <w:color w:val="auto"/>
        </w:rPr>
      </w:pPr>
    </w:p>
    <w:p>
      <w:pPr>
        <w:ind w:left="660" w:right="7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means [·] [P.M./A.M.], New York City time, on [·], 2017 or such other time as agreed by the Company and the Representatives.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10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Disclosure Package</w:t>
      </w:r>
      <w:r>
        <w:rPr>
          <w:rFonts w:ascii="Times New Roman" w:cs="Times New Roman" w:eastAsia="Times New Roman" w:hAnsi="Times New Roman"/>
          <w:sz w:val="18"/>
          <w:szCs w:val="18"/>
          <w:color w:val="auto"/>
        </w:rPr>
        <w:t xml:space="preserve">” means any Issuer General Use Free Writing Prospectuses (as defined below) issued prior to the Applicable Time, the most recent preliminary prospectus included in the Registration Statement that is distributed to investors prior to the Applicable Time and the information included on </w:t>
      </w:r>
      <w:r>
        <w:rPr>
          <w:rFonts w:ascii="Times New Roman" w:cs="Times New Roman" w:eastAsia="Times New Roman" w:hAnsi="Times New Roman"/>
          <w:sz w:val="18"/>
          <w:szCs w:val="18"/>
          <w:u w:val="single" w:color="auto"/>
          <w:color w:val="auto"/>
        </w:rPr>
        <w:t>Schedule B-1</w:t>
      </w:r>
      <w:r>
        <w:rPr>
          <w:rFonts w:ascii="Times New Roman" w:cs="Times New Roman" w:eastAsia="Times New Roman" w:hAnsi="Times New Roman"/>
          <w:sz w:val="18"/>
          <w:szCs w:val="18"/>
          <w:color w:val="auto"/>
        </w:rPr>
        <w:t xml:space="preserve"> hereto, all considered together.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means any “issuer free writing prospectus,” as defined in Rule 433 of the 1933 Act Regulations</w:t>
      </w:r>
    </w:p>
    <w:p>
      <w:pPr>
        <w:spacing w:after="0" w:line="27"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433</w:t>
      </w:r>
      <w:r>
        <w:rPr>
          <w:rFonts w:ascii="Times New Roman" w:cs="Times New Roman" w:eastAsia="Times New Roman" w:hAnsi="Times New Roman"/>
          <w:sz w:val="18"/>
          <w:szCs w:val="18"/>
          <w:color w:val="auto"/>
        </w:rPr>
        <w:t>”), including, without limitation, any “free writing prospectus” (as defined in Rule 405 of the 1933 Act Regulations (“</w:t>
      </w: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relating to the Securities that is (i) required to be filed with the Commission by the Company, (ii) a “road show that is a written communication” within the meaning of Rule 433(d)(8)(i) of the 1933 Act Regulations (“</w:t>
      </w:r>
      <w:r>
        <w:rPr>
          <w:rFonts w:ascii="Times New Roman" w:cs="Times New Roman" w:eastAsia="Times New Roman" w:hAnsi="Times New Roman"/>
          <w:sz w:val="18"/>
          <w:szCs w:val="18"/>
          <w:u w:val="single" w:color="auto"/>
          <w:color w:val="auto"/>
        </w:rPr>
        <w:t>Rule 433(d)(8)(i)</w:t>
      </w:r>
      <w:r>
        <w:rPr>
          <w:rFonts w:ascii="Times New Roman" w:cs="Times New Roman" w:eastAsia="Times New Roman" w:hAnsi="Times New Roman"/>
          <w:sz w:val="18"/>
          <w:szCs w:val="18"/>
          <w:color w:val="auto"/>
        </w:rPr>
        <w:t>”), whether or not required to be filed with the Commission, or</w:t>
      </w:r>
    </w:p>
    <w:p>
      <w:pPr>
        <w:spacing w:after="0" w:line="1" w:lineRule="exact"/>
        <w:rPr>
          <w:sz w:val="20"/>
          <w:szCs w:val="20"/>
          <w:color w:val="auto"/>
        </w:rPr>
      </w:pPr>
    </w:p>
    <w:p>
      <w:pPr>
        <w:ind w:left="660" w:right="440" w:hanging="4"/>
        <w:spacing w:after="0" w:line="277" w:lineRule="auto"/>
        <w:tabs>
          <w:tab w:leader="none" w:pos="97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exempt from filing with the Commission pursuant to Rule 433(d)(5)(i) of the 1933 Act Regulations because it contains a description of the Securities or of the offering of the Securities that does not reflect the final terms, in each case in the form filed or required to be filed with the Commission or, if not required to be filed, in the form retained in the Company’s records pursuant to Rule 433(g) of the 1933 Act Regulations.</w:t>
      </w:r>
    </w:p>
    <w:p>
      <w:pPr>
        <w:spacing w:after="0" w:line="169" w:lineRule="exact"/>
        <w:rPr>
          <w:sz w:val="20"/>
          <w:szCs w:val="20"/>
          <w:color w:val="auto"/>
        </w:rPr>
      </w:pPr>
    </w:p>
    <w:p>
      <w:pPr>
        <w:ind w:left="660" w:right="1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General Use Free Writing Prospectus</w:t>
      </w:r>
      <w:r>
        <w:rPr>
          <w:rFonts w:ascii="Times New Roman" w:cs="Times New Roman" w:eastAsia="Times New Roman" w:hAnsi="Times New Roman"/>
          <w:sz w:val="18"/>
          <w:szCs w:val="18"/>
          <w:color w:val="auto"/>
        </w:rPr>
        <w:t>” means any Issuer Free Writing Prospectus that is intended for general distribution to prospective investors (other than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electronic road show,” as defined in Rule 433 (the “</w:t>
      </w:r>
      <w:r>
        <w:rPr>
          <w:rFonts w:ascii="Times New Roman" w:cs="Times New Roman" w:eastAsia="Times New Roman" w:hAnsi="Times New Roman"/>
          <w:sz w:val="18"/>
          <w:szCs w:val="18"/>
          <w:u w:val="single" w:color="auto"/>
          <w:color w:val="auto"/>
        </w:rPr>
        <w:t>Bona Fide Electronic Road Show</w:t>
      </w:r>
      <w:r>
        <w:rPr>
          <w:rFonts w:ascii="Times New Roman" w:cs="Times New Roman" w:eastAsia="Times New Roman" w:hAnsi="Times New Roman"/>
          <w:sz w:val="18"/>
          <w:szCs w:val="18"/>
          <w:color w:val="auto"/>
        </w:rPr>
        <w:t xml:space="preserve">”)), as specified in </w:t>
      </w:r>
      <w:r>
        <w:rPr>
          <w:rFonts w:ascii="Times New Roman" w:cs="Times New Roman" w:eastAsia="Times New Roman" w:hAnsi="Times New Roman"/>
          <w:sz w:val="18"/>
          <w:szCs w:val="18"/>
          <w:u w:val="single" w:color="auto"/>
          <w:color w:val="auto"/>
        </w:rPr>
        <w:t>Schedule B-2</w:t>
      </w:r>
      <w:r>
        <w:rPr>
          <w:rFonts w:ascii="Times New Roman" w:cs="Times New Roman" w:eastAsia="Times New Roman" w:hAnsi="Times New Roman"/>
          <w:sz w:val="18"/>
          <w:szCs w:val="18"/>
          <w:color w:val="auto"/>
        </w:rPr>
        <w:t xml:space="preserve"> hereto.</w:t>
      </w:r>
    </w:p>
    <w:p>
      <w:pPr>
        <w:spacing w:after="0" w:line="176" w:lineRule="exact"/>
        <w:rPr>
          <w:sz w:val="20"/>
          <w:szCs w:val="20"/>
          <w:color w:val="auto"/>
        </w:rPr>
      </w:pPr>
    </w:p>
    <w:p>
      <w:pPr>
        <w:ind w:left="660" w:right="3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Limited Use Free Writing Prospectus</w:t>
      </w:r>
      <w:r>
        <w:rPr>
          <w:rFonts w:ascii="Times New Roman" w:cs="Times New Roman" w:eastAsia="Times New Roman" w:hAnsi="Times New Roman"/>
          <w:sz w:val="18"/>
          <w:szCs w:val="18"/>
          <w:color w:val="auto"/>
        </w:rPr>
        <w:t>” means any Issuer Free Writing Prospectus that is not an Issuer General Use Free Writing Prospectus.</w:t>
      </w:r>
    </w:p>
    <w:p>
      <w:pPr>
        <w:spacing w:after="0" w:line="162" w:lineRule="exact"/>
        <w:rPr>
          <w:sz w:val="20"/>
          <w:szCs w:val="20"/>
          <w:color w:val="auto"/>
        </w:rPr>
      </w:pPr>
    </w:p>
    <w:p>
      <w:pPr>
        <w:ind w:left="660" w:right="7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Testing-the-Waters Communication</w:t>
      </w:r>
      <w:r>
        <w:rPr>
          <w:rFonts w:ascii="Times New Roman" w:cs="Times New Roman" w:eastAsia="Times New Roman" w:hAnsi="Times New Roman"/>
          <w:sz w:val="18"/>
          <w:szCs w:val="18"/>
          <w:color w:val="auto"/>
        </w:rPr>
        <w:t>” means any oral or written communication with potential investors undertaken in reliance on Section 5(d) of the 1933 Act.</w:t>
      </w:r>
    </w:p>
    <w:p>
      <w:pPr>
        <w:spacing w:after="0" w:line="162" w:lineRule="exact"/>
        <w:rPr>
          <w:sz w:val="20"/>
          <w:szCs w:val="20"/>
          <w:color w:val="auto"/>
        </w:rPr>
      </w:pPr>
    </w:p>
    <w:p>
      <w:pPr>
        <w:ind w:left="660" w:right="2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Written Testing-the-Waters Communication</w:t>
      </w:r>
      <w:r>
        <w:rPr>
          <w:rFonts w:ascii="Times New Roman" w:cs="Times New Roman" w:eastAsia="Times New Roman" w:hAnsi="Times New Roman"/>
          <w:sz w:val="18"/>
          <w:szCs w:val="18"/>
          <w:color w:val="auto"/>
        </w:rPr>
        <w:t>” means any Testing-the-Waters Communication that is a written communication within the meaning of Rule 405 under the 1933 Act.</w:t>
      </w:r>
    </w:p>
    <w:p>
      <w:pPr>
        <w:spacing w:after="0" w:line="162"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right="40" w:firstLine="656"/>
        <w:spacing w:after="0" w:line="267" w:lineRule="auto"/>
        <w:tabs>
          <w:tab w:leader="none" w:pos="129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by the Transaction Entities</w:t>
      </w:r>
      <w:r>
        <w:rPr>
          <w:rFonts w:ascii="Times New Roman" w:cs="Times New Roman" w:eastAsia="Times New Roman" w:hAnsi="Times New Roman"/>
          <w:sz w:val="18"/>
          <w:szCs w:val="18"/>
          <w:color w:val="auto"/>
        </w:rPr>
        <w:t>. Each of the Transaction Entities, jointly and severally, represents and warrants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each Underwriter at the date hereof, the Applicable Time, the Closing Time (as defined below) and each Date of Delivery (as defined below), if any, and agrees with each Underwriter, as follows:</w:t>
      </w:r>
    </w:p>
    <w:p>
      <w:pPr>
        <w:spacing w:after="0" w:line="175" w:lineRule="exact"/>
        <w:rPr>
          <w:rFonts w:ascii="Times New Roman" w:cs="Times New Roman" w:eastAsia="Times New Roman" w:hAnsi="Times New Roman"/>
          <w:sz w:val="18"/>
          <w:szCs w:val="18"/>
          <w:color w:val="auto"/>
        </w:rPr>
      </w:pPr>
    </w:p>
    <w:p>
      <w:pPr>
        <w:ind w:left="660" w:right="340" w:firstLine="645"/>
        <w:spacing w:after="0" w:line="256" w:lineRule="auto"/>
        <w:tabs>
          <w:tab w:leader="none" w:pos="197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Prospectuses</w:t>
      </w:r>
      <w:r>
        <w:rPr>
          <w:rFonts w:ascii="Times New Roman" w:cs="Times New Roman" w:eastAsia="Times New Roman" w:hAnsi="Times New Roman"/>
          <w:sz w:val="18"/>
          <w:szCs w:val="18"/>
          <w:color w:val="auto"/>
        </w:rPr>
        <w:t>. Each of the Registration Statement and any post-effective amendment thereto has become effective under the 1933 Act.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or pursuant to Section 8A of the 1933 Act have been instituted or are pending or, to the knowledge of either of the Transaction Entities, contemplated. The Company has complied with each request, if any, from the Commission for additional information.</w:t>
      </w:r>
    </w:p>
    <w:p>
      <w:pPr>
        <w:spacing w:after="0" w:line="188" w:lineRule="exact"/>
        <w:rPr>
          <w:sz w:val="20"/>
          <w:szCs w:val="20"/>
          <w:color w:val="auto"/>
        </w:rPr>
      </w:pPr>
    </w:p>
    <w:p>
      <w:pPr>
        <w:ind w:left="660" w:right="100" w:firstLine="648"/>
        <w:spacing w:after="0" w:line="266" w:lineRule="auto"/>
        <w:rPr>
          <w:sz w:val="20"/>
          <w:szCs w:val="20"/>
          <w:color w:val="auto"/>
        </w:rPr>
      </w:pPr>
      <w:r>
        <w:rPr>
          <w:rFonts w:ascii="Times New Roman" w:cs="Times New Roman" w:eastAsia="Times New Roman" w:hAnsi="Times New Roman"/>
          <w:sz w:val="18"/>
          <w:szCs w:val="18"/>
          <w:color w:val="auto"/>
        </w:rPr>
        <w:t>Each of the Registration Statement and any post-effective amendment thereto, at the time it became effective, complied in all material respects with the requirements of the 1933 Act and the 1933 Act Regulations. The preliminary prospectus that is included in the General Disclosure Package, at the time it was filed with the Commission, complied, and the Prospectus and each</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536" w:gutter="0" w:footer="0" w:header="0"/>
        </w:sectPr>
      </w:pPr>
    </w:p>
    <w:bookmarkStart w:id="14" w:name="page15"/>
    <w:bookmarkEnd w:id="14"/>
    <w:p>
      <w:pPr>
        <w:spacing w:after="0" w:line="1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amendment or supplement thereto, at the time each was filed with the Commission, complied in all material respects with the requirements of the 1933 Act and the 1933 Act Regulations. Each preliminary prospectus and the Prospectus delivered to the Underwriters for use in connection with the offering of the Securities were or will be substantially identical to the electronically transmitted copies thereof filed with the Commission pursuant to EDGAR, except to the extent permitted by Regulation S-T.</w:t>
      </w:r>
    </w:p>
    <w:p>
      <w:pPr>
        <w:spacing w:after="0" w:line="180" w:lineRule="exact"/>
        <w:rPr>
          <w:sz w:val="20"/>
          <w:szCs w:val="20"/>
          <w:color w:val="auto"/>
        </w:rPr>
      </w:pPr>
    </w:p>
    <w:p>
      <w:pPr>
        <w:ind w:firstLine="645"/>
        <w:spacing w:after="0" w:line="253" w:lineRule="auto"/>
        <w:tabs>
          <w:tab w:leader="none" w:pos="132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Accurate Disclosure</w:t>
      </w:r>
      <w:r>
        <w:rPr>
          <w:rFonts w:ascii="Times New Roman" w:cs="Times New Roman" w:eastAsia="Times New Roman" w:hAnsi="Times New Roman"/>
          <w:sz w:val="18"/>
          <w:szCs w:val="18"/>
          <w:color w:val="auto"/>
        </w:rPr>
        <w:t>. Neither the Registration Statement nor any post-effective amendment thereto, at the time it became effective, the date hereof, the Closing Time or any Date of Delivery, contained, contains or will contain an untrue statement of a material fact or omitted, omits or will omit to state a material fact required to be stated therein or necessary to make the statements therein not misleading. At the Applicable Time, none of (A) the General Disclosure Package, (B) any individual Issuer Limited Use Free Writing Prospectus, when considered together with the General Disclosure Package, or (C) any individual Written Testing-the-Waters Communication,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(including any prospectus wrapper), at its issue date, the time of any filing with the Commission pursuant to Rule 424(b), the Closing Time or any Date of Delivery,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93"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representations and warranties in this Section 1(a)(ii) shall not apply to statements in or omissions from the Registration Statement (or any amendment thereto) or the General Disclosure Package or the Prospectus (or any amendment or supplement thereto) made in reliance upon and in conformity with written information furnished to the Company by any Underwriter through the Representatives expressly for use therein. For purposes of this Agreement, the only information so furnished shall be the information in the first paragraph under the heading “Underwriting— Commissions and Discounts,” the information in the second and third paragraphs under the heading “Underwriting—Price Stabilization, Short Positions and Penalty Bids” and the information under the heading “Underwriting—Electronic Distribution”, in each case contained in the Registration Statement, the General Disclosure Package and the Prospectus (collectively, the “</w:t>
      </w:r>
      <w:r>
        <w:rPr>
          <w:rFonts w:ascii="Times New Roman" w:cs="Times New Roman" w:eastAsia="Times New Roman" w:hAnsi="Times New Roman"/>
          <w:sz w:val="18"/>
          <w:szCs w:val="18"/>
          <w:u w:val="single" w:color="auto"/>
          <w:color w:val="auto"/>
        </w:rPr>
        <w:t>Underwriter Information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00" w:firstLine="645"/>
        <w:spacing w:after="0" w:line="255" w:lineRule="auto"/>
        <w:tabs>
          <w:tab w:leader="none" w:pos="133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Testing-the-Waters Materials</w:t>
      </w:r>
      <w:r>
        <w:rPr>
          <w:rFonts w:ascii="Times New Roman" w:cs="Times New Roman" w:eastAsia="Times New Roman" w:hAnsi="Times New Roman"/>
          <w:sz w:val="18"/>
          <w:szCs w:val="18"/>
          <w:color w:val="auto"/>
        </w:rPr>
        <w:t>. Neither of the Transaction Entities (A) have engaged in any Testing-the-Waters Communication other than Testing-the-Waters Communications with the prior written consent of the Representatives with entities that are qualified institutional buyers within the meaning of Rule 144A of the 1933 Act Regulations or institutions that are accredited investors within the meaning of Rule 501 of the 1933 Act Regulations or (B) have authorized anyone other than the Representatives to engage in Testing-the-Waters Communications. The Transaction Entities reconfirm that the Representatives have been authorized to act on their behalf in undertaking Testing-the-Waters Communications. Neither of the Transaction Entities has distributed any Written Testing-the-Waters Communications other than those listed on Schedule B-3 hereto.</w:t>
      </w:r>
    </w:p>
    <w:p>
      <w:pPr>
        <w:spacing w:after="0" w:line="189" w:lineRule="exact"/>
        <w:rPr>
          <w:rFonts w:ascii="Times New Roman" w:cs="Times New Roman" w:eastAsia="Times New Roman" w:hAnsi="Times New Roman"/>
          <w:sz w:val="18"/>
          <w:szCs w:val="18"/>
          <w:color w:val="auto"/>
        </w:rPr>
      </w:pPr>
    </w:p>
    <w:p>
      <w:pPr>
        <w:ind w:right="200" w:firstLine="645"/>
        <w:spacing w:after="0" w:line="261" w:lineRule="auto"/>
        <w:tabs>
          <w:tab w:leader="none" w:pos="131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Issuer Free Writing Prospectuses</w:t>
      </w:r>
      <w:r>
        <w:rPr>
          <w:rFonts w:ascii="Times New Roman" w:cs="Times New Roman" w:eastAsia="Times New Roman" w:hAnsi="Times New Roman"/>
          <w:sz w:val="18"/>
          <w:szCs w:val="18"/>
          <w:color w:val="auto"/>
        </w:rPr>
        <w:t>. No Issuer Free Writing Prospectus that has not been superseded or modified conflicts or will conflict with the information contained in the Registration Statement or the Prospectus, or any preliminary or other prospectus deemed to be a part thereof that has not been superseded or modified. Each Issuer Free Writing Prospectus conformed or will conform in all material respects to the requirements of the 1933 Act and the</w:t>
      </w:r>
    </w:p>
    <w:p>
      <w:pPr>
        <w:spacing w:after="0" w:line="18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83820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1933 Act Regulations on the date of first use, and the Company has complied with any filing requirements applicable to such Issuer Free Writing Prospectus pursuant to the 1933 Act Regulations. Neither of the Transaction Entities has made any offer relating to the Securities that would constitute an Issuer Free Writing Prospectus without the prior written consent of the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consent is deemed to have been given with respect to each Issuer Free Writing Prospectus, if any, identified on </w:t>
      </w:r>
      <w:r>
        <w:rPr>
          <w:rFonts w:ascii="Times New Roman" w:cs="Times New Roman" w:eastAsia="Times New Roman" w:hAnsi="Times New Roman"/>
          <w:sz w:val="18"/>
          <w:szCs w:val="18"/>
          <w:u w:val="single" w:color="auto"/>
          <w:color w:val="auto"/>
        </w:rPr>
        <w:t>Schedule B-2</w:t>
      </w:r>
      <w:r>
        <w:rPr>
          <w:rFonts w:ascii="Times New Roman" w:cs="Times New Roman" w:eastAsia="Times New Roman" w:hAnsi="Times New Roman"/>
          <w:sz w:val="18"/>
          <w:szCs w:val="18"/>
          <w:color w:val="auto"/>
        </w:rPr>
        <w:t>. The Company has retained in accordance with the 1933 Act Regulations all Issuer Free Writing Prospectuses that were not required to be filed pursuant to the 1933 Act Regulations. The Company has made available a Bona Fide Electronic Road Show in compliance with Rule 433(d)(8)(ii) of the 1933 Act Regulations such that no filing of any “road show” (as defined in Rule 433(h) of the 1933 Act Regulations) is required in connection with the offering of the Securities.</w:t>
      </w:r>
    </w:p>
    <w:p>
      <w:pPr>
        <w:spacing w:after="0" w:line="189" w:lineRule="exact"/>
        <w:rPr>
          <w:sz w:val="20"/>
          <w:szCs w:val="20"/>
          <w:color w:val="auto"/>
        </w:rPr>
      </w:pPr>
    </w:p>
    <w:p>
      <w:pPr>
        <w:ind w:right="300" w:firstLine="645"/>
        <w:spacing w:after="0" w:line="258" w:lineRule="auto"/>
        <w:tabs>
          <w:tab w:leader="none" w:pos="13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Not Ineligible Issuer</w:t>
      </w:r>
      <w:r>
        <w:rPr>
          <w:rFonts w:ascii="Times New Roman" w:cs="Times New Roman" w:eastAsia="Times New Roman" w:hAnsi="Times New Roman"/>
          <w:sz w:val="18"/>
          <w:szCs w:val="18"/>
          <w:color w:val="auto"/>
        </w:rPr>
        <w:t xml:space="preserve">. At the time of filing the Registration Statement and any post-effective amendment thereto, the earliest time thereafter that either Transaction Entity or other offering participant made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 of the Securities (within the meaning of Rule 164(h)(2) of the 1933 Act Regulations) and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183" w:lineRule="exact"/>
        <w:rPr>
          <w:rFonts w:ascii="Times New Roman" w:cs="Times New Roman" w:eastAsia="Times New Roman" w:hAnsi="Times New Roman"/>
          <w:sz w:val="18"/>
          <w:szCs w:val="18"/>
          <w:color w:val="auto"/>
        </w:rPr>
      </w:pPr>
    </w:p>
    <w:p>
      <w:pPr>
        <w:ind w:right="40" w:firstLine="645"/>
        <w:spacing w:after="0" w:line="261" w:lineRule="auto"/>
        <w:tabs>
          <w:tab w:leader="none" w:pos="131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Emerging Growth Company Status</w:t>
      </w:r>
      <w:r>
        <w:rPr>
          <w:rFonts w:ascii="Times New Roman" w:cs="Times New Roman" w:eastAsia="Times New Roman" w:hAnsi="Times New Roman"/>
          <w:sz w:val="18"/>
          <w:szCs w:val="18"/>
          <w:color w:val="auto"/>
        </w:rPr>
        <w:t>. From the time of the initial confidential submission of the Registration Statement to the Commission (or, if earlier, the first date on which the Transaction Entities engaged directly or through any Person authorized to act on their behalf in any Testing-the-Waters Communication) through the date hereof, the Company has been and is an “emerging growth company,” as defined in Section 2(a) of the 1933 Act (an “</w:t>
      </w:r>
      <w:r>
        <w:rPr>
          <w:rFonts w:ascii="Times New Roman" w:cs="Times New Roman" w:eastAsia="Times New Roman" w:hAnsi="Times New Roman"/>
          <w:sz w:val="18"/>
          <w:szCs w:val="18"/>
          <w:u w:val="single" w:color="auto"/>
          <w:color w:val="auto"/>
        </w:rPr>
        <w:t>Emerging Growth Company</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right="480" w:firstLine="645"/>
        <w:spacing w:after="0" w:line="266" w:lineRule="auto"/>
        <w:tabs>
          <w:tab w:leader="none" w:pos="132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The accountants who certified the financial statements and supporting schedules included in the Registration Statement, the General Disclosure Package and the Prospectus are independent public accountants with respect to the Transaction Entities as required by the 1933 Act, the 1933 Act Regulations and the Public Company Accounting Oversight Board.</w:t>
      </w:r>
    </w:p>
    <w:p>
      <w:pPr>
        <w:spacing w:after="0" w:line="176" w:lineRule="exact"/>
        <w:rPr>
          <w:rFonts w:ascii="Times New Roman" w:cs="Times New Roman" w:eastAsia="Times New Roman" w:hAnsi="Times New Roman"/>
          <w:sz w:val="18"/>
          <w:szCs w:val="18"/>
          <w:color w:val="auto"/>
        </w:rPr>
      </w:pPr>
    </w:p>
    <w:p>
      <w:pPr>
        <w:ind w:firstLine="645"/>
        <w:spacing w:after="0" w:line="270" w:lineRule="auto"/>
        <w:tabs>
          <w:tab w:leader="none" w:pos="1332"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Financial Statements; Non-GAAP Financial Measures</w:t>
      </w:r>
      <w:r>
        <w:rPr>
          <w:rFonts w:ascii="Times New Roman" w:cs="Times New Roman" w:eastAsia="Times New Roman" w:hAnsi="Times New Roman"/>
          <w:sz w:val="17"/>
          <w:szCs w:val="17"/>
          <w:color w:val="auto"/>
        </w:rPr>
        <w:t>. The financial statements included in the Registration Statement, the General Disclosure Package and the Prospectus, together with the related schedules and notes, present fairly in all material respects the financial position of the Predecessor at the dates indicated and the results of operations, stockholders’ equity and cash flows of the Predecessor for the periods specified, and such financial statements have been prepared in conformity with U.S. generally accepted accounting principles (“</w:t>
      </w:r>
      <w:r>
        <w:rPr>
          <w:rFonts w:ascii="Times New Roman" w:cs="Times New Roman" w:eastAsia="Times New Roman" w:hAnsi="Times New Roman"/>
          <w:sz w:val="17"/>
          <w:szCs w:val="17"/>
          <w:u w:val="single" w:color="auto"/>
          <w:color w:val="auto"/>
        </w:rPr>
        <w:t>GAAP</w:t>
      </w:r>
      <w:r>
        <w:rPr>
          <w:rFonts w:ascii="Times New Roman" w:cs="Times New Roman" w:eastAsia="Times New Roman" w:hAnsi="Times New Roman"/>
          <w:sz w:val="17"/>
          <w:szCs w:val="17"/>
          <w:color w:val="auto"/>
        </w:rPr>
        <w:t>”) applied on a consistent basis throughout the periods presented. The supporting schedules, if any, relating to the Predecessor present fairly in all material respects in accordance with GAAP the information required to be stated therein. The summary selected and the selected financial and operating data included in the Registration Statement, the General Disclosure Package and the Prospectus present fairly in all material respects the information shown therein and have been compiled on a basis consistent with that of the audited or unaudited, as applicable, financial statements of the Predecessor included therein. The pro forma financial statements of the Company and the related notes thereto included in the Registration Statement, the General Disclosure Package and the Prospectus, if any, present fairly in all material respects the information shown therein, have been prepared in accordance with the Commission’s rules and guidelines with respect to pro forma financial statements and have been properly compiled</w:t>
      </w:r>
    </w:p>
    <w:p>
      <w:pPr>
        <w:sectPr>
          <w:pgSz w:w="11900" w:h="16854" w:orient="portrait"/>
          <w:cols w:equalWidth="0" w:num="1">
            <w:col w:w="10740"/>
          </w:cols>
          <w:pgMar w:left="900" w:top="121" w:right="259" w:bottom="0" w:gutter="0" w:footer="0" w:header="0"/>
        </w:sectPr>
      </w:pPr>
    </w:p>
    <w:bookmarkStart w:id="15" w:name="page16"/>
    <w:bookmarkEnd w:id="15"/>
    <w:p>
      <w:pPr>
        <w:spacing w:after="0" w:line="23"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on the bases described therein, and the assumptions used in the preparation thereof are reasonable and the adjustments used therein are appropriate to give effect to the transactions and circumstances referred to therein. Except as included in the Registration Statement, the General Disclosure</w:t>
      </w:r>
    </w:p>
    <w:p>
      <w:pPr>
        <w:spacing w:after="0" w:line="162"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83820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Package and the Prospectus, no historical or pro forma financial statements or supporting schedules are required to be included in the Registration Statement, the General Disclosure Package or the Prospectus under the 1933 Act or the 1933 Act Regulations. All disclosures contained in the Registration Statement, the General Disclosure Package or the Prospectus regarding “non-GAAP financial measures” (as such term is defined by the rules and regulations of the Commission) comply in all material respects with Regulation G under the Securities Exchange Act of 1934, as amended (the “</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and Item 10 of Regulation S-K under the 1933 Act, in each case to the extent applicable.</w:t>
      </w:r>
    </w:p>
    <w:p>
      <w:pPr>
        <w:spacing w:after="0" w:line="184" w:lineRule="exact"/>
        <w:rPr>
          <w:sz w:val="20"/>
          <w:szCs w:val="20"/>
          <w:color w:val="auto"/>
        </w:rPr>
      </w:pPr>
    </w:p>
    <w:p>
      <w:pPr>
        <w:ind w:left="4" w:right="40" w:firstLine="645"/>
        <w:spacing w:after="0" w:line="253" w:lineRule="auto"/>
        <w:tabs>
          <w:tab w:leader="none" w:pos="131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Except as disclosed in the Registration Statement, the General Disclosure Package and the Prospectus, since the respective dates as of which information is given in the Registration Statement, the General Disclosure Package or the Prospectus, (A) there has been no material adverse change in or affecting the real properties owned or leased (as a tenant) by the Transaction Entities and their respective subsidiaries after giving effect to the Formation Transactions (collectively, the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 taken as a whole or in the condition, financial or otherwise, or in the earnings, business affairs, management or business prospects of the Transaction Entities and their respective subsidiaries considered as one enterprise (and assuming completion of the Formation Transactions), whether or not arising in the ordinary course of business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(B) there have been no transactions entered into by either of the Transaction Entities or any of their respective subsidiaries, other than in the ordinary course of business, which are material with respect to the Transaction Entities and their respective subsidiaries, considered as one enterprise, (C) there has been no liability or obligation, direct or contingent (including off-balance sheet obligations), which is material to the Transaction Entities and their respective subsidiaries considered as one enterprise, incurred by either of the Transaction Entities or any of their respective subsidiaries outside the ordinary course of their business and (D) there has been no distribution of any kind declared, paid or made by either of the Transaction Entities on any class of its shares of capital stock, in the case of the Company, any units of limited partnership interest, in the case of the Operating Partnership (“</w:t>
      </w:r>
      <w:r>
        <w:rPr>
          <w:rFonts w:ascii="Times New Roman" w:cs="Times New Roman" w:eastAsia="Times New Roman" w:hAnsi="Times New Roman"/>
          <w:sz w:val="18"/>
          <w:szCs w:val="18"/>
          <w:u w:val="single" w:color="auto"/>
          <w:color w:val="auto"/>
        </w:rPr>
        <w:t>OP Units</w:t>
      </w:r>
      <w:r>
        <w:rPr>
          <w:rFonts w:ascii="Times New Roman" w:cs="Times New Roman" w:eastAsia="Times New Roman" w:hAnsi="Times New Roman"/>
          <w:sz w:val="18"/>
          <w:szCs w:val="18"/>
          <w:color w:val="auto"/>
        </w:rPr>
        <w:t>”), or other form of ownership interests, as applicable.</w:t>
      </w:r>
    </w:p>
    <w:p>
      <w:pPr>
        <w:spacing w:after="0" w:line="188" w:lineRule="exact"/>
        <w:rPr>
          <w:rFonts w:ascii="Times New Roman" w:cs="Times New Roman" w:eastAsia="Times New Roman" w:hAnsi="Times New Roman"/>
          <w:sz w:val="18"/>
          <w:szCs w:val="18"/>
          <w:color w:val="auto"/>
        </w:rPr>
      </w:pPr>
    </w:p>
    <w:p>
      <w:pPr>
        <w:ind w:left="4" w:right="60" w:firstLine="645"/>
        <w:spacing w:after="0" w:line="256" w:lineRule="auto"/>
        <w:tabs>
          <w:tab w:leader="none" w:pos="13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of the Company</w:t>
      </w:r>
      <w:r>
        <w:rPr>
          <w:rFonts w:ascii="Times New Roman" w:cs="Times New Roman" w:eastAsia="Times New Roman" w:hAnsi="Times New Roman"/>
          <w:sz w:val="18"/>
          <w:szCs w:val="18"/>
          <w:color w:val="auto"/>
        </w:rPr>
        <w:t>. The Company has been duly organized and is validly existing as a corporation in good standing under the laws of the State of Maryland, has all corporate power and authority to own, lease and operate its properties, conduct its business as described in the Registration Statement, the General Disclosure Package and the Prospectus and enter into and perform its obligations under this Agreement, and is duly qualified to transact business as a foreign entity and is in good standing in each other jurisdiction in which such qualification is required, whether by reason of the ownership or leasing of property or the conduct of business, except where the failure to so qualify or to be in good standing would not, singly or in the aggregate, result in a Material Adverse Effect.</w:t>
      </w:r>
    </w:p>
    <w:p>
      <w:pPr>
        <w:spacing w:after="0" w:line="187" w:lineRule="exact"/>
        <w:rPr>
          <w:rFonts w:ascii="Times New Roman" w:cs="Times New Roman" w:eastAsia="Times New Roman" w:hAnsi="Times New Roman"/>
          <w:sz w:val="18"/>
          <w:szCs w:val="18"/>
          <w:color w:val="auto"/>
        </w:rPr>
      </w:pPr>
    </w:p>
    <w:p>
      <w:pPr>
        <w:ind w:left="4" w:right="20" w:firstLine="645"/>
        <w:spacing w:after="0" w:line="255" w:lineRule="auto"/>
        <w:tabs>
          <w:tab w:leader="none" w:pos="131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of Subsidiaries</w:t>
      </w:r>
      <w:r>
        <w:rPr>
          <w:rFonts w:ascii="Times New Roman" w:cs="Times New Roman" w:eastAsia="Times New Roman" w:hAnsi="Times New Roman"/>
          <w:sz w:val="18"/>
          <w:szCs w:val="18"/>
          <w:color w:val="auto"/>
        </w:rPr>
        <w:t>. Each significant subsidiary of the Company (as such term is defined in Rule 1-02 of Regulation S-X) (including, without limitation, the Operating Partnership) (each, a “Subsidiary” and collectively, the “Subsidiaries”) has been duly organized or formed, as applicable, and is validly existing and in good standing under the laws of the jurisdiction of its incorporation, organization or formation, has corporate, trust, partnership, limited liability company or similar power and authority to own, lease and operate its properties and to conduct its business as described in the Registration Statement, the General Disclosure Package and the Prospectus and is duly qualified to transact business as a foreign entity and is in good standing in each other jurisdiction in which such qualification is required, whether by reason of the ownership or leasing of property or the conduct of business, except where the failure to so qualify or to be in good standing would not, singly or in the aggregate, result in a Material Adverse Effect. Except as disclosed in the Registration Statement, the General</w:t>
      </w:r>
    </w:p>
    <w:p>
      <w:pPr>
        <w:spacing w:after="0" w:line="185"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83820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Disclosure Package and the Prospectus, all of the issued and outstanding ownership interests in each Subsidiary of the Company (including, without limitation, all of the issued and outstanding OP Units) have been duly authorized and validly issued, are fully paid and non-assessable, were issued in accordance with all applicable securities laws and are owned by the Company, directly or through wholly-owned subsidiaries, free and clear of any security interest, mortgage, pledge, lien, encumbrance, claim or equity, and none of the outstanding ownership interests in any Subsidiary of the Company were issued in violation of any preemptive rights, resale rights, rights of first offer or refusal or other similar rights. The only subsidiaries of the Company are (A) the subsidiaries of the Company listed on Exhibit 21 to the Registration Statement and (B) certain other subsidiaries which, considered in the aggregate as a single subsidiary, do not constitute a “significant subsidiary,” as defined in Rule 1-02 of Regulation S-X.</w:t>
      </w:r>
    </w:p>
    <w:p>
      <w:pPr>
        <w:spacing w:after="0" w:line="189" w:lineRule="exact"/>
        <w:rPr>
          <w:sz w:val="20"/>
          <w:szCs w:val="20"/>
          <w:color w:val="auto"/>
        </w:rPr>
      </w:pPr>
    </w:p>
    <w:p>
      <w:pPr>
        <w:ind w:left="4" w:right="20" w:firstLine="645"/>
        <w:spacing w:after="0" w:line="267" w:lineRule="auto"/>
        <w:tabs>
          <w:tab w:leader="none" w:pos="1327"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Capitalization</w:t>
      </w:r>
      <w:r>
        <w:rPr>
          <w:rFonts w:ascii="Times New Roman" w:cs="Times New Roman" w:eastAsia="Times New Roman" w:hAnsi="Times New Roman"/>
          <w:sz w:val="17"/>
          <w:szCs w:val="17"/>
          <w:color w:val="auto"/>
        </w:rPr>
        <w:t>. The authorized, issued and outstanding shares of capital stock of the Predecessor as of December 31, 2016 are as set forth in the Registration Statement, the General Disclosure Package and the Prospectus in the column entitled “Predecessor Historical Combined” under the caption “Capitalization” (except for subsequent issuances, if any, pursuant to this Agreement, pursuant to reservations, agreements or employee benefit plans referred to in the Registration Statement, the General Disclosure Package and the Prospectus or pursuant to the exercise of convertible or exchangeable securities or options referred to in the Registration Statement, the General Disclosure Package and the Prospectus). Except as disclosed in the Registration Statement, the General Disclosure Package and the Prospectus, (i) no shares of capital stock of the Company are reserved for any purpose, (ii) there are no outstanding instruments convertible into or exchangeable for any shares of capital stock or any other ownership interest of the Company, and (iii) there are no outstanding options, rights (preemptive or otherwise) or warrants to purchase or subscribe for shares of capital stock or any other ownership interests of the Company. Each of (A) the outstanding shares of capital stock of the Company,</w:t>
      </w:r>
    </w:p>
    <w:p>
      <w:pPr>
        <w:spacing w:after="0" w:line="5" w:lineRule="exact"/>
        <w:rPr>
          <w:rFonts w:ascii="Times New Roman" w:cs="Times New Roman" w:eastAsia="Times New Roman" w:hAnsi="Times New Roman"/>
          <w:sz w:val="17"/>
          <w:szCs w:val="17"/>
          <w:color w:val="auto"/>
        </w:rPr>
      </w:pPr>
    </w:p>
    <w:p>
      <w:pPr>
        <w:ind w:left="4" w:hanging="4"/>
        <w:spacing w:after="0" w:line="252" w:lineRule="auto"/>
        <w:tabs>
          <w:tab w:leader="none" w:pos="28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instruments convertible into or exchangeable for any capital stock or any other ownership interests of the Company and (C) all outstanding options, rights or warrants to purchase or subscribe for shares of capital stock or any other ownership interests of the Company has been duly authorized and validly issued, is fully paid and non-assessable, was issued in accordance with all applicable securities laws and conforms in all material respects to all statements relating thereto in the Registration Statement, the General Disclosure Package and the Prospectus and none of such outstanding shares of capital stock, instruments, options, rights or warrants were issued in violation of any preemptive rights, resale rights, rights of first offer or refusal or other similar rights.</w:t>
      </w:r>
    </w:p>
    <w:p>
      <w:pPr>
        <w:spacing w:after="0" w:line="190" w:lineRule="exact"/>
        <w:rPr>
          <w:rFonts w:ascii="Times New Roman" w:cs="Times New Roman" w:eastAsia="Times New Roman" w:hAnsi="Times New Roman"/>
          <w:sz w:val="18"/>
          <w:szCs w:val="18"/>
          <w:color w:val="auto"/>
        </w:rPr>
      </w:pPr>
    </w:p>
    <w:p>
      <w:pPr>
        <w:ind w:left="4" w:right="20" w:firstLine="645"/>
        <w:spacing w:after="0" w:line="266" w:lineRule="auto"/>
        <w:tabs>
          <w:tab w:leader="none" w:pos="133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Equity Awards</w:t>
      </w:r>
      <w:r>
        <w:rPr>
          <w:rFonts w:ascii="Times New Roman" w:cs="Times New Roman" w:eastAsia="Times New Roman" w:hAnsi="Times New Roman"/>
          <w:sz w:val="18"/>
          <w:szCs w:val="18"/>
          <w:color w:val="auto"/>
        </w:rPr>
        <w:t>. Except as disclosed in the Registration Statement, the General Disclosure Package and the Prospectus, neither of the Transaction Entities has granted to any person or entity a stock option or other equity-based award of or relating to Common Stock pursuant to an equity-based compensation plan or otherwise.</w:t>
      </w:r>
    </w:p>
    <w:p>
      <w:pPr>
        <w:spacing w:after="0" w:line="176" w:lineRule="exact"/>
        <w:rPr>
          <w:rFonts w:ascii="Times New Roman" w:cs="Times New Roman" w:eastAsia="Times New Roman" w:hAnsi="Times New Roman"/>
          <w:sz w:val="18"/>
          <w:szCs w:val="18"/>
          <w:color w:val="auto"/>
        </w:rPr>
      </w:pPr>
    </w:p>
    <w:p>
      <w:pPr>
        <w:ind w:left="1304" w:hanging="655"/>
        <w:spacing w:after="0"/>
        <w:tabs>
          <w:tab w:leader="none" w:pos="130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Agreement</w:t>
      </w:r>
      <w:r>
        <w:rPr>
          <w:rFonts w:ascii="Times New Roman" w:cs="Times New Roman" w:eastAsia="Times New Roman" w:hAnsi="Times New Roman"/>
          <w:sz w:val="18"/>
          <w:szCs w:val="18"/>
          <w:color w:val="auto"/>
        </w:rPr>
        <w:t>. This Agreement has been duly authorized, executed and delivered by each of the Transaction</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w:t>
      </w:r>
    </w:p>
    <w:p>
      <w:pPr>
        <w:sectPr>
          <w:pgSz w:w="11900" w:h="16861" w:orient="portrait"/>
          <w:cols w:equalWidth="0" w:num="1">
            <w:col w:w="10764"/>
          </w:cols>
          <w:pgMar w:left="896" w:top="121" w:right="239" w:bottom="0" w:gutter="0" w:footer="0" w:header="0"/>
        </w:sectPr>
      </w:pPr>
    </w:p>
    <w:bookmarkStart w:id="16" w:name="page17"/>
    <w:bookmarkEnd w:id="16"/>
    <w:p>
      <w:pPr>
        <w:spacing w:after="0" w:line="118" w:lineRule="exact"/>
        <w:rPr>
          <w:sz w:val="20"/>
          <w:szCs w:val="20"/>
          <w:color w:val="auto"/>
        </w:rPr>
      </w:pPr>
    </w:p>
    <w:p>
      <w:pPr>
        <w:ind w:right="100" w:firstLine="645"/>
        <w:spacing w:after="0" w:line="256" w:lineRule="auto"/>
        <w:tabs>
          <w:tab w:leader="none" w:pos="129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and Description of Securities</w:t>
      </w:r>
      <w:r>
        <w:rPr>
          <w:rFonts w:ascii="Times New Roman" w:cs="Times New Roman" w:eastAsia="Times New Roman" w:hAnsi="Times New Roman"/>
          <w:sz w:val="18"/>
          <w:szCs w:val="18"/>
          <w:color w:val="auto"/>
        </w:rPr>
        <w:t>. The Securities to be purchased by the Underwriters have been duly authorized for issuance and sale to the Underwriters pursuant to this Agreement and, when the Securities have been issued and delivered by the Company pursuant to this Agreement against payment of the consideration set forth herein, the Securities will be validly issued, fully paid and non-assessable and will not be subject to any preemptive rights, resale rights, rights of first offer or refusal or other similar rights. The Securities conform in all material respects to all statements relating thereto contained in the Registration Statement, the General Disclosure Package and the Prospectus and such description conforms in all material</w:t>
      </w:r>
    </w:p>
    <w:p>
      <w:pPr>
        <w:spacing w:after="0" w:line="18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83820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respects to the rights set forth in the instruments defining the same. No holder of Securities will be subject to personal liability by reason of being such a holder.</w:t>
      </w:r>
    </w:p>
    <w:p>
      <w:pPr>
        <w:spacing w:after="0" w:line="162" w:lineRule="exact"/>
        <w:rPr>
          <w:sz w:val="20"/>
          <w:szCs w:val="20"/>
          <w:color w:val="auto"/>
        </w:rPr>
      </w:pPr>
    </w:p>
    <w:p>
      <w:pPr>
        <w:ind w:firstLine="645"/>
        <w:spacing w:after="0" w:line="252" w:lineRule="auto"/>
        <w:tabs>
          <w:tab w:leader="none" w:pos="130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and Description of OP Units</w:t>
      </w:r>
      <w:r>
        <w:rPr>
          <w:rFonts w:ascii="Times New Roman" w:cs="Times New Roman" w:eastAsia="Times New Roman" w:hAnsi="Times New Roman"/>
          <w:sz w:val="18"/>
          <w:szCs w:val="18"/>
          <w:color w:val="auto"/>
        </w:rPr>
        <w:t>. The First Amended and Restated Limited Partnership Agreement of the Operating Partnership (the “</w:t>
      </w:r>
      <w:r>
        <w:rPr>
          <w:rFonts w:ascii="Times New Roman" w:cs="Times New Roman" w:eastAsia="Times New Roman" w:hAnsi="Times New Roman"/>
          <w:sz w:val="18"/>
          <w:szCs w:val="18"/>
          <w:u w:val="single" w:color="auto"/>
          <w:color w:val="auto"/>
        </w:rPr>
        <w:t>Operating Partnership Agreement</w:t>
      </w:r>
      <w:r>
        <w:rPr>
          <w:rFonts w:ascii="Times New Roman" w:cs="Times New Roman" w:eastAsia="Times New Roman" w:hAnsi="Times New Roman"/>
          <w:sz w:val="18"/>
          <w:szCs w:val="18"/>
          <w:color w:val="auto"/>
        </w:rPr>
        <w:t>”) is in full force and effect, and, at the Closing Time and each Date of Delivery, if any, the aggregate percentage interests of the Company and the limited partners in the Operating Partnership will be as set forth in the Registration Statement, the General Disclosure Package and the Prospectus, provided that, to the extent any portion of the Underwriters’ option to purchase the Option Securities is exercised hereunder, the percentage interest of the limited partners in the Operating Partnership will be adjusted accordingly. At the Closing Time and each Date of Delivery, if any, the Company will contribute the proceeds from the sale of the Initial Securities and, to the extent any portion of the Underwriters’ option is exercised, the related Option Securities to the Operating Partnership in exchange for a number of OP Units equal to the number of Initial Securities and Option Securities issued. All of the OP Units issued in exchange for the Initial Securities and the Option Securities have been duly authorized and, at the Closing Time and each Date of Delivery, if any, will be validly issued, fully paid and non-assessable and will be owned by the Company free and clear of any security interest, mortgage, pledge, lien, encumbrance, claim or equity, and none of such OP Units will be issued in violation of any preemptive rights, resale rights, rights of first offer or refusal or other similar rights. The terms of the OP Units conform in all material respects to the description thereof contained in the Registration Statement, the General Disclosure Package and the Prospectus and such description conforms in all material respects to the rights set forth in the instruments defining the same. Except as disclosed in the Registration Statement, the General Disclosure Package and the Prospectus, (A) no OP Units are reserved for any purpose, (B) there are no outstanding securities convertible into or exchangeable for any OP Units or any other ownership interests of the Operating Partnership and (C) there are no outstanding options, rights (preemptive or otherwise) or warrants to purchase or subscribe for OP Units or any other ownership interests of the Operating Partnership.</w:t>
      </w:r>
    </w:p>
    <w:p>
      <w:pPr>
        <w:spacing w:after="0" w:line="194" w:lineRule="exact"/>
        <w:rPr>
          <w:rFonts w:ascii="Times New Roman" w:cs="Times New Roman" w:eastAsia="Times New Roman" w:hAnsi="Times New Roman"/>
          <w:sz w:val="18"/>
          <w:szCs w:val="18"/>
          <w:color w:val="auto"/>
        </w:rPr>
      </w:pPr>
    </w:p>
    <w:p>
      <w:pPr>
        <w:ind w:right="160" w:firstLine="645"/>
        <w:spacing w:after="0" w:line="261" w:lineRule="auto"/>
        <w:tabs>
          <w:tab w:leader="none" w:pos="13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Except as disclosed in the Registration Statement, the General Disclosure Package and the Prospectus and properly waived, there are no persons with registration rights or other similar rights to have any securities registered for sale pursuant to the Registration Statement or the Prospectus or otherwise by either of the Transaction Entities under the 1933 Act or to have securities included as part of the offering of the Securities.</w:t>
      </w:r>
    </w:p>
    <w:p>
      <w:pPr>
        <w:spacing w:after="0" w:line="180" w:lineRule="exact"/>
        <w:rPr>
          <w:rFonts w:ascii="Times New Roman" w:cs="Times New Roman" w:eastAsia="Times New Roman" w:hAnsi="Times New Roman"/>
          <w:sz w:val="18"/>
          <w:szCs w:val="18"/>
          <w:color w:val="auto"/>
        </w:rPr>
      </w:pPr>
    </w:p>
    <w:p>
      <w:pPr>
        <w:ind w:right="20" w:firstLine="645"/>
        <w:spacing w:after="0" w:line="253" w:lineRule="auto"/>
        <w:tabs>
          <w:tab w:leader="none" w:pos="1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Violations, Defaults and Conflicts</w:t>
      </w:r>
      <w:r>
        <w:rPr>
          <w:rFonts w:ascii="Times New Roman" w:cs="Times New Roman" w:eastAsia="Times New Roman" w:hAnsi="Times New Roman"/>
          <w:sz w:val="18"/>
          <w:szCs w:val="18"/>
          <w:color w:val="auto"/>
        </w:rPr>
        <w:t>. Neither of the Transaction Entities nor any of their respective subsidiaries is (A) in violation of its charter, bylaws, certificate of limited partnership, limited partnership agreement, limited liability company agreement or other organizational document, (B) in default in the performance or observance of any obligation, agreement, covenant or condition contained in any contract, indenture, mortgage, deed of trust, loan or credit agreement, note, lease or other agreement or instrument to which either of the Transaction Entities or any of their respective subsidiaries is a party or by which it or any of them may be bound or to which any of their respective Properties, assets or operations is subject (collectively, “</w:t>
      </w:r>
      <w:r>
        <w:rPr>
          <w:rFonts w:ascii="Times New Roman" w:cs="Times New Roman" w:eastAsia="Times New Roman" w:hAnsi="Times New Roman"/>
          <w:sz w:val="18"/>
          <w:szCs w:val="18"/>
          <w:u w:val="single" w:color="auto"/>
          <w:color w:val="auto"/>
        </w:rPr>
        <w:t>Agreements and Instruments</w:t>
      </w:r>
      <w:r>
        <w:rPr>
          <w:rFonts w:ascii="Times New Roman" w:cs="Times New Roman" w:eastAsia="Times New Roman" w:hAnsi="Times New Roman"/>
          <w:sz w:val="18"/>
          <w:szCs w:val="18"/>
          <w:color w:val="auto"/>
        </w:rPr>
        <w:t>”), except for such defaults that would not, singly or in the aggregate, result in a Material Adverse Effect, or (C) in violation of any law, statute, rule, regulation, judgment, order, writ or decree of any arbitrator, court, governmental agency or body, regulatory body, administrative agency or other authority, body or agency having jurisdiction over either of the Transaction Entities or any of their respective subsidiaries or their respective Properties, assets or operations (each, a “</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except for such violations that would not, singly or in the aggregate, result in a Material Adverse Effect. The execution, delivery and performance of this Agreement and the consummation of the transactions</w:t>
      </w:r>
    </w:p>
    <w:p>
      <w:pPr>
        <w:spacing w:after="0" w:line="19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83820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contemplated herein and in the Registration Statement, the General Disclosure Package and the Prospectus (including the issuance and sale of the Securities, the Formation Transactions, the Concurrent iStar Placement and the use of the net proceeds from the sale of the Securities and the Concurrent iStar Placement as described therein under the caption “Use of Proceeds”) and compliance by the Transaction Entities with their respective obligations hereunder have been duly authorized by all necessary corporate or limited partnership action, as applicable, and do not and will not, whether with or without the giving of notice or passage of time or both, conflict with or constitute a breach of, or default or Repayment Event (as defined below) under, or result in the creation or imposition of any lien, charge or encumbrance upon any of the Properties, assets or operations of either of the Transaction Entities or any of their respective subsidiaries pursuant to, the Agreements and Instruments (except for such conflicts, breaches, defaults, Repayment Events, liens, charges or encumbrances that would not, singly or in the aggregate, result in a Material Adverse Effect), nor will such action result in any violation of (i) the provisions of the charter, bylaws, certificate of limited partnership, limited partnership agreement, limited liability company agreement or other organizational document, as applicable, of either of the Transaction Entities or any of their respective subsidiaries or (ii) any applicable law, statute, rule, regulation, judgment, order, writ or decree of any Governmental Entity, except in the case of clause (ii) only, for any such violation that would not, singly or in the aggregate, result in a Material Adverse Effect. As used herein, a “</w:t>
      </w:r>
      <w:r>
        <w:rPr>
          <w:rFonts w:ascii="Times New Roman" w:cs="Times New Roman" w:eastAsia="Times New Roman" w:hAnsi="Times New Roman"/>
          <w:sz w:val="18"/>
          <w:szCs w:val="18"/>
          <w:u w:val="single" w:color="auto"/>
          <w:color w:val="auto"/>
        </w:rPr>
        <w:t>Repayment Event</w:t>
      </w:r>
      <w:r>
        <w:rPr>
          <w:rFonts w:ascii="Times New Roman" w:cs="Times New Roman" w:eastAsia="Times New Roman" w:hAnsi="Times New Roman"/>
          <w:sz w:val="18"/>
          <w:szCs w:val="18"/>
          <w:color w:val="auto"/>
        </w:rPr>
        <w:t>” means any event or condition which gives the holder of any financing instrument (or any person acting on such holder’s behalf) the right to require the repurchase, redemption or repayment of all or a portion of such financing by either of the Transaction Entities or any of their respective subsidiaries.</w:t>
      </w:r>
    </w:p>
    <w:p>
      <w:pPr>
        <w:spacing w:after="0" w:line="197" w:lineRule="exact"/>
        <w:rPr>
          <w:sz w:val="20"/>
          <w:szCs w:val="20"/>
          <w:color w:val="auto"/>
        </w:rPr>
      </w:pPr>
    </w:p>
    <w:p>
      <w:pPr>
        <w:jc w:val="both"/>
        <w:ind w:right="40" w:firstLine="645"/>
        <w:spacing w:after="0" w:line="266" w:lineRule="auto"/>
        <w:tabs>
          <w:tab w:leader="none" w:pos="130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Employees</w:t>
      </w:r>
      <w:r>
        <w:rPr>
          <w:rFonts w:ascii="Times New Roman" w:cs="Times New Roman" w:eastAsia="Times New Roman" w:hAnsi="Times New Roman"/>
          <w:sz w:val="18"/>
          <w:szCs w:val="18"/>
          <w:color w:val="auto"/>
        </w:rPr>
        <w:t>. Neither of the Transaction Entities nor any of their respective subsidiaries has any employees, and neither of the Transaction Entities are aware of any existing or imminent labor disturbance by the employees of any of their tenants or subtenants, which, in either case, would, singly or in the aggregate, result in a Material Adverse Effect.</w:t>
      </w:r>
    </w:p>
    <w:p>
      <w:pPr>
        <w:spacing w:after="0" w:line="176" w:lineRule="exact"/>
        <w:rPr>
          <w:rFonts w:ascii="Times New Roman" w:cs="Times New Roman" w:eastAsia="Times New Roman" w:hAnsi="Times New Roman"/>
          <w:sz w:val="18"/>
          <w:szCs w:val="18"/>
          <w:color w:val="auto"/>
        </w:rPr>
      </w:pPr>
    </w:p>
    <w:p>
      <w:pPr>
        <w:ind w:right="80" w:firstLine="645"/>
        <w:spacing w:after="0" w:line="313" w:lineRule="auto"/>
        <w:tabs>
          <w:tab w:leader="none" w:pos="1299"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Absence of Proceedings</w:t>
      </w:r>
      <w:r>
        <w:rPr>
          <w:rFonts w:ascii="Times New Roman" w:cs="Times New Roman" w:eastAsia="Times New Roman" w:hAnsi="Times New Roman"/>
          <w:sz w:val="17"/>
          <w:szCs w:val="17"/>
          <w:color w:val="auto"/>
        </w:rPr>
        <w:t>. Except as disclosed in the Registration Statement, the General Disclosure Package and the Prospectus, there is no action, suit, proceeding, inquiry or investigation before or brought by any Governmental Entity pending, or, to the knowledge of either of</w:t>
      </w:r>
    </w:p>
    <w:p>
      <w:pPr>
        <w:sectPr>
          <w:pgSz w:w="11900" w:h="16957" w:orient="portrait"/>
          <w:cols w:equalWidth="0" w:num="1">
            <w:col w:w="10760"/>
          </w:cols>
          <w:pgMar w:left="900" w:top="337" w:right="239" w:bottom="0" w:gutter="0" w:footer="0" w:header="0"/>
        </w:sectPr>
      </w:pPr>
    </w:p>
    <w:bookmarkStart w:id="17" w:name="page18"/>
    <w:bookmarkEnd w:id="17"/>
    <w:p>
      <w:pPr>
        <w:spacing w:after="0" w:line="85"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the Transaction Entities, threatened, against or affecting the Predecessor, the Transaction Entities or any of their respective subsidiaries, which (A) is required to be disclosed in the Registration Statement, the preliminary prospectus that is included in the General Disclosure Package or the Prospectus (other than as disclosed therein), (B) would, singly or in the aggregate, result in a Material Adverse Effect, or (C) would materially and adversely affect the Properties, assets or operations of the Transaction Entities and their respective subsidiaries, taken as a whole, or the consummation of (i) the transactions contemplated in this Agreement or the performance by the Transaction Entities of their respective obligations hereunder or (ii) the Concurrent iStar Placement. The aggregate of all pending legal or governmental proceedings to which any of the Predecessor, the Transaction Entities or any of their respective subsidiaries is a party or of which any of their respective Properties, assets or operations is the subject which are not described in the Registration Statement, the General Disclosure Package and the Prospectus, including ordinary routine litigation incidental to the business, would not singly or in the aggregate result in a Material Adverse Effect.</w:t>
      </w:r>
    </w:p>
    <w:p>
      <w:pPr>
        <w:spacing w:after="0" w:line="189" w:lineRule="exact"/>
        <w:rPr>
          <w:sz w:val="20"/>
          <w:szCs w:val="20"/>
          <w:color w:val="auto"/>
        </w:rPr>
      </w:pPr>
    </w:p>
    <w:p>
      <w:pPr>
        <w:ind w:left="4" w:right="120" w:firstLine="645"/>
        <w:spacing w:after="0" w:line="266" w:lineRule="auto"/>
        <w:tabs>
          <w:tab w:leader="none" w:pos="131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Exhibits</w:t>
      </w:r>
      <w:r>
        <w:rPr>
          <w:rFonts w:ascii="Times New Roman" w:cs="Times New Roman" w:eastAsia="Times New Roman" w:hAnsi="Times New Roman"/>
          <w:sz w:val="18"/>
          <w:szCs w:val="18"/>
          <w:color w:val="auto"/>
        </w:rPr>
        <w:t>. There are no leases, contracts, franchises, indentures, mortgages, loan agreements, notes or other agreements or instruments that are required to be described in the Registration Statement, the preliminary prospectus that is included in the General Disclosure Package or the Prospectus or to be filed as exhibits to the Registration Statement that have not been so described or filed as required.</w:t>
      </w:r>
    </w:p>
    <w:p>
      <w:pPr>
        <w:spacing w:after="0" w:line="176"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83820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firstLine="645"/>
        <w:spacing w:after="0" w:line="255" w:lineRule="auto"/>
        <w:tabs>
          <w:tab w:leader="none" w:pos="132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Further Requirements</w:t>
      </w:r>
      <w:r>
        <w:rPr>
          <w:rFonts w:ascii="Times New Roman" w:cs="Times New Roman" w:eastAsia="Times New Roman" w:hAnsi="Times New Roman"/>
          <w:sz w:val="18"/>
          <w:szCs w:val="18"/>
          <w:color w:val="auto"/>
        </w:rPr>
        <w:t>. No filing with, or authorization, approval, consent, license, order, registration, qualification or decree of, any Governmental Entity is necessary or required for the due authorization, execution, delivery or performance by either of the Transaction Entities of its respective obligations hereunder, for the offering, issuance, sale or delivery of the Securities by the Company, or for the completion of the Formation Transactions or the Concurrent iStar Placement, except (A) such as may be required under the 1933 Act and the 1933 Act Regulations, which have been obtained, or as may be required under the securities laws of any U.S. state or non-U.S. jurisdiction or the rules of FINRA and (B) such as have been obtained under the laws and regulations of jurisdictions outside the United States in which the Reserved Securities were offered.</w:t>
      </w:r>
    </w:p>
    <w:p>
      <w:pPr>
        <w:spacing w:after="0" w:line="189" w:lineRule="exact"/>
        <w:rPr>
          <w:rFonts w:ascii="Times New Roman" w:cs="Times New Roman" w:eastAsia="Times New Roman" w:hAnsi="Times New Roman"/>
          <w:sz w:val="18"/>
          <w:szCs w:val="18"/>
          <w:color w:val="auto"/>
        </w:rPr>
      </w:pPr>
    </w:p>
    <w:p>
      <w:pPr>
        <w:ind w:left="4" w:right="40" w:firstLine="645"/>
        <w:spacing w:after="0" w:line="254" w:lineRule="auto"/>
        <w:tabs>
          <w:tab w:leader="none" w:pos="133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Licenses and Permits</w:t>
      </w:r>
      <w:r>
        <w:rPr>
          <w:rFonts w:ascii="Times New Roman" w:cs="Times New Roman" w:eastAsia="Times New Roman" w:hAnsi="Times New Roman"/>
          <w:sz w:val="18"/>
          <w:szCs w:val="18"/>
          <w:color w:val="auto"/>
        </w:rPr>
        <w:t>. Except as disclosed in the Registration Statement, the General Disclosure Package and the Prospectus, the Transaction Entities and their respective subsidiaries possess such permits, licenses, approvals, consents and other authorizations (collectively, the “</w:t>
      </w:r>
      <w:r>
        <w:rPr>
          <w:rFonts w:ascii="Times New Roman" w:cs="Times New Roman" w:eastAsia="Times New Roman" w:hAnsi="Times New Roman"/>
          <w:sz w:val="18"/>
          <w:szCs w:val="18"/>
          <w:u w:val="single" w:color="auto"/>
          <w:color w:val="auto"/>
        </w:rPr>
        <w:t>Governmental Licenses</w:t>
      </w:r>
      <w:r>
        <w:rPr>
          <w:rFonts w:ascii="Times New Roman" w:cs="Times New Roman" w:eastAsia="Times New Roman" w:hAnsi="Times New Roman"/>
          <w:sz w:val="18"/>
          <w:szCs w:val="18"/>
          <w:color w:val="auto"/>
        </w:rPr>
        <w:t>”) issued by the appropriate Governmental Entities under applicable law necessary to conduct the business now operated by them, except where the failure so to possess would not, singly or in the aggregate, result in a Material Adverse Effect. The Transaction Entities and their respective subsidiaries are in compliance with the terms and conditions of all of the Governmental Licenses, except where the failure so to comply would not, singly or in the aggregate, result in a Material Adverse Effect. All of the Governmental Licenses are valid and in full force and effect, except when the invalidity of the Governmental Licenses or the failure of the Governmental Licenses to be in full force and effect would not, singly or in the aggregate, result in a Material Adverse Effect. Neither of the Transaction Entities nor any of their respective subsidiaries has received any notice of proceedings relating to the revocation or modification of any of the Governmental Licenses which, singly or in the aggregate, if the subject of an unfavorable decision, ruling or finding, would result in a Material Adverse Effect.</w:t>
      </w:r>
    </w:p>
    <w:p>
      <w:pPr>
        <w:spacing w:after="0" w:line="186" w:lineRule="exact"/>
        <w:rPr>
          <w:rFonts w:ascii="Times New Roman" w:cs="Times New Roman" w:eastAsia="Times New Roman" w:hAnsi="Times New Roman"/>
          <w:sz w:val="18"/>
          <w:szCs w:val="18"/>
          <w:color w:val="auto"/>
        </w:rPr>
      </w:pPr>
    </w:p>
    <w:p>
      <w:pPr>
        <w:ind w:left="4" w:firstLine="645"/>
        <w:spacing w:after="0" w:line="252" w:lineRule="auto"/>
        <w:tabs>
          <w:tab w:leader="none" w:pos="130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Property</w:t>
      </w:r>
      <w:r>
        <w:rPr>
          <w:rFonts w:ascii="Times New Roman" w:cs="Times New Roman" w:eastAsia="Times New Roman" w:hAnsi="Times New Roman"/>
          <w:sz w:val="18"/>
          <w:szCs w:val="18"/>
          <w:color w:val="auto"/>
        </w:rPr>
        <w:t>. (A) The Transaction Entities and their subsidiaries will have good and marketable fee simple title to, or leasehold interest under a ground lease in, the Properties, in each case, free and clear of all security interests, mortgages, pledges, liens, encumbrances, claims or equities of any kind other than those that (1) are described in the Registration Statement, the General Disclosure Package and the Prospectus or (2) do not, singly or in the aggregate, materially affect the value of such Property and do not materially interfere with the use made and proposed to be made of such Property by the Transaction Entities and any of their respective subsidiaries; (B) except as disclosed in the Registration Statement, the General Disclosure Package and the Prospectus, none of the Transaction Entities or any of their respective subsidiaries owns or leases any real property other than the Properties; (C) each of the ground leases under which a Transaction Entity or one of its subsidiaries is a tenant relating to a Property are in full force and effect, with such exceptions as do not materially interfere with the use made or proposed to be made of such Property by either of the Transaction Entities or any of their respective subsidiaries, and (1) no default or event of default has occurred under any such ground lease with respect to such Property and none of the Transaction Entities or any of their respective subsidiaries has received any notice of any event which, whether with or without the passage of time or the giving of notice, or both, would constitute a default under such ground lease and (2) none of the Transaction Entities or any of their respective subsidiaries has received any notice of any material claim of any sort that has been asserted by anyone adverse to the rights of the Transaction Entities or any of their respective subsidiaries under any of the ground leases mentioned above, or affecting or questioning the rights of the Transaction Entities and any of their respective subsidiaries to the continued possession of the leased premises under any such ground lease; (D) all security interests, mortgages, pledges, liens, encumbrances, claims or equities on any of the Properties that are required to be disclosed in the Registration Statement or</w:t>
      </w:r>
    </w:p>
    <w:p>
      <w:pPr>
        <w:spacing w:after="0" w:line="196"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83820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120"/>
        <w:spacing w:after="0" w:line="269" w:lineRule="auto"/>
        <w:rPr>
          <w:sz w:val="20"/>
          <w:szCs w:val="20"/>
          <w:color w:val="auto"/>
        </w:rPr>
      </w:pPr>
      <w:r>
        <w:rPr>
          <w:rFonts w:ascii="Times New Roman" w:cs="Times New Roman" w:eastAsia="Times New Roman" w:hAnsi="Times New Roman"/>
          <w:sz w:val="17"/>
          <w:szCs w:val="17"/>
          <w:color w:val="auto"/>
        </w:rPr>
        <w:t>the Prospectus are disclosed therein; (E) except as disclosed in the Registration Statement, the General Disclosure Package and the Prospectus, no tenant under any of the leases of the Properties to which a Transaction Entity or any of its subsidiaries is a party (as a landlord) (the “</w:t>
      </w:r>
      <w:r>
        <w:rPr>
          <w:rFonts w:ascii="Times New Roman" w:cs="Times New Roman" w:eastAsia="Times New Roman" w:hAnsi="Times New Roman"/>
          <w:sz w:val="17"/>
          <w:szCs w:val="17"/>
          <w:u w:val="single" w:color="auto"/>
          <w:color w:val="auto"/>
        </w:rPr>
        <w:t>Leases</w:t>
      </w:r>
      <w:r>
        <w:rPr>
          <w:rFonts w:ascii="Times New Roman" w:cs="Times New Roman" w:eastAsia="Times New Roman" w:hAnsi="Times New Roman"/>
          <w:sz w:val="17"/>
          <w:szCs w:val="17"/>
          <w:color w:val="auto"/>
        </w:rPr>
        <w:t>”) has a right of first refusal or an option to purchase any Property; (F) the Transaction Entities have no actual knowledge that any Property fails to comply with all applicable codes, laws and regulations (including, without limitation, building and zoning codes, laws and regulations and laws relating to access to such Property), except for such failures to comply that would not, singly or in the aggregate, result in a Material Adverse Effect; (G) no mortgage or deed of trust encumbering any Property is convertible into ownership interests in a Transaction Entity or any of its subsidiaries; and</w:t>
      </w:r>
    </w:p>
    <w:p>
      <w:pPr>
        <w:ind w:left="4" w:right="20" w:hanging="4"/>
        <w:spacing w:after="0" w:line="254" w:lineRule="auto"/>
        <w:tabs>
          <w:tab w:leader="none" w:pos="29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Transaction Entities or any of their respective subsidiaries or, to the knowledge of either of the Transaction Entities, any lessee under a Lease is in default under any of the Leases and none of the Transaction Entities or any of their respective subsidiaries knows of any event which, whether with or without the passage of time or the giving of notice, or both, would constitute a default under any of the Leases, except, in each case, for such defaults that would not, singly or in the aggregate, result in a Material Adverse Effect.</w:t>
      </w:r>
    </w:p>
    <w:p>
      <w:pPr>
        <w:spacing w:after="0" w:line="185" w:lineRule="exact"/>
        <w:rPr>
          <w:rFonts w:ascii="Times New Roman" w:cs="Times New Roman" w:eastAsia="Times New Roman" w:hAnsi="Times New Roman"/>
          <w:sz w:val="18"/>
          <w:szCs w:val="18"/>
          <w:color w:val="auto"/>
        </w:rPr>
      </w:pPr>
    </w:p>
    <w:p>
      <w:pPr>
        <w:ind w:left="4" w:right="60" w:firstLine="645"/>
        <w:spacing w:after="0" w:line="273" w:lineRule="auto"/>
        <w:tabs>
          <w:tab w:leader="none" w:pos="1298"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Joint Venture Agreements</w:t>
      </w:r>
      <w:r>
        <w:rPr>
          <w:rFonts w:ascii="Times New Roman" w:cs="Times New Roman" w:eastAsia="Times New Roman" w:hAnsi="Times New Roman"/>
          <w:sz w:val="17"/>
          <w:szCs w:val="17"/>
          <w:color w:val="auto"/>
        </w:rPr>
        <w:t>. Each of the partnership agreements or limited liability company agreements to which either of the Transaction Entities or any of their respective Subsidiaries is a party has been duly authorized, executed and delivered by each Transaction Entity or their respective Subsidiaries, as applicable, and constitutes the legal, valid and binding agreement thereof, enforceable in accordance with its terms, except, in each case, to the extent that enforceability may be limited by bankruptcy, insolvency, fraudulent conveyance, reorganization, moratorium or similar laws affecting creditors’ rights or remedies generally or by general equitable principles, and, with respect to equitable relief, the discretion of the court before which any proceeding therefor may be brought (regardless of whether enforcement is sought in a proceeding at law or in equity), and with respect to any indemnification provisions contained therein, except as rights under those provisions may be limited by applicable law or</w:t>
      </w:r>
    </w:p>
    <w:p>
      <w:pPr>
        <w:sectPr>
          <w:pgSz w:w="11900" w:h="16923" w:orient="portrait"/>
          <w:cols w:equalWidth="0" w:num="1">
            <w:col w:w="10744"/>
          </w:cols>
          <w:pgMar w:left="896" w:top="121" w:right="259" w:bottom="0" w:gutter="0" w:footer="0" w:header="0"/>
        </w:sectPr>
      </w:pPr>
    </w:p>
    <w:bookmarkStart w:id="18" w:name="page19"/>
    <w:bookmarkEnd w:id="18"/>
    <w:p>
      <w:pPr>
        <w:spacing w:after="0" w:line="95"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policies underlying such law. Neither of the Transaction Entities nor any of their respective subsidiaries is party to any other joint venture agreements with any unaffiliated third party.</w:t>
      </w:r>
    </w:p>
    <w:p>
      <w:pPr>
        <w:spacing w:after="0" w:line="162" w:lineRule="exact"/>
        <w:rPr>
          <w:sz w:val="20"/>
          <w:szCs w:val="20"/>
          <w:color w:val="auto"/>
        </w:rPr>
      </w:pPr>
    </w:p>
    <w:p>
      <w:pPr>
        <w:ind w:firstLine="645"/>
        <w:spacing w:after="0" w:line="255" w:lineRule="auto"/>
        <w:tabs>
          <w:tab w:leader="none" w:pos="130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Intellectual Property</w:t>
      </w:r>
      <w:r>
        <w:rPr>
          <w:rFonts w:ascii="Times New Roman" w:cs="Times New Roman" w:eastAsia="Times New Roman" w:hAnsi="Times New Roman"/>
          <w:sz w:val="18"/>
          <w:szCs w:val="18"/>
          <w:color w:val="auto"/>
        </w:rPr>
        <w:t>. The Transaction Entities and their respective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reasonably necessary to conduct the business now operated by them, and neither of the Transaction Entities nor any of their respective subsidiaries has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Transaction Entities or any of their respective subsidiaries therein, and which infringement or conflict (if the subject of any unfavorable decision, ruling or finding) or invalidity or inadequacy, singly or in the aggregate, would result in a Material Adverse Effect.</w:t>
      </w:r>
    </w:p>
    <w:p>
      <w:pPr>
        <w:spacing w:after="0" w:line="185" w:lineRule="exact"/>
        <w:rPr>
          <w:rFonts w:ascii="Times New Roman" w:cs="Times New Roman" w:eastAsia="Times New Roman" w:hAnsi="Times New Roman"/>
          <w:sz w:val="18"/>
          <w:szCs w:val="18"/>
          <w:color w:val="auto"/>
        </w:rPr>
      </w:pPr>
    </w:p>
    <w:p>
      <w:pPr>
        <w:ind w:right="180" w:firstLine="645"/>
        <w:spacing w:after="0" w:line="258" w:lineRule="auto"/>
        <w:tabs>
          <w:tab w:leader="none" w:pos="131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Except as disclosed in the Registration Statement, the General Disclosure Package and the Prospectus and except as would not, singly or in the aggregate, result in a Material Adverse Effect, (A) none of the Transaction Entities or any of their respective subsidiaries has given notice to any tenant under a Lease of a default by such tenant under such Lease arising from a violation of any federal, state, local or foreign statute, law, rule, regulation, ordinance, code, policy or rule of common law or any judicial or administrative interpretation thereof, including any judicial or administrative order, consent, decree or judgment,</w:t>
      </w:r>
    </w:p>
    <w:p>
      <w:pPr>
        <w:spacing w:after="0" w:line="18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83820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or to the manufacture, processing, distribution, use, treatment, storage, disposal, transport or handling of Hazardous Materials (collectively,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or has actual knowledge of any such violation, (B) the Transaction Entities and their respective subsidiaries have obtained all permits, authorizations and approvals under any applicable Environmental Laws required to be obtained by them under the Lease and are each in compliance with their requirements, and the Transaction Entities have no actual knowledge of any absence of, or non-compliance with, any permits, authorizations or approvals required under any applicable Environmental Laws relating to any of the Properties, (C) there are no pending or threatened administrative, regulatory or judicial actions, suits, demands, demand letters, claims, liens, notices of noncompliance or violation, investigations or proceedings relating to any Environmental Law against the Transaction Entities, any of their respective subsidiaries or, to the knowledge of the Transaction Entities, any of the Properties, and (D) to the knowledge of the Transaction Entities, there are no events or circumstances that would reasonably be expected to form the basis of an order for clean-up or remediation, or an action, suit or proceeding by any private party or Governmental Entity, against or affecting the Transaction Entities, any of their respective subsidiaries or any of the Properties relating to Hazardous Materials or any Environmental Laws.</w:t>
      </w:r>
    </w:p>
    <w:p>
      <w:pPr>
        <w:spacing w:after="0" w:line="199" w:lineRule="exact"/>
        <w:rPr>
          <w:sz w:val="20"/>
          <w:szCs w:val="20"/>
          <w:color w:val="auto"/>
        </w:rPr>
      </w:pPr>
    </w:p>
    <w:p>
      <w:pPr>
        <w:ind w:firstLine="645"/>
        <w:spacing w:after="0" w:line="253" w:lineRule="auto"/>
        <w:tabs>
          <w:tab w:leader="none" w:pos="132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Accounting Controls and Disclosure Controls</w:t>
      </w:r>
      <w:r>
        <w:rPr>
          <w:rFonts w:ascii="Times New Roman" w:cs="Times New Roman" w:eastAsia="Times New Roman" w:hAnsi="Times New Roman"/>
          <w:sz w:val="18"/>
          <w:szCs w:val="18"/>
          <w:color w:val="auto"/>
        </w:rPr>
        <w:t>. The Company and its subsidiaries (i) have taken all necessary actions to ensure that, within the time period required under applicable law, the Company and its subsidiaries will maintain effective internal control over financial reporting (as defined under Rules 13a-15 and 15d-15 of the rules and regulations of the Commission under the 1934 Act (the “</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and (ii) currently maintain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the General Disclosure Package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and adversely affected, or is reasonably likely to materially and adversely affect, the Company’s internal control over financial reporting.</w:t>
      </w:r>
    </w:p>
    <w:p>
      <w:pPr>
        <w:spacing w:after="0" w:line="190" w:lineRule="exact"/>
        <w:rPr>
          <w:rFonts w:ascii="Times New Roman" w:cs="Times New Roman" w:eastAsia="Times New Roman" w:hAnsi="Times New Roman"/>
          <w:sz w:val="18"/>
          <w:szCs w:val="18"/>
          <w:color w:val="auto"/>
        </w:rPr>
      </w:pPr>
    </w:p>
    <w:p>
      <w:pPr>
        <w:ind w:right="60" w:firstLine="645"/>
        <w:spacing w:after="0" w:line="273" w:lineRule="auto"/>
        <w:tabs>
          <w:tab w:leader="none" w:pos="130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the Sarbanes-Oxley Act</w:t>
      </w:r>
      <w:r>
        <w:rPr>
          <w:rFonts w:ascii="Times New Roman" w:cs="Times New Roman" w:eastAsia="Times New Roman" w:hAnsi="Times New Roman"/>
          <w:sz w:val="17"/>
          <w:szCs w:val="17"/>
          <w:color w:val="auto"/>
        </w:rPr>
        <w:t>. The Company has taken all necessary actions to ensure that, upon the effectiveness of the Registration Statement it will be in compliance with all applicable provisions of the Sarbanes-Oxley Act of 2002 and all rules and regulations promulgated thereunder or implementing the provisions thereof (the “</w:t>
      </w:r>
      <w:r>
        <w:rPr>
          <w:rFonts w:ascii="Times New Roman" w:cs="Times New Roman" w:eastAsia="Times New Roman" w:hAnsi="Times New Roman"/>
          <w:sz w:val="17"/>
          <w:szCs w:val="17"/>
          <w:u w:val="single" w:color="auto"/>
          <w:color w:val="auto"/>
        </w:rPr>
        <w:t>Sarbanes-Oxley Act</w:t>
      </w:r>
      <w:r>
        <w:rPr>
          <w:rFonts w:ascii="Times New Roman" w:cs="Times New Roman" w:eastAsia="Times New Roman" w:hAnsi="Times New Roman"/>
          <w:sz w:val="17"/>
          <w:szCs w:val="17"/>
          <w:color w:val="auto"/>
        </w:rPr>
        <w:t>”) that are then in effect and with which the Company is required to comply as of the effectiveness of the Registration Statement and is actively taking reasonable steps to ensure that it will be in compliance with other provisions of the Sarbanes-Oxley Act not currently in effect, upon the effectiveness of such provisions, or which will become applicable to the Company at all times after the effectiveness of the Registration Statement. As of the date of the initial filing of the Registration Statement, there were no outstanding personal loans made, directly or indirectly, by the Company to any director or executive officer of the Company.</w:t>
      </w:r>
    </w:p>
    <w:p>
      <w:pPr>
        <w:spacing w:after="0" w:line="17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83820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5"/>
        <w:spacing w:after="0" w:line="256" w:lineRule="auto"/>
        <w:tabs>
          <w:tab w:leader="none" w:pos="1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All U.S. federal, state, local and non-U.S. income tax returns of the Transaction Entities and their respective subsidiaries required by law to be filed have been filed, and all taxes shown by such returns or otherwise assessed, which are due and payable, have been paid, except assessments against which appeals have been taken and as to which adequate reserves have been provided. The charges, accruals and reserves on the books of the Transaction Entities and their respective subsidiaries in respect of any tax liability for any years not finally determined are adequate to meet any assessments or re-assessments for additional tax for any years not finally determined, except to the extent of any inadequacy that would not, singly or in the aggregate, result in a Material Adverse Effect.</w:t>
      </w:r>
    </w:p>
    <w:p>
      <w:pPr>
        <w:spacing w:after="0" w:line="187" w:lineRule="exact"/>
        <w:rPr>
          <w:rFonts w:ascii="Times New Roman" w:cs="Times New Roman" w:eastAsia="Times New Roman" w:hAnsi="Times New Roman"/>
          <w:sz w:val="18"/>
          <w:szCs w:val="18"/>
          <w:color w:val="auto"/>
        </w:rPr>
      </w:pPr>
    </w:p>
    <w:p>
      <w:pPr>
        <w:ind w:right="180" w:firstLine="645"/>
        <w:spacing w:after="0" w:line="261" w:lineRule="auto"/>
        <w:tabs>
          <w:tab w:leader="none" w:pos="130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No Transaction Entity sponsors, maintains, contributes to, has any liability with respect to, or could reasonably be expected to have any liability with respect to any “employee benefit plan” within the meaning of the Employee Retirement Income Security Act of 1974, as amended, including the regulations and published interpretations thereunder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No portion of the assets of either Transaction Entity constitutes “plan assets” for purposes of Title I of ERISA or Section 4975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right="20" w:firstLine="645"/>
        <w:spacing w:after="0" w:line="282" w:lineRule="auto"/>
        <w:tabs>
          <w:tab w:leader="none" w:pos="131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Insurance</w:t>
      </w:r>
      <w:r>
        <w:rPr>
          <w:rFonts w:ascii="Times New Roman" w:cs="Times New Roman" w:eastAsia="Times New Roman" w:hAnsi="Times New Roman"/>
          <w:sz w:val="18"/>
          <w:szCs w:val="18"/>
          <w:color w:val="auto"/>
        </w:rPr>
        <w:t>. The Transaction Entities and their respective subsidiaries carry or are entitled to the benefits of insurance, with financially sound and reputable insurers, in such amounts and covering such risks as is generally maintained by companies of established repute</w:t>
      </w:r>
    </w:p>
    <w:p>
      <w:pPr>
        <w:sectPr>
          <w:pgSz w:w="11900" w:h="16933" w:orient="portrait"/>
          <w:cols w:equalWidth="0" w:num="1">
            <w:col w:w="10760"/>
          </w:cols>
          <w:pgMar w:left="900" w:top="121" w:right="239" w:bottom="0" w:gutter="0" w:footer="0" w:header="0"/>
        </w:sectPr>
      </w:pPr>
    </w:p>
    <w:bookmarkStart w:id="19" w:name="page20"/>
    <w:bookmarkEnd w:id="19"/>
    <w:p>
      <w:pPr>
        <w:ind w:left="4" w:right="120"/>
        <w:spacing w:after="0" w:line="255" w:lineRule="auto"/>
        <w:rPr>
          <w:sz w:val="20"/>
          <w:szCs w:val="20"/>
          <w:color w:val="auto"/>
        </w:rPr>
      </w:pPr>
      <w:r>
        <w:rPr>
          <w:rFonts w:ascii="Times New Roman" w:cs="Times New Roman" w:eastAsia="Times New Roman" w:hAnsi="Times New Roman"/>
          <w:sz w:val="18"/>
          <w:szCs w:val="18"/>
          <w:color w:val="auto"/>
        </w:rPr>
        <w:t>engaged in the same or similar business, and all such insurance is in full force and effect. Neither of the Transaction Entities has any reason to believe that it or any of their respective subsidiaries will not be able to (A) renew, if desired, its existing insurance coverage as and when such policies expire or (B) obtain comparable coverage from similar institutions as may be necessary or appropriate to conduct its business as now conducted and at a cost that would not, singly or in the aggregate, result in a Material Adverse Effect. Neither of the Transaction Entities nor any of their respective subsidiaries has been denied any insurance coverage which it has sought or for which it has applied. The Transaction Entities, directly or indirectly, have obtained customary title insurance on their fee interests and/or leasehold interests, as the case may be, in each of the Properties.</w:t>
      </w:r>
    </w:p>
    <w:p>
      <w:pPr>
        <w:spacing w:after="0" w:line="189" w:lineRule="exact"/>
        <w:rPr>
          <w:sz w:val="20"/>
          <w:szCs w:val="20"/>
          <w:color w:val="auto"/>
        </w:rPr>
      </w:pPr>
    </w:p>
    <w:p>
      <w:pPr>
        <w:ind w:left="4" w:right="540" w:firstLine="645"/>
        <w:spacing w:after="0" w:line="261" w:lineRule="auto"/>
        <w:tabs>
          <w:tab w:leader="none" w:pos="132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Neither of the Transaction Entities is required, or upon the issuance and sale of the Securities as contemplated herein or the shares of Common Stock in the Concurrent iStar Placement and, in each case, the application of the net proceeds therefrom as described in the Registration Statement, the General Disclosure Package and the Prospectus will be required, to register as an “investment company” under the Investment Company Act of 1940, as amended (the “</w:t>
      </w:r>
      <w:r>
        <w:rPr>
          <w:rFonts w:ascii="Times New Roman" w:cs="Times New Roman" w:eastAsia="Times New Roman" w:hAnsi="Times New Roman"/>
          <w:sz w:val="18"/>
          <w:szCs w:val="18"/>
          <w:u w:val="single" w:color="auto"/>
          <w:color w:val="auto"/>
        </w:rPr>
        <w:t>1940 Act</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left="4" w:right="100" w:firstLine="645"/>
        <w:spacing w:after="0" w:line="261" w:lineRule="auto"/>
        <w:tabs>
          <w:tab w:leader="none" w:pos="13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Manipulation</w:t>
      </w:r>
      <w:r>
        <w:rPr>
          <w:rFonts w:ascii="Times New Roman" w:cs="Times New Roman" w:eastAsia="Times New Roman" w:hAnsi="Times New Roman"/>
          <w:sz w:val="18"/>
          <w:szCs w:val="18"/>
          <w:color w:val="auto"/>
        </w:rPr>
        <w:t>. Neither of the Transaction Entities nor any of their respective subsidiaries or other affiliates has taken or will take, directly or indirectly, any action which is designed, or would be expected, to cause or result in, or which constitutes, the stabilization or manipulation of the price of any security of the Company to facilitate the sale or resale of the Securities or a violation of Regulation M under the 1934 Act.</w:t>
      </w:r>
    </w:p>
    <w:p>
      <w:pPr>
        <w:spacing w:after="0" w:line="180" w:lineRule="exact"/>
        <w:rPr>
          <w:rFonts w:ascii="Times New Roman" w:cs="Times New Roman" w:eastAsia="Times New Roman" w:hAnsi="Times New Roman"/>
          <w:sz w:val="18"/>
          <w:szCs w:val="18"/>
          <w:color w:val="auto"/>
        </w:rPr>
      </w:pPr>
    </w:p>
    <w:p>
      <w:pPr>
        <w:ind w:left="4" w:right="20" w:firstLine="645"/>
        <w:spacing w:after="0" w:line="256" w:lineRule="auto"/>
        <w:tabs>
          <w:tab w:leader="none" w:pos="129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None of the Predecessor, the Transaction Entities, any of their respective subsidiaries or, to the knowledge of either of the Transaction Entities, any director, officer, partner, agent, employee, affiliate that is under the management control of the Transaction Entities or their subsidiaries or other person acting on behalf of any of the Predecessor, the Transaction Entities or the Manager or any of their respective subsidiaries is aware of or has taken any action, directly or indirectly, that would result in a violation by such persons of the Foreign Corrupt Practices Act of 1977, as amended, and the rules and regulations thereunder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or any other applicable anti-bribery laws, including, without limitation, making use of the mails or any means or instrumentality of interstate commerce corruptly in</w:t>
      </w:r>
    </w:p>
    <w:p>
      <w:pPr>
        <w:spacing w:after="0" w:line="188"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83820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Each of the Predecessor, the Transaction Entities and their respective subsidiaries and, to the knowledge of each of the Transaction Entities, their respective affiliates that are under the management control of the Transaction Entities or their subsidiaries have conducted their businesses in compliance with the FCPA and any other applicable anti-bribery laws and have instituted and maintain and enforce policies and procedures designed to ensure, and which are reasonably expected to continue to ensure, continued compliance therewith.</w:t>
      </w:r>
    </w:p>
    <w:p>
      <w:pPr>
        <w:spacing w:after="0" w:line="189" w:lineRule="exact"/>
        <w:rPr>
          <w:sz w:val="20"/>
          <w:szCs w:val="20"/>
          <w:color w:val="auto"/>
        </w:rPr>
      </w:pPr>
    </w:p>
    <w:p>
      <w:pPr>
        <w:ind w:left="4" w:right="60" w:firstLine="645"/>
        <w:spacing w:after="0" w:line="255" w:lineRule="auto"/>
        <w:tabs>
          <w:tab w:leader="none" w:pos="130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The operations of each of the Predecessor, the Transaction Entities and their respective subsidiaries are and have been conducted at all times in compliance with applicable financial recordkeeping and reporting requirements of (A) the Currency and Foreign Transactions Reporting Act of 1970, as amended, (B) the money laundering statutes of all jurisdictions, the rules and regulations thereunder and (C) any related or similar rules, regulations or guidelines, issued, administered or enforced by any Governmental Entity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No action, suit or proceeding by or before any Governmental Entity involving any of the Predecessor, the Transaction Entities or any of their respective subsidiaries with respect to the Money Laundering Laws is pending or, to the knowledge of either of the Transaction Entities, threatened.</w:t>
      </w:r>
    </w:p>
    <w:p>
      <w:pPr>
        <w:spacing w:after="0" w:line="189" w:lineRule="exact"/>
        <w:rPr>
          <w:rFonts w:ascii="Times New Roman" w:cs="Times New Roman" w:eastAsia="Times New Roman" w:hAnsi="Times New Roman"/>
          <w:sz w:val="18"/>
          <w:szCs w:val="18"/>
          <w:color w:val="auto"/>
        </w:rPr>
      </w:pPr>
    </w:p>
    <w:p>
      <w:pPr>
        <w:ind w:left="4" w:right="80" w:firstLine="645"/>
        <w:spacing w:after="0" w:line="253" w:lineRule="auto"/>
        <w:tabs>
          <w:tab w:leader="none" w:pos="131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None of the Predecessor, the Transaction Entities, any of their respective subsidiaries or, to the knowledge of either of the Transaction Entities, any director, officer, partner, agent, employee, affiliate or other person acting on behalf of any of the Predecessor, the Transaction Entities or the Manager or any of their respective subsidiaries is an individual or entity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currently the subject or target of any sanctions administered or enforced by the United States Government, including, without limitation, the U.S. Department of the Treasury’s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United Nations Security Council, the European Union, Her Majesty’s Treasury,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nor are the Predecessor, the Transaction Entities or any of their respective subsidiaries located, organized or resident in a country or territory that is the subject of Sanctions. The Company will not directly or indirectly use the proceeds from the sale of the Securities or shares of Common Stock in the Concurrent iStar Placement, or lend, contribute or otherwise make available such proceeds to any subsidiaries,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w:t>
      </w:r>
    </w:p>
    <w:p>
      <w:pPr>
        <w:spacing w:after="0" w:line="190" w:lineRule="exact"/>
        <w:rPr>
          <w:rFonts w:ascii="Times New Roman" w:cs="Times New Roman" w:eastAsia="Times New Roman" w:hAnsi="Times New Roman"/>
          <w:sz w:val="18"/>
          <w:szCs w:val="18"/>
          <w:color w:val="auto"/>
        </w:rPr>
      </w:pPr>
    </w:p>
    <w:p>
      <w:pPr>
        <w:ind w:left="4" w:right="360" w:firstLine="645"/>
        <w:spacing w:after="0" w:line="262" w:lineRule="auto"/>
        <w:tabs>
          <w:tab w:leader="none" w:pos="132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Lending Relationship</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as disclosed in the Registration Statement, the General Disclosure Package and the Prospectus, neither of the Transaction Entities (i) has any material lending or other relationship with any Underwriter or any affiliate of any Underwriter or</w:t>
      </w:r>
    </w:p>
    <w:p>
      <w:pPr>
        <w:ind w:left="4" w:right="360" w:hanging="4"/>
        <w:spacing w:after="0" w:line="261" w:lineRule="auto"/>
        <w:tabs>
          <w:tab w:leader="none" w:pos="26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intends to use any of the proceeds from the sale of the Securities or shares of Common Stock in the Concurrent iStar Placement to repay any outstanding debt owed to any Underwriter or any affiliate of any Underwriter.</w:t>
      </w:r>
    </w:p>
    <w:p>
      <w:pPr>
        <w:spacing w:after="0" w:line="177" w:lineRule="exact"/>
        <w:rPr>
          <w:rFonts w:ascii="Times New Roman" w:cs="Times New Roman" w:eastAsia="Times New Roman" w:hAnsi="Times New Roman"/>
          <w:sz w:val="18"/>
          <w:szCs w:val="18"/>
          <w:color w:val="auto"/>
        </w:rPr>
      </w:pPr>
    </w:p>
    <w:p>
      <w:pPr>
        <w:ind w:left="4" w:right="100" w:firstLine="645"/>
        <w:spacing w:after="0" w:line="261" w:lineRule="auto"/>
        <w:tabs>
          <w:tab w:leader="none" w:pos="130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Sales of Reserved Securities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connection with any offer and sale of Reserved Securities outside the United States, each preliminary prospectus, the Prospectus, any prospectus wrapper and any amendment or supplement thereto, at the time it was delivered to Invitees, complied and will comply in all material respects with any applicable laws or regulations of foreign jurisdictions. The Company has not offered, or caused the Representatives to offer, Reserved Securities to any person with the specific intent to unlawfully influence (i) a customer</w:t>
      </w:r>
    </w:p>
    <w:p>
      <w:pPr>
        <w:spacing w:after="0" w:line="182"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83820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300"/>
        <w:spacing w:after="0" w:line="266" w:lineRule="auto"/>
        <w:rPr>
          <w:sz w:val="20"/>
          <w:szCs w:val="20"/>
          <w:color w:val="auto"/>
        </w:rPr>
      </w:pPr>
      <w:r>
        <w:rPr>
          <w:rFonts w:ascii="Times New Roman" w:cs="Times New Roman" w:eastAsia="Times New Roman" w:hAnsi="Times New Roman"/>
          <w:sz w:val="18"/>
          <w:szCs w:val="18"/>
          <w:color w:val="auto"/>
        </w:rPr>
        <w:t>or supplier of the Company or any of its affiliates to alter the customer’s or supplier’s level or type of business with any such entity or (ii) a trade journalist or publication to write or publish favorable information about the Company or any of its affiliates, or their respective businesses or products.</w:t>
      </w:r>
    </w:p>
    <w:p>
      <w:pPr>
        <w:sectPr>
          <w:pgSz w:w="11900" w:h="16838" w:orient="portrait"/>
          <w:cols w:equalWidth="0" w:num="1">
            <w:col w:w="10744"/>
          </w:cols>
          <w:pgMar w:left="896" w:top="121" w:right="259" w:bottom="0" w:gutter="0" w:footer="0" w:header="0"/>
        </w:sectPr>
      </w:pPr>
    </w:p>
    <w:bookmarkStart w:id="20" w:name="page21"/>
    <w:bookmarkEnd w:id="20"/>
    <w:p>
      <w:pPr>
        <w:ind w:left="660" w:right="100" w:firstLine="648"/>
        <w:spacing w:after="0" w:line="289" w:lineRule="auto"/>
        <w:rPr>
          <w:sz w:val="20"/>
          <w:szCs w:val="20"/>
          <w:color w:val="auto"/>
        </w:rPr>
      </w:pPr>
      <w:r>
        <w:rPr>
          <w:rFonts w:ascii="Times New Roman" w:cs="Times New Roman" w:eastAsia="Times New Roman" w:hAnsi="Times New Roman"/>
          <w:sz w:val="17"/>
          <w:szCs w:val="17"/>
          <w:color w:val="auto"/>
        </w:rPr>
        <w:t xml:space="preserve">(xl) </w:t>
      </w:r>
      <w:r>
        <w:rPr>
          <w:rFonts w:ascii="Times New Roman" w:cs="Times New Roman" w:eastAsia="Times New Roman" w:hAnsi="Times New Roman"/>
          <w:sz w:val="17"/>
          <w:szCs w:val="17"/>
          <w:u w:val="single" w:color="auto"/>
          <w:color w:val="auto"/>
        </w:rPr>
        <w:t>Statistical and Market-Related Data</w:t>
      </w:r>
      <w:r>
        <w:rPr>
          <w:rFonts w:ascii="Times New Roman" w:cs="Times New Roman" w:eastAsia="Times New Roman" w:hAnsi="Times New Roman"/>
          <w:sz w:val="17"/>
          <w:szCs w:val="17"/>
          <w:color w:val="auto"/>
        </w:rPr>
        <w:t>. Any statistical and market-related data included in the Registration Statement, the General Disclosure Package or the Prospectus are based on or derived from sources that the Company believes, after reasonable inquiry, to be reliable and accurate in all material respects and, to the extent required, the Company has obtained the written consent to the use of such data from such sources.</w:t>
      </w:r>
    </w:p>
    <w:p>
      <w:pPr>
        <w:spacing w:after="0" w:line="158" w:lineRule="exact"/>
        <w:rPr>
          <w:sz w:val="20"/>
          <w:szCs w:val="20"/>
          <w:color w:val="auto"/>
        </w:rPr>
      </w:pPr>
    </w:p>
    <w:p>
      <w:pPr>
        <w:ind w:left="660"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(xli) </w:t>
      </w:r>
      <w:r>
        <w:rPr>
          <w:rFonts w:ascii="Times New Roman" w:cs="Times New Roman" w:eastAsia="Times New Roman" w:hAnsi="Times New Roman"/>
          <w:sz w:val="18"/>
          <w:szCs w:val="18"/>
          <w:u w:val="single" w:color="auto"/>
          <w:color w:val="auto"/>
        </w:rPr>
        <w:t>Real Estate Investment Trust</w:t>
      </w:r>
      <w:r>
        <w:rPr>
          <w:rFonts w:ascii="Times New Roman" w:cs="Times New Roman" w:eastAsia="Times New Roman" w:hAnsi="Times New Roman"/>
          <w:sz w:val="18"/>
          <w:szCs w:val="18"/>
          <w:color w:val="auto"/>
        </w:rPr>
        <w:t>. The Company’s current organization and proposed method of operation, as described in the Registration Statement, the General Disclosure Package and the Prospectus, will enable the Company to meet the requirements for qualification and taxation as a real estate investment trust (“</w:t>
      </w:r>
      <w:r>
        <w:rPr>
          <w:rFonts w:ascii="Times New Roman" w:cs="Times New Roman" w:eastAsia="Times New Roman" w:hAnsi="Times New Roman"/>
          <w:sz w:val="18"/>
          <w:szCs w:val="18"/>
          <w:u w:val="single" w:color="auto"/>
          <w:color w:val="auto"/>
        </w:rPr>
        <w:t>REIT</w:t>
      </w:r>
      <w:r>
        <w:rPr>
          <w:rFonts w:ascii="Times New Roman" w:cs="Times New Roman" w:eastAsia="Times New Roman" w:hAnsi="Times New Roman"/>
          <w:sz w:val="18"/>
          <w:szCs w:val="18"/>
          <w:color w:val="auto"/>
        </w:rPr>
        <w:t>”) pursuant to Sections 856 through 860 of the Code commencing with its taxable year ending December 31, 2017. All statements regarding the Company’s qualification and taxation as a REIT and descriptions of the Company’s current organization and proposed method of operation (inasmuch as they relate to the Company’s qualification and taxation as a REIT commencing with its taxable year ending December 31, 2017) set forth in the Registration Statement, the General Disclosure Package and the Prospectus are accurate and fair summaries of the legal or tax matters described therein in all material respects.</w:t>
      </w:r>
    </w:p>
    <w:p>
      <w:pPr>
        <w:spacing w:after="0" w:line="189" w:lineRule="exact"/>
        <w:rPr>
          <w:sz w:val="20"/>
          <w:szCs w:val="20"/>
          <w:color w:val="auto"/>
        </w:rPr>
      </w:pPr>
    </w:p>
    <w:p>
      <w:pPr>
        <w:ind w:left="6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(xlii) </w:t>
      </w:r>
      <w:r>
        <w:rPr>
          <w:rFonts w:ascii="Times New Roman" w:cs="Times New Roman" w:eastAsia="Times New Roman" w:hAnsi="Times New Roman"/>
          <w:sz w:val="18"/>
          <w:szCs w:val="18"/>
          <w:u w:val="single" w:color="auto"/>
          <w:color w:val="auto"/>
        </w:rPr>
        <w:t>Management Agreement</w:t>
      </w:r>
      <w:r>
        <w:rPr>
          <w:rFonts w:ascii="Times New Roman" w:cs="Times New Roman" w:eastAsia="Times New Roman" w:hAnsi="Times New Roman"/>
          <w:sz w:val="18"/>
          <w:szCs w:val="18"/>
          <w:color w:val="auto"/>
        </w:rPr>
        <w:t>. The management agreement (the “</w:t>
      </w:r>
      <w:r>
        <w:rPr>
          <w:rFonts w:ascii="Times New Roman" w:cs="Times New Roman" w:eastAsia="Times New Roman" w:hAnsi="Times New Roman"/>
          <w:sz w:val="18"/>
          <w:szCs w:val="18"/>
          <w:u w:val="single" w:color="auto"/>
          <w:color w:val="auto"/>
        </w:rPr>
        <w:t>Management Agreement</w:t>
      </w:r>
      <w:r>
        <w:rPr>
          <w:rFonts w:ascii="Times New Roman" w:cs="Times New Roman" w:eastAsia="Times New Roman" w:hAnsi="Times New Roman"/>
          <w:sz w:val="18"/>
          <w:szCs w:val="18"/>
          <w:color w:val="auto"/>
        </w:rPr>
        <w:t>”), to be entered into between the Transaction Entities and the Manager, has been duly authorized by each of the Transaction Entities and, at the Closing Time, will be duly executed and delivered by, and will be a valid and legally binding agreement of, each of the Transaction Entities, enforceable against the Transaction Entities in accordance with its terms, except to the extent that enforceability may be limited by bankruptcy, insolvency, reorganization, moratorium or similar laws affecting creditors’ rights generally and by general equitable principles, and with respect to any indemnification provisions contained therein, except as rights under those provisions may be limited by applicable law or policies underlying such law.</w:t>
      </w:r>
    </w:p>
    <w:p>
      <w:pPr>
        <w:spacing w:after="0" w:line="188" w:lineRule="exact"/>
        <w:rPr>
          <w:sz w:val="20"/>
          <w:szCs w:val="20"/>
          <w:color w:val="auto"/>
        </w:rPr>
      </w:pPr>
    </w:p>
    <w:p>
      <w:pPr>
        <w:ind w:left="660"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(xliii) </w:t>
      </w:r>
      <w:r>
        <w:rPr>
          <w:rFonts w:ascii="Times New Roman" w:cs="Times New Roman" w:eastAsia="Times New Roman" w:hAnsi="Times New Roman"/>
          <w:sz w:val="18"/>
          <w:szCs w:val="18"/>
          <w:u w:val="single" w:color="auto"/>
          <w:color w:val="auto"/>
        </w:rPr>
        <w:t>Exclusivity Agreement</w:t>
      </w:r>
      <w:r>
        <w:rPr>
          <w:rFonts w:ascii="Times New Roman" w:cs="Times New Roman" w:eastAsia="Times New Roman" w:hAnsi="Times New Roman"/>
          <w:sz w:val="18"/>
          <w:szCs w:val="18"/>
          <w:color w:val="auto"/>
        </w:rPr>
        <w:t>. The exclusivity agreement (the “</w:t>
      </w:r>
      <w:r>
        <w:rPr>
          <w:rFonts w:ascii="Times New Roman" w:cs="Times New Roman" w:eastAsia="Times New Roman" w:hAnsi="Times New Roman"/>
          <w:sz w:val="18"/>
          <w:szCs w:val="18"/>
          <w:u w:val="single" w:color="auto"/>
          <w:color w:val="auto"/>
        </w:rPr>
        <w:t>Exclusivity Agreement</w:t>
      </w:r>
      <w:r>
        <w:rPr>
          <w:rFonts w:ascii="Times New Roman" w:cs="Times New Roman" w:eastAsia="Times New Roman" w:hAnsi="Times New Roman"/>
          <w:sz w:val="18"/>
          <w:szCs w:val="18"/>
          <w:color w:val="auto"/>
        </w:rPr>
        <w:t>”), to be entered into between the Transaction Entities and iStar, has been duly authorized by each of the Transaction Entities and, at the Closing Time, will be duly executed and delivered by, and will be a valid and legally binding agreement of, each of the Transaction Entities, enforceable against the Transaction Entities in accordance with its terms, except to the extent that enforceability may be limited by bankruptcy, insolvency, reorganization, moratorium or similar laws affecting creditors’ rights generally and by general equitable principles and public policy.</w:t>
      </w:r>
    </w:p>
    <w:p>
      <w:pPr>
        <w:spacing w:after="0" w:line="184" w:lineRule="exact"/>
        <w:rPr>
          <w:sz w:val="20"/>
          <w:szCs w:val="20"/>
          <w:color w:val="auto"/>
        </w:rPr>
      </w:pPr>
    </w:p>
    <w:p>
      <w:pPr>
        <w:jc w:val="both"/>
        <w:ind w:left="660"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(xliv) </w:t>
      </w:r>
      <w:r>
        <w:rPr>
          <w:rFonts w:ascii="Times New Roman" w:cs="Times New Roman" w:eastAsia="Times New Roman" w:hAnsi="Times New Roman"/>
          <w:sz w:val="18"/>
          <w:szCs w:val="18"/>
          <w:u w:val="single" w:color="auto"/>
          <w:color w:val="auto"/>
        </w:rPr>
        <w:t>Prior Sales of Common Stock or OP Units</w:t>
      </w:r>
      <w:r>
        <w:rPr>
          <w:rFonts w:ascii="Times New Roman" w:cs="Times New Roman" w:eastAsia="Times New Roman" w:hAnsi="Times New Roman"/>
          <w:sz w:val="18"/>
          <w:szCs w:val="18"/>
          <w:color w:val="auto"/>
        </w:rPr>
        <w:t>. Except as disclosed in the Registration Statement, the General Disclosure Package and the Prospectus, the Company has not issued, sold or distributed, or agreed to issue, sell or distribute, any shares of Common Stock and the Operating Partnership has not issued, sold or distributed, or agreed to issue, sell or distribute, any OP Units.</w:t>
      </w:r>
    </w:p>
    <w:p>
      <w:pPr>
        <w:spacing w:after="0" w:line="16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1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(xlv)</w:t>
            </w:r>
          </w:p>
        </w:tc>
        <w:tc>
          <w:tcPr>
            <w:tcW w:w="94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w w:val="99"/>
              </w:rPr>
              <w:t>Approval of Listing. The Securities have been approved for listing on the New York Stock Exchange, subject to official notice of</w:t>
            </w:r>
          </w:p>
        </w:tc>
      </w:tr>
      <w:tr>
        <w:trPr>
          <w:trHeight w:val="23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issuance.</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860" w:type="dxa"/>
            <w:vAlign w:val="bottom"/>
          </w:tcPr>
          <w:p>
            <w:pPr>
              <w:spacing w:after="0"/>
              <w:rPr>
                <w:sz w:val="20"/>
                <w:szCs w:val="20"/>
                <w:color w:val="auto"/>
              </w:rPr>
            </w:pPr>
          </w:p>
        </w:tc>
      </w:tr>
      <w:tr>
        <w:trPr>
          <w:trHeight w:val="392"/>
        </w:trPr>
        <w:tc>
          <w:tcPr>
            <w:tcW w:w="11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(xlvi)</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Distributions. Except as disclosed in the Registration Statement, the General Disclosure Package and the Prospectus, (A) the</w:t>
            </w: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r>
    </w:tbl>
    <w:p>
      <w:pPr>
        <w:spacing w:after="0" w:line="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Company is not currently prohibited, directly or indirectly, from making any distributions to its stockholders and (B) neither the Operating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60"/>
        <w:spacing w:after="0" w:line="261" w:lineRule="auto"/>
        <w:rPr>
          <w:sz w:val="20"/>
          <w:szCs w:val="20"/>
          <w:color w:val="auto"/>
        </w:rPr>
      </w:pPr>
      <w:r>
        <w:rPr>
          <w:rFonts w:ascii="Times New Roman" w:cs="Times New Roman" w:eastAsia="Times New Roman" w:hAnsi="Times New Roman"/>
          <w:sz w:val="18"/>
          <w:szCs w:val="18"/>
          <w:color w:val="auto"/>
        </w:rPr>
        <w:t>Partnership nor any direct or indirect subsidiary of the Company is prohibited, directly or indirectly, from making any distributions, directly or indirectly, to the Company, from making any other distribution on any of its ownership interests, from repaying any of its loans or advances, including those made, directly or indirectly, by the Company, or from loaning or otherwise making funds available, directly or indirectly, to the Company.</w:t>
      </w:r>
    </w:p>
    <w:p>
      <w:pPr>
        <w:spacing w:after="0" w:line="180" w:lineRule="exact"/>
        <w:rPr>
          <w:sz w:val="20"/>
          <w:szCs w:val="20"/>
          <w:color w:val="auto"/>
        </w:rPr>
      </w:pPr>
    </w:p>
    <w:p>
      <w:pPr>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(xlvii)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Except as disclosed in the Registration Statement, the General Disclosure Package and the Prospectus, the Company has not incurred any liability for any finder’s fees or similar payments in connection with the transactions contemplated in this Agreement, except as may otherwise exist with respect to the Underwriters pursuant to this Agreement.</w:t>
      </w:r>
    </w:p>
    <w:p>
      <w:pPr>
        <w:spacing w:after="0" w:line="176" w:lineRule="exact"/>
        <w:rPr>
          <w:sz w:val="20"/>
          <w:szCs w:val="20"/>
          <w:color w:val="auto"/>
        </w:rPr>
      </w:pPr>
    </w:p>
    <w:p>
      <w:pPr>
        <w:ind w:left="660"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(xlviii) </w:t>
      </w:r>
      <w:r>
        <w:rPr>
          <w:rFonts w:ascii="Times New Roman" w:cs="Times New Roman" w:eastAsia="Times New Roman" w:hAnsi="Times New Roman"/>
          <w:sz w:val="18"/>
          <w:szCs w:val="18"/>
          <w:u w:val="single" w:color="auto"/>
          <w:color w:val="auto"/>
        </w:rPr>
        <w:t>Certain Relationships</w:t>
      </w:r>
      <w:r>
        <w:rPr>
          <w:rFonts w:ascii="Times New Roman" w:cs="Times New Roman" w:eastAsia="Times New Roman" w:hAnsi="Times New Roman"/>
          <w:sz w:val="18"/>
          <w:szCs w:val="18"/>
          <w:color w:val="auto"/>
        </w:rPr>
        <w:t>. No relationship, direct or indirect, exists between or among either of the Transaction Entities, on the one hand, and the directors, officers, stockholders, partners, customers or suppliers of the Transaction Entities, on the other hand, which is required to be described in the Registration Statement, the General Disclosure Package or the Prospectus which is not so described.</w:t>
      </w:r>
    </w:p>
    <w:p>
      <w:pPr>
        <w:spacing w:after="0" w:line="176" w:lineRule="exact"/>
        <w:rPr>
          <w:sz w:val="20"/>
          <w:szCs w:val="20"/>
          <w:color w:val="auto"/>
        </w:rPr>
      </w:pPr>
    </w:p>
    <w:p>
      <w:pPr>
        <w:ind w:left="660"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(xlix) </w:t>
      </w:r>
      <w:r>
        <w:rPr>
          <w:rFonts w:ascii="Times New Roman" w:cs="Times New Roman" w:eastAsia="Times New Roman" w:hAnsi="Times New Roman"/>
          <w:sz w:val="18"/>
          <w:szCs w:val="18"/>
          <w:u w:val="single" w:color="auto"/>
          <w:color w:val="auto"/>
        </w:rPr>
        <w:t>Private Placement Purchase Agreement</w:t>
      </w:r>
      <w:r>
        <w:rPr>
          <w:rFonts w:ascii="Times New Roman" w:cs="Times New Roman" w:eastAsia="Times New Roman" w:hAnsi="Times New Roman"/>
          <w:sz w:val="18"/>
          <w:szCs w:val="18"/>
          <w:color w:val="auto"/>
        </w:rPr>
        <w:t>. The private placement purchase agreement relating to the Concurrent iStar Placement (the “</w:t>
      </w:r>
      <w:r>
        <w:rPr>
          <w:rFonts w:ascii="Times New Roman" w:cs="Times New Roman" w:eastAsia="Times New Roman" w:hAnsi="Times New Roman"/>
          <w:sz w:val="18"/>
          <w:szCs w:val="18"/>
          <w:u w:val="single" w:color="auto"/>
          <w:color w:val="auto"/>
        </w:rPr>
        <w:t>Private Placement Purchase Agreement</w:t>
      </w:r>
      <w:r>
        <w:rPr>
          <w:rFonts w:ascii="Times New Roman" w:cs="Times New Roman" w:eastAsia="Times New Roman" w:hAnsi="Times New Roman"/>
          <w:sz w:val="18"/>
          <w:szCs w:val="18"/>
          <w:color w:val="auto"/>
        </w:rPr>
        <w:t>”), dated as of the date of this Agreement, between the Transaction Entities and iStar, has been duly authorized, executed and delivered by each of the Transaction Entities and constitutes a valid and binding agreement of each of the Transaction Entities, enforceable against each of the Transaction Entities in accordance with its terms, except to the extent that enforceability may be limited by bankruptcy, insolvency, reorganization, moratorium or similar laws affecting creditors’ rights generally and by general equitable principles.</w:t>
      </w:r>
    </w:p>
    <w:p>
      <w:pPr>
        <w:spacing w:after="0" w:line="184" w:lineRule="exact"/>
        <w:rPr>
          <w:sz w:val="20"/>
          <w:szCs w:val="20"/>
          <w:color w:val="auto"/>
        </w:rPr>
      </w:pPr>
    </w:p>
    <w:p>
      <w:pPr>
        <w:ind w:left="660" w:right="220" w:firstLine="645"/>
        <w:spacing w:after="0" w:line="258" w:lineRule="auto"/>
        <w:tabs>
          <w:tab w:leader="none" w:pos="19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Common Stock in the Formation Transactions and the Concurrent iStar Placement</w:t>
      </w:r>
      <w:r>
        <w:rPr>
          <w:rFonts w:ascii="Times New Roman" w:cs="Times New Roman" w:eastAsia="Times New Roman" w:hAnsi="Times New Roman"/>
          <w:sz w:val="18"/>
          <w:szCs w:val="18"/>
          <w:color w:val="auto"/>
        </w:rPr>
        <w:t>. The shares of Common Stock sold or to be sold in the Formation Transactions and the Concurrent iStar Placement have been duly authorized for issuance and sale, and when issued and delivered by the Company pursuant to the subscription agreement relating to the Formation Transactions, dated as of April 14, 2017, and the Private Placement Purchase Agreement, as applicable, were or will be validly issued and fully paid and non-assessable, and free and clear of any pledge, lien, encumbrance, security interest or other claim.</w:t>
      </w:r>
    </w:p>
    <w:p>
      <w:pPr>
        <w:spacing w:after="0" w:line="184" w:lineRule="exact"/>
        <w:rPr>
          <w:sz w:val="20"/>
          <w:szCs w:val="20"/>
          <w:color w:val="auto"/>
        </w:rPr>
      </w:pPr>
    </w:p>
    <w:p>
      <w:pPr>
        <w:ind w:left="660"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(li) </w:t>
      </w:r>
      <w:r>
        <w:rPr>
          <w:rFonts w:ascii="Times New Roman" w:cs="Times New Roman" w:eastAsia="Times New Roman" w:hAnsi="Times New Roman"/>
          <w:sz w:val="18"/>
          <w:szCs w:val="18"/>
          <w:u w:val="single" w:color="auto"/>
          <w:color w:val="auto"/>
        </w:rPr>
        <w:t>No Registration of Concurrent iStar Placement</w:t>
      </w:r>
      <w:r>
        <w:rPr>
          <w:rFonts w:ascii="Times New Roman" w:cs="Times New Roman" w:eastAsia="Times New Roman" w:hAnsi="Times New Roman"/>
          <w:sz w:val="18"/>
          <w:szCs w:val="18"/>
          <w:color w:val="auto"/>
        </w:rPr>
        <w:t>. It is not necessary, in connection with the offer or sale of the Common Stock to iStar pursuant to the Private Placement Purchase Agreement, in the manner contemplated by the Private Placement Purchase Agreement, to register such offer or sale of Common Stock under the 1933 Act, and such offer and sale will not be integrated with the offer and sale of the Securities as contemplated by this Agreement, the Registration Statement, the General Disclosure Package and the Prospectus.</w:t>
      </w:r>
    </w:p>
    <w:p>
      <w:pPr>
        <w:spacing w:after="0" w:line="180" w:lineRule="exact"/>
        <w:rPr>
          <w:sz w:val="20"/>
          <w:szCs w:val="20"/>
          <w:color w:val="auto"/>
        </w:rPr>
      </w:pPr>
    </w:p>
    <w:p>
      <w:pPr>
        <w:ind w:left="660" w:right="2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(lii) </w:t>
      </w:r>
      <w:r>
        <w:rPr>
          <w:rFonts w:ascii="Times New Roman" w:cs="Times New Roman" w:eastAsia="Times New Roman" w:hAnsi="Times New Roman"/>
          <w:sz w:val="18"/>
          <w:szCs w:val="18"/>
          <w:u w:val="single" w:color="auto"/>
          <w:color w:val="auto"/>
        </w:rPr>
        <w:t>No Ratings</w:t>
      </w:r>
      <w:r>
        <w:rPr>
          <w:rFonts w:ascii="Times New Roman" w:cs="Times New Roman" w:eastAsia="Times New Roman" w:hAnsi="Times New Roman"/>
          <w:sz w:val="18"/>
          <w:szCs w:val="18"/>
          <w:color w:val="auto"/>
        </w:rPr>
        <w:t>. No securities issued by the Transaction Entities or any of their respective subsidiaries are rated by any “nationally recognized statistical rating organization” (as defined for purposes of Section 3(a)(62) under the 1934 Act).</w:t>
      </w:r>
    </w:p>
    <w:p>
      <w:pPr>
        <w:spacing w:after="0" w:line="160" w:lineRule="exact"/>
        <w:rPr>
          <w:sz w:val="20"/>
          <w:szCs w:val="20"/>
          <w:color w:val="auto"/>
        </w:rPr>
      </w:pPr>
    </w:p>
    <w:p>
      <w:pPr>
        <w:ind w:right="680" w:firstLine="656"/>
        <w:spacing w:after="0" w:line="284" w:lineRule="auto"/>
        <w:tabs>
          <w:tab w:leader="none" w:pos="13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by the Manager</w:t>
      </w:r>
      <w:r>
        <w:rPr>
          <w:rFonts w:ascii="Times New Roman" w:cs="Times New Roman" w:eastAsia="Times New Roman" w:hAnsi="Times New Roman"/>
          <w:sz w:val="18"/>
          <w:szCs w:val="18"/>
          <w:color w:val="auto"/>
        </w:rPr>
        <w:t>. The Manager represents and warrants to each Underwriter at the date hereof,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Time, the Closing Time and each Date of Delivery, if any, and agrees with each Underwriter, as follows:</w:t>
      </w:r>
    </w:p>
    <w:p>
      <w:pPr>
        <w:sectPr>
          <w:pgSz w:w="11900" w:h="16838" w:orient="portrait"/>
          <w:cols w:equalWidth="0" w:num="1">
            <w:col w:w="11420"/>
          </w:cols>
          <w:pgMar w:left="240" w:top="121" w:right="239" w:bottom="39" w:gutter="0" w:footer="0" w:header="0"/>
        </w:sectPr>
      </w:pPr>
    </w:p>
    <w:bookmarkStart w:id="21" w:name="page22"/>
    <w:bookmarkEnd w:id="21"/>
    <w:p>
      <w:pPr>
        <w:ind w:right="100" w:firstLine="654"/>
        <w:spacing w:after="0" w:line="266" w:lineRule="auto"/>
        <w:tabs>
          <w:tab w:leader="none" w:pos="12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Information</w:t>
      </w:r>
      <w:r>
        <w:rPr>
          <w:rFonts w:ascii="Times New Roman" w:cs="Times New Roman" w:eastAsia="Times New Roman" w:hAnsi="Times New Roman"/>
          <w:sz w:val="18"/>
          <w:szCs w:val="18"/>
          <w:color w:val="auto"/>
        </w:rPr>
        <w:t>. The information provided by the Manager set forth under the headings “Prospectus Summary — The Company — Management Agreement”, “Our Manager and the Management Agreement” and “Certain Relationships and Related Transactions” in the Registration Statement, the General Disclosure Package and the Prospectus is true and correct in</w:t>
      </w:r>
    </w:p>
    <w:p>
      <w:pPr>
        <w:spacing w:after="0" w:line="17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83820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all material respects. As of the date of this Agreement, neither the Manager nor any affiliate of the Manager has any plan or intention to materially alter its capital investment policy or investment allocation policy with respect to the Company as described in the Registration Statement, the General Disclosure Package and the Prospectus.</w:t>
      </w:r>
    </w:p>
    <w:p>
      <w:pPr>
        <w:spacing w:after="0" w:line="176" w:lineRule="exact"/>
        <w:rPr>
          <w:sz w:val="20"/>
          <w:szCs w:val="20"/>
          <w:color w:val="auto"/>
        </w:rPr>
      </w:pPr>
    </w:p>
    <w:p>
      <w:pPr>
        <w:ind w:right="20" w:firstLine="654"/>
        <w:spacing w:after="0" w:line="255" w:lineRule="auto"/>
        <w:tabs>
          <w:tab w:leader="none" w:pos="123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of the Manager</w:t>
      </w:r>
      <w:r>
        <w:rPr>
          <w:rFonts w:ascii="Times New Roman" w:cs="Times New Roman" w:eastAsia="Times New Roman" w:hAnsi="Times New Roman"/>
          <w:sz w:val="18"/>
          <w:szCs w:val="18"/>
          <w:color w:val="auto"/>
        </w:rPr>
        <w:t>. The Manager is a limited liability company duly organized and validly existing and in good standing under the laws of the State of Delaware and has limited liability company power and authority to own, lease and operate its properties and to conduct its business as described in the Registration Statement, the General Disclosure Package and the Prospectus and to enter into and perform its obligations under this Agreement and the Management Agreement; and the Manager is duly qualified as a foreign limited liability company to transact business and is in good standing in each other jurisdiction in which such qualification is required, whether by reason of the ownership or leasing of property or the conduct of business, except where the failure so to qualify or to be in good standing would not, singly or in the aggregate, result in a Material Adverse Effect.</w:t>
      </w:r>
    </w:p>
    <w:p>
      <w:pPr>
        <w:spacing w:after="0" w:line="189" w:lineRule="exact"/>
        <w:rPr>
          <w:rFonts w:ascii="Times New Roman" w:cs="Times New Roman" w:eastAsia="Times New Roman" w:hAnsi="Times New Roman"/>
          <w:sz w:val="18"/>
          <w:szCs w:val="18"/>
          <w:color w:val="auto"/>
        </w:rPr>
      </w:pPr>
    </w:p>
    <w:p>
      <w:pPr>
        <w:ind w:left="1240" w:hanging="586"/>
        <w:spacing w:after="0"/>
        <w:tabs>
          <w:tab w:leader="none" w:pos="12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Agreement</w:t>
      </w:r>
      <w:r>
        <w:rPr>
          <w:rFonts w:ascii="Times New Roman" w:cs="Times New Roman" w:eastAsia="Times New Roman" w:hAnsi="Times New Roman"/>
          <w:sz w:val="18"/>
          <w:szCs w:val="18"/>
          <w:color w:val="auto"/>
        </w:rPr>
        <w:t>. This Agreement has been duly authorized, executed and delivered by the Manager.</w:t>
      </w:r>
    </w:p>
    <w:p>
      <w:pPr>
        <w:spacing w:after="0" w:line="225" w:lineRule="exact"/>
        <w:rPr>
          <w:rFonts w:ascii="Times New Roman" w:cs="Times New Roman" w:eastAsia="Times New Roman" w:hAnsi="Times New Roman"/>
          <w:sz w:val="18"/>
          <w:szCs w:val="18"/>
          <w:color w:val="auto"/>
        </w:rPr>
      </w:pPr>
    </w:p>
    <w:p>
      <w:pPr>
        <w:jc w:val="both"/>
        <w:ind w:left="-80" w:right="40" w:firstLine="645"/>
        <w:spacing w:after="0" w:line="258" w:lineRule="auto"/>
        <w:tabs>
          <w:tab w:leader="none" w:pos="123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Management Agreement</w:t>
      </w:r>
      <w:r>
        <w:rPr>
          <w:rFonts w:ascii="Times New Roman" w:cs="Times New Roman" w:eastAsia="Times New Roman" w:hAnsi="Times New Roman"/>
          <w:sz w:val="18"/>
          <w:szCs w:val="18"/>
          <w:color w:val="auto"/>
        </w:rPr>
        <w:t>. The Management Agreement has been duly authorized by the Manager and, at the Closing Time, will be duly executed and delivered by, and will be a valid and legally binding agreement of, the Manager, enforceable against the Manager in accordance with its terms, except to the extent that enforceability may be limited by bankruptcy, insolvency, reorganization, moratorium or similar laws affecting creditors’ rights generally and by general equitable principles, and with respect to any indemnification provisions contained therein, except as rights under those provisions may be limited by applicable law or policies underlying such law.</w:t>
      </w:r>
    </w:p>
    <w:p>
      <w:pPr>
        <w:spacing w:after="0" w:line="183" w:lineRule="exact"/>
        <w:rPr>
          <w:rFonts w:ascii="Times New Roman" w:cs="Times New Roman" w:eastAsia="Times New Roman" w:hAnsi="Times New Roman"/>
          <w:sz w:val="18"/>
          <w:szCs w:val="18"/>
          <w:color w:val="auto"/>
        </w:rPr>
      </w:pPr>
    </w:p>
    <w:p>
      <w:pPr>
        <w:ind w:right="20" w:firstLine="654"/>
        <w:spacing w:after="0" w:line="253" w:lineRule="auto"/>
        <w:tabs>
          <w:tab w:leader="none" w:pos="120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Defaults and Conflicts</w:t>
      </w:r>
      <w:r>
        <w:rPr>
          <w:rFonts w:ascii="Times New Roman" w:cs="Times New Roman" w:eastAsia="Times New Roman" w:hAnsi="Times New Roman"/>
          <w:sz w:val="18"/>
          <w:szCs w:val="18"/>
          <w:color w:val="auto"/>
        </w:rPr>
        <w:t>. The Manager is not in violation of its limited liability company agreement or other organizational documents or in default in the performance or observance of any obligation, agreement, covenant or condition contained in Agreements and Instruments to which it is bound or by which it may be bound, or which any of its property, assets or operations is subject, except for such defaults that would not result in a Material Adverse Effect; and the execution, delivery and performance of this Agreement and the Management Agreement and the consummation of the transactions contemplated herein and therein and in the Registration Statement, the General Disclosure Package and the Prospectus and compliance by the Manager with its obligations hereunder and thereunder have been duly authorized by all necessary limited liability company action and do not and will not, whether with or without the giving of notice or passage of time or both, conflict with or constitute a breach of, or default or Repayment Event under, or result in the creation or imposition of any lien, charge or encumbrance upon any property, assets or operations of the Manager pursuant to, its Agreements and Instruments (except for such conflicts, breaches, defaults, Repayment Events, liens, charges or encumbrances that would not, singly or in the aggregate, result in a Material Adverse Effect), nor will such action result in any violation of (i) the provisions of the limited liability company agreement or other organizational documents of the Manager or (ii) any applicable law, statute, rule, regulation, judgment, order, writ or decree of any Government Entity, except in the case of clause (ii) only, for any such violation that would not, singly or in the aggregate, result in a Material Adverse Effect.</w:t>
      </w:r>
    </w:p>
    <w:p>
      <w:pPr>
        <w:spacing w:after="0" w:line="188" w:lineRule="exact"/>
        <w:rPr>
          <w:rFonts w:ascii="Times New Roman" w:cs="Times New Roman" w:eastAsia="Times New Roman" w:hAnsi="Times New Roman"/>
          <w:sz w:val="18"/>
          <w:szCs w:val="18"/>
          <w:color w:val="auto"/>
        </w:rPr>
      </w:pPr>
    </w:p>
    <w:p>
      <w:pPr>
        <w:ind w:right="400" w:firstLine="654"/>
        <w:spacing w:after="0" w:line="282" w:lineRule="auto"/>
        <w:tabs>
          <w:tab w:leader="none" w:pos="121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Further Requirements</w:t>
      </w:r>
      <w:r>
        <w:rPr>
          <w:rFonts w:ascii="Times New Roman" w:cs="Times New Roman" w:eastAsia="Times New Roman" w:hAnsi="Times New Roman"/>
          <w:sz w:val="18"/>
          <w:szCs w:val="18"/>
          <w:color w:val="auto"/>
        </w:rPr>
        <w:t>. Except as have been made or obtained, no filing with, or authorization, approval, consent, license, order, registration, qualification or</w:t>
      </w:r>
    </w:p>
    <w:p>
      <w:pPr>
        <w:spacing w:after="0" w:line="16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83820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decree of any Governmental Entity is necessary or required for due authorization, execution and delivery by the Manager of the Management Agreement.</w:t>
      </w:r>
    </w:p>
    <w:p>
      <w:pPr>
        <w:spacing w:after="0" w:line="162" w:lineRule="exact"/>
        <w:rPr>
          <w:sz w:val="20"/>
          <w:szCs w:val="20"/>
          <w:color w:val="auto"/>
        </w:rPr>
      </w:pPr>
    </w:p>
    <w:p>
      <w:pPr>
        <w:ind w:firstLine="654"/>
        <w:spacing w:after="0" w:line="255" w:lineRule="auto"/>
        <w:tabs>
          <w:tab w:leader="none" w:pos="1228"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Licenses and Permits</w:t>
      </w:r>
      <w:r>
        <w:rPr>
          <w:rFonts w:ascii="Times New Roman" w:cs="Times New Roman" w:eastAsia="Times New Roman" w:hAnsi="Times New Roman"/>
          <w:sz w:val="18"/>
          <w:szCs w:val="18"/>
          <w:color w:val="auto"/>
        </w:rPr>
        <w:t>. The Manager possesses such Governmental Licenses issued by the appropriate Governmental Entities necessary for the Manager to perform its duties set forth in the Management Agreement, except where the failure so to possess would not, singly or in the aggregate, result in a Material Adverse Effect. The Manager is in compliance with the terms and conditions of all of the Governmental Licenses, except where the failure so to comply would not, singly or in the aggregate, result in a Material Adverse Effect. All of the Governmental Licenses are valid and in full force and effect, except when the invalidity of the Governmental Licenses or the failure of the Governmental Licenses to be in full force and effect would not, singly or in the aggregate, result in a Material Adverse Effect. The Manager has not received any notice of proceedings relating to the revocation or modification of any of the Governmental Licenses which, singly or in the aggregate, if the subject of an unfavorable decision, ruling or finding, would result in a Material Adverse Effect.</w:t>
      </w:r>
    </w:p>
    <w:p>
      <w:pPr>
        <w:spacing w:after="0" w:line="185" w:lineRule="exact"/>
        <w:rPr>
          <w:rFonts w:ascii="Times New Roman" w:cs="Times New Roman" w:eastAsia="Times New Roman" w:hAnsi="Times New Roman"/>
          <w:sz w:val="18"/>
          <w:szCs w:val="18"/>
          <w:color w:val="auto"/>
        </w:rPr>
      </w:pPr>
    </w:p>
    <w:p>
      <w:pPr>
        <w:ind w:right="140" w:firstLine="654"/>
        <w:spacing w:after="0" w:line="257" w:lineRule="auto"/>
        <w:tabs>
          <w:tab w:leader="none" w:pos="1238"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Except as described in the Registration Statement, the General Disclosure Package and the Prospectus, there is no action, suit, proceeding, inquiry or investigation before or brought by any Governmental Entity pending, or, to the knowledge of the Manager, threatened, against or affecting the Manager which (A) would, singly or in the aggregate, result in a Material Adverse Effect, or</w:t>
      </w:r>
    </w:p>
    <w:p>
      <w:pPr>
        <w:spacing w:after="0" w:line="1" w:lineRule="exact"/>
        <w:rPr>
          <w:rFonts w:ascii="Times New Roman" w:cs="Times New Roman" w:eastAsia="Times New Roman" w:hAnsi="Times New Roman"/>
          <w:sz w:val="18"/>
          <w:szCs w:val="18"/>
          <w:color w:val="auto"/>
        </w:rPr>
      </w:pPr>
    </w:p>
    <w:p>
      <w:pPr>
        <w:ind w:right="160" w:firstLine="6"/>
        <w:spacing w:after="0" w:line="254" w:lineRule="auto"/>
        <w:tabs>
          <w:tab w:leader="none" w:pos="2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materially and adversely affect the consummation by the Manager of the transactions contemplated in this Agreement or the Management Agreement or the performance by the Manager of its obligations hereunder or thereunder. The aggregate of all pending legal or governmental proceedings to which the Manager is a party or of which any of its properties, assets or operations is the subject, including ordinary routine litigation incidental to the business, would not, singly or in the aggregate, result in a Material Adverse Effect.</w:t>
      </w:r>
    </w:p>
    <w:p>
      <w:pPr>
        <w:spacing w:after="0" w:line="185" w:lineRule="exact"/>
        <w:rPr>
          <w:rFonts w:ascii="Times New Roman" w:cs="Times New Roman" w:eastAsia="Times New Roman" w:hAnsi="Times New Roman"/>
          <w:sz w:val="18"/>
          <w:szCs w:val="18"/>
          <w:color w:val="auto"/>
        </w:rPr>
      </w:pPr>
    </w:p>
    <w:p>
      <w:pPr>
        <w:ind w:left="-40" w:right="60" w:firstLine="595"/>
        <w:spacing w:after="0" w:line="256" w:lineRule="auto"/>
        <w:tabs>
          <w:tab w:leader="none" w:pos="127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Noncompetition; Nondisclosure</w:t>
      </w:r>
      <w:r>
        <w:rPr>
          <w:rFonts w:ascii="Times New Roman" w:cs="Times New Roman" w:eastAsia="Times New Roman" w:hAnsi="Times New Roman"/>
          <w:sz w:val="18"/>
          <w:szCs w:val="18"/>
          <w:color w:val="auto"/>
        </w:rPr>
        <w:t>. The Manager has not been notified that any of its executive officers or key employees plans to terminate his or her employment with the Manager. Neither the Manager nor any executive officer or key employee of the Manager is subject to any noncompete, nondisclosure, confidentiality, employment, consulting or similar agreement that would be violated by the present or proposed business activities of the Company or the Manager as described in the Management Agreement, the Registration Statement, the General Disclosure Package and the Prospectus, except for such violations that would not, singly or in the aggregate, result in a Material Adverse Effect.</w:t>
      </w:r>
    </w:p>
    <w:p>
      <w:pPr>
        <w:sectPr>
          <w:pgSz w:w="11900" w:h="16838" w:orient="portrait"/>
          <w:cols w:equalWidth="0" w:num="1">
            <w:col w:w="10660"/>
          </w:cols>
          <w:pgMar w:left="980" w:top="121" w:right="259" w:bottom="26" w:gutter="0" w:footer="0" w:header="0"/>
        </w:sectPr>
      </w:pPr>
    </w:p>
    <w:bookmarkStart w:id="22" w:name="page23"/>
    <w:bookmarkEnd w:id="22"/>
    <w:p>
      <w:pPr>
        <w:ind w:left="1940" w:hanging="655"/>
        <w:spacing w:after="0"/>
        <w:tabs>
          <w:tab w:leader="none" w:pos="19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Controls</w:t>
      </w:r>
      <w:r>
        <w:rPr>
          <w:rFonts w:ascii="Times New Roman" w:cs="Times New Roman" w:eastAsia="Times New Roman" w:hAnsi="Times New Roman"/>
          <w:sz w:val="18"/>
          <w:szCs w:val="18"/>
          <w:color w:val="auto"/>
        </w:rPr>
        <w:t>. The Manager intends to operate a system of internal controls sufficient to provide reasonable assurance that</w:t>
      </w:r>
    </w:p>
    <w:p>
      <w:pPr>
        <w:spacing w:after="0" w:line="27" w:lineRule="exact"/>
        <w:rPr>
          <w:rFonts w:ascii="Times New Roman" w:cs="Times New Roman" w:eastAsia="Times New Roman" w:hAnsi="Times New Roman"/>
          <w:sz w:val="18"/>
          <w:szCs w:val="18"/>
          <w:color w:val="auto"/>
        </w:rPr>
      </w:pPr>
    </w:p>
    <w:p>
      <w:pPr>
        <w:jc w:val="both"/>
        <w:ind w:left="640" w:right="40" w:hanging="4"/>
        <w:spacing w:after="0" w:line="255" w:lineRule="auto"/>
        <w:tabs>
          <w:tab w:leader="none" w:pos="9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that may be effectuated by it on behalf of the Transaction Entities pursuant to its duties set forth in the Management Agreement will be executed in accordance with management’s general or specific authorization and (B) access to the Transaction Entities’ assets is permitted only in accordance with management’s general or specific authorization.</w:t>
      </w:r>
    </w:p>
    <w:p>
      <w:pPr>
        <w:spacing w:after="0" w:line="186" w:lineRule="exact"/>
        <w:rPr>
          <w:rFonts w:ascii="Times New Roman" w:cs="Times New Roman" w:eastAsia="Times New Roman" w:hAnsi="Times New Roman"/>
          <w:sz w:val="18"/>
          <w:szCs w:val="18"/>
          <w:color w:val="auto"/>
        </w:rPr>
      </w:pPr>
    </w:p>
    <w:p>
      <w:pPr>
        <w:ind w:left="680" w:right="80" w:firstLine="595"/>
        <w:spacing w:after="0" w:line="266" w:lineRule="auto"/>
        <w:tabs>
          <w:tab w:leader="none" w:pos="199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Advisers Act</w:t>
      </w:r>
      <w:r>
        <w:rPr>
          <w:rFonts w:ascii="Times New Roman" w:cs="Times New Roman" w:eastAsia="Times New Roman" w:hAnsi="Times New Roman"/>
          <w:sz w:val="18"/>
          <w:szCs w:val="18"/>
          <w:color w:val="auto"/>
        </w:rPr>
        <w:t>. The Manager is not prohibited by the Investment Advisers Act of 1940, as amended, or the rules and regulations thereunder, from performing the duties set forth in the Management Agreement and disclosed in the Registration Statement, the General Disclosure Package and the Prospectus.</w:t>
      </w:r>
    </w:p>
    <w:p>
      <w:pPr>
        <w:spacing w:after="0" w:line="176" w:lineRule="exact"/>
        <w:rPr>
          <w:rFonts w:ascii="Times New Roman" w:cs="Times New Roman" w:eastAsia="Times New Roman" w:hAnsi="Times New Roman"/>
          <w:sz w:val="18"/>
          <w:szCs w:val="18"/>
          <w:color w:val="auto"/>
        </w:rPr>
      </w:pPr>
    </w:p>
    <w:p>
      <w:pPr>
        <w:jc w:val="both"/>
        <w:ind w:left="680" w:right="240" w:firstLine="595"/>
        <w:spacing w:after="0" w:line="313" w:lineRule="auto"/>
        <w:tabs>
          <w:tab w:leader="none" w:pos="2003"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Foreign Corrupt Practices Act</w:t>
      </w:r>
      <w:r>
        <w:rPr>
          <w:rFonts w:ascii="Times New Roman" w:cs="Times New Roman" w:eastAsia="Times New Roman" w:hAnsi="Times New Roman"/>
          <w:sz w:val="17"/>
          <w:szCs w:val="17"/>
          <w:color w:val="auto"/>
        </w:rPr>
        <w:t>. None of the Manager, any of its subsidiaries or, to the knowledge of the Manager, any director, officer, partner, agent, employee, affiliate that is under the management control of the Manager or its subsidiaries or other person acting on behalf</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80" w:right="40"/>
        <w:spacing w:after="0" w:line="255" w:lineRule="auto"/>
        <w:rPr>
          <w:sz w:val="20"/>
          <w:szCs w:val="20"/>
          <w:color w:val="auto"/>
        </w:rPr>
      </w:pPr>
      <w:r>
        <w:rPr>
          <w:rFonts w:ascii="Times New Roman" w:cs="Times New Roman" w:eastAsia="Times New Roman" w:hAnsi="Times New Roman"/>
          <w:sz w:val="18"/>
          <w:szCs w:val="18"/>
          <w:color w:val="auto"/>
        </w:rPr>
        <w:t>of the Manager or any of its subsidiaries is aware of or has taken any action, directly or indirectly, that would result in a violation by such persons of the FCPA or any other applicable anti-bribery laws,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The Manager and its subsidiaries and, to the knowledge of the Manager, its affiliates that are under the management control of the Manager or its subsidiaries have conducted their businesses in compliance with the FCPA and any other applicable anti-bribery laws and have instituted and maintain and enforce policies and procedures designed to ensure, and which are reasonably expected to continue to ensure, continued compliance therewith.</w:t>
      </w:r>
    </w:p>
    <w:p>
      <w:pPr>
        <w:spacing w:after="0" w:line="185" w:lineRule="exact"/>
        <w:rPr>
          <w:sz w:val="20"/>
          <w:szCs w:val="20"/>
          <w:color w:val="auto"/>
        </w:rPr>
      </w:pPr>
    </w:p>
    <w:p>
      <w:pPr>
        <w:ind w:left="680" w:right="180" w:firstLine="595"/>
        <w:spacing w:after="0" w:line="266" w:lineRule="auto"/>
        <w:tabs>
          <w:tab w:leader="none" w:pos="201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The operations of the Manager and its subsidiaries are and have been conducted at all times in compliance with applicable Money Laundering Laws. No action, suit or proceeding by or before any Governmental Entity involving the Manager or any of its subsidiaries with respect to the Money Laundering Laws is pending or, to the knowledge of the Manager, threatened.</w:t>
      </w:r>
    </w:p>
    <w:p>
      <w:pPr>
        <w:spacing w:after="0" w:line="176" w:lineRule="exact"/>
        <w:rPr>
          <w:rFonts w:ascii="Times New Roman" w:cs="Times New Roman" w:eastAsia="Times New Roman" w:hAnsi="Times New Roman"/>
          <w:sz w:val="18"/>
          <w:szCs w:val="18"/>
          <w:color w:val="auto"/>
        </w:rPr>
      </w:pPr>
    </w:p>
    <w:p>
      <w:pPr>
        <w:ind w:left="680" w:right="100" w:firstLine="595"/>
        <w:spacing w:after="0" w:line="255" w:lineRule="auto"/>
        <w:tabs>
          <w:tab w:leader="none" w:pos="198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None of the Manager, any of its subsidiaries or, to the knowledge of the Manager, any director, officer, partner, agent, employee, affiliate or other person acting on behalf of the Manager or any of its subsidiaries is a Person currently the subject or target of any Sanctions, nor are the Manager or any of its subsidiaries located, organized or resident in a country or territory that is the subject of Sanctions. The Manager will not directly or indirectly use the proceeds from the sale of the Securities or shares of Common Stock in the Concurrent iStar Placement, or lend, contribute or otherwise make available such proceeds to any subsidiaries,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w:t>
      </w:r>
    </w:p>
    <w:p>
      <w:pPr>
        <w:spacing w:after="0" w:line="183" w:lineRule="exact"/>
        <w:rPr>
          <w:rFonts w:ascii="Times New Roman" w:cs="Times New Roman" w:eastAsia="Times New Roman" w:hAnsi="Times New Roman"/>
          <w:sz w:val="18"/>
          <w:szCs w:val="18"/>
          <w:color w:val="auto"/>
        </w:rPr>
      </w:pPr>
    </w:p>
    <w:p>
      <w:pPr>
        <w:ind w:left="-20" w:right="80" w:firstLine="656"/>
        <w:spacing w:after="0" w:line="259" w:lineRule="auto"/>
        <w:tabs>
          <w:tab w:leader="none" w:pos="128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Certificates</w:t>
      </w:r>
      <w:r>
        <w:rPr>
          <w:rFonts w:ascii="Times New Roman" w:cs="Times New Roman" w:eastAsia="Times New Roman" w:hAnsi="Times New Roman"/>
          <w:sz w:val="18"/>
          <w:szCs w:val="18"/>
          <w:color w:val="auto"/>
        </w:rPr>
        <w:t>. Any certificate signed by any officer or other representative of either of the Transaction Entities or any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subsidiaries delivered to the Representatives or to counsel for the Underwriters shall be deemed a representation and warranty by such Transaction Entity to each Underwriter as to the matters covered thereby. Any certificate signed by any officer or other representative of the Manager delivered to the Representatives or to counsel for the Underwriters shall be deemed a representation and warranty by the Manager to each Underwriter as to the matters covered thereby.</w:t>
      </w:r>
    </w:p>
    <w:p>
      <w:pPr>
        <w:spacing w:after="0" w:line="182" w:lineRule="exact"/>
        <w:rPr>
          <w:sz w:val="20"/>
          <w:szCs w:val="20"/>
          <w:color w:val="auto"/>
        </w:rPr>
      </w:pPr>
    </w:p>
    <w:p>
      <w:pPr>
        <w:ind w:left="64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u w:val="single" w:color="auto"/>
          <w:color w:val="auto"/>
        </w:rPr>
        <w:t>Sale and Delivery to Underwriters; Closing</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20" w:right="180" w:firstLine="656"/>
        <w:spacing w:after="0" w:line="257" w:lineRule="auto"/>
        <w:tabs>
          <w:tab w:leader="none" w:pos="127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Securities</w:t>
      </w:r>
      <w:r>
        <w:rPr>
          <w:rFonts w:ascii="Times New Roman" w:cs="Times New Roman" w:eastAsia="Times New Roman" w:hAnsi="Times New Roman"/>
          <w:sz w:val="18"/>
          <w:szCs w:val="18"/>
          <w:color w:val="auto"/>
        </w:rPr>
        <w:t>. On the basis of the representations and warranties herein contained and subject to the terms and conditions herein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forth, the Company agrees to sell to each Underwriter, severally and not jointly, and each Underwriter, severally and not jointly, agrees to purchase from the Company, at the price per share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the number of Initial Securities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opposite the name of such Underwriter, plus any additional number of Initial Securities which such Underwriter may become obligated to purchase pursuant to the provisions of Section 11 hereof, subject, in each case, to such adjustments among the Underwriters as Merrill Lynch in its sole discretion shall make to eliminate any sales or purchases of fractional shares.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firstLine="656"/>
        <w:spacing w:after="0" w:line="253" w:lineRule="auto"/>
        <w:tabs>
          <w:tab w:leader="none" w:pos="128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 Securities</w:t>
      </w:r>
      <w:r>
        <w:rPr>
          <w:rFonts w:ascii="Times New Roman" w:cs="Times New Roman" w:eastAsia="Times New Roman" w:hAnsi="Times New Roman"/>
          <w:sz w:val="18"/>
          <w:szCs w:val="18"/>
          <w:color w:val="auto"/>
        </w:rPr>
        <w:t>. In addition, on the basis of the representations and warranties herein contained and subject to the terms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herein set forth, the Company hereby grants an option to the Underwriters, severally and not jointly, to purchase up to an additional [·] Option Securities at the price per share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less an amount per share equal to any distributions declared by the Company and payable on the Initial Securities but not payable on the Option Securities. The option hereby granted will expire 30 days after the date hereof and may be exercised in whole or in part at any time from time to time upon notice by the Representatives to the Company setting forth the number of Option Securities as to which the several Underwriters are then exercising the option and the time and date of payment and delivery for such Option Securities. Any such time and date of delivery (a “</w:t>
      </w:r>
      <w:r>
        <w:rPr>
          <w:rFonts w:ascii="Times New Roman" w:cs="Times New Roman" w:eastAsia="Times New Roman" w:hAnsi="Times New Roman"/>
          <w:sz w:val="18"/>
          <w:szCs w:val="18"/>
          <w:u w:val="single" w:color="auto"/>
          <w:color w:val="auto"/>
        </w:rPr>
        <w:t>Date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 xml:space="preserve">”) shall be determined by the Representatives, but shall not be later than seven full business days after the exercise of said option, nor in any event prior to the Closing Time.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opposite the name of such Underwriter bears to the total number of Initial Securities, subject, in each case, to such adjustments as Merrill Lynch in its sole discretion shall make to eliminate any sales or purchases of fractional shares.</w:t>
      </w:r>
    </w:p>
    <w:p>
      <w:pPr>
        <w:spacing w:after="0" w:line="192" w:lineRule="exact"/>
        <w:rPr>
          <w:rFonts w:ascii="Times New Roman" w:cs="Times New Roman" w:eastAsia="Times New Roman" w:hAnsi="Times New Roman"/>
          <w:sz w:val="18"/>
          <w:szCs w:val="18"/>
          <w:color w:val="auto"/>
        </w:rPr>
      </w:pPr>
    </w:p>
    <w:p>
      <w:pPr>
        <w:ind w:left="-20" w:right="20" w:firstLine="656"/>
        <w:spacing w:after="0" w:line="257" w:lineRule="auto"/>
        <w:tabs>
          <w:tab w:leader="none" w:pos="128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Payment of the purchase price for, and delivery of certificates for or book-entry credits representing, the Initial Securities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at the offices of Sidley Austin LLP, 787 Seventh Avenue, New York, New York 10019, or at such other place as shall be agreed upon by the Representatives and the Company, at 9:00 A.M. (New York City time) on the third (fourth, if the pricing occurs after 4:30 P.M. (New York City time) on any given day) business day after the date hereof (unless postponed in accordance with the provisions of Section 11), or such other time not later than ten business days after such date as shall be agreed upon by the Representatives and the Company (such time and date of payment and delivery being hereinafter called the “</w:t>
      </w:r>
      <w:r>
        <w:rPr>
          <w:rFonts w:ascii="Times New Roman" w:cs="Times New Roman" w:eastAsia="Times New Roman" w:hAnsi="Times New Roman"/>
          <w:sz w:val="18"/>
          <w:szCs w:val="18"/>
          <w:u w:val="single" w:color="auto"/>
          <w:color w:val="auto"/>
        </w:rPr>
        <w:t>Closing Time</w:t>
      </w:r>
      <w:r>
        <w:rPr>
          <w:rFonts w:ascii="Times New Roman" w:cs="Times New Roman" w:eastAsia="Times New Roman" w:hAnsi="Times New Roman"/>
          <w:sz w:val="18"/>
          <w:szCs w:val="18"/>
          <w:color w:val="auto"/>
        </w:rPr>
        <w:t>”).</w:t>
      </w:r>
    </w:p>
    <w:p>
      <w:pPr>
        <w:sectPr>
          <w:pgSz w:w="11900" w:h="16838" w:orient="portrait"/>
          <w:cols w:equalWidth="0" w:num="1">
            <w:col w:w="11400"/>
          </w:cols>
          <w:pgMar w:left="260" w:top="121" w:right="239" w:bottom="0" w:gutter="0" w:footer="0" w:header="0"/>
        </w:sectPr>
      </w:pPr>
    </w:p>
    <w:bookmarkStart w:id="23" w:name="page24"/>
    <w:bookmarkEnd w:id="23"/>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addition, in the event that any or all of the Option Securities are purchased by the Underwriters, payment of the purchase price for, and delivery of certificates for or book-entry credits representing, such Option Securities shall be made at the above-mentioned offices, or at such other place as shall be agreed upon by the Representatives and the Company, on each Date of Delivery as specified in the notice from the Representatives to the Company.</w:t>
      </w:r>
    </w:p>
    <w:p>
      <w:pPr>
        <w:spacing w:after="0" w:line="17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Payment shall be made to the Company by wire transfer of immediately available funds to a bank account designated by the Company against delivery to the Representatives for the respective accounts of the Underwriters of certificates for or book-entry credits representing the Securities to be purchased by them. It is understood that each Underwriter has authorized the Representatives, for its account, to accept delivery of, receipt for, and make payment of the purchase price for, the Initial Securities and the Option Securities, if any, which it has agreed to purchase. Merrill Lynch, individually and not as a representative of the Underwriters, may (but shall not be obligated to) make payment of the purchase price for the Initial Securities or the Option Securities, if any, to be purchased by any Underwriter whose funds have not been received by the Closing Time or the relevant Date of Delivery, as the case may be, but such payment shall not relieve such Underwriter from its obligations hereunder.</w:t>
      </w:r>
    </w:p>
    <w:p>
      <w:pPr>
        <w:spacing w:after="0" w:line="187" w:lineRule="exact"/>
        <w:rPr>
          <w:sz w:val="20"/>
          <w:szCs w:val="20"/>
          <w:color w:val="auto"/>
        </w:rPr>
      </w:pPr>
    </w:p>
    <w:p>
      <w:pPr>
        <w:ind w:right="40" w:firstLine="656"/>
        <w:spacing w:after="0" w:line="259" w:lineRule="auto"/>
        <w:tabs>
          <w:tab w:leader="none" w:pos="130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Denominations; Registration</w:t>
      </w:r>
      <w:r>
        <w:rPr>
          <w:rFonts w:ascii="Times New Roman" w:cs="Times New Roman" w:eastAsia="Times New Roman" w:hAnsi="Times New Roman"/>
          <w:sz w:val="18"/>
          <w:szCs w:val="18"/>
          <w:color w:val="auto"/>
        </w:rPr>
        <w:t>. Certificates for the Initial Securities and the Option Securities, if any, shall be in such denominations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in such names as the Representatives may request in writing at least one full business day before the Closing Time or the relevant Date of Delivery, as the case may be. The certificates for the Initial Securities and the Option Securities, if any, will be made available for examination and packaging by the Representatives in The City of New York not later than 10:00 A.M. (New York City time) on the business day prior to the Closing Time or the relevant Date of Delivery, as the case may be.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Each of the Transaction Entities, jointly and severally, covenants with each Underwriter as follows:</w:t>
      </w:r>
    </w:p>
    <w:p>
      <w:pPr>
        <w:spacing w:after="0" w:line="223" w:lineRule="exact"/>
        <w:rPr>
          <w:sz w:val="20"/>
          <w:szCs w:val="20"/>
          <w:color w:val="auto"/>
        </w:rPr>
      </w:pPr>
    </w:p>
    <w:p>
      <w:pPr>
        <w:ind w:right="20" w:firstLine="656"/>
        <w:spacing w:after="0" w:line="253" w:lineRule="auto"/>
        <w:tabs>
          <w:tab w:leader="none" w:pos="129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Securities Regulations and Commission Requests</w:t>
      </w:r>
      <w:r>
        <w:rPr>
          <w:rFonts w:ascii="Times New Roman" w:cs="Times New Roman" w:eastAsia="Times New Roman" w:hAnsi="Times New Roman"/>
          <w:sz w:val="18"/>
          <w:szCs w:val="18"/>
          <w:color w:val="auto"/>
        </w:rPr>
        <w:t>. The Company, subject to Section 3(b), will comply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of Rule 430A, and will notify the Representatives immediately,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w:t>
      </w:r>
    </w:p>
    <w:p>
      <w:pPr>
        <w:spacing w:after="0" w:line="1" w:lineRule="exact"/>
        <w:rPr>
          <w:rFonts w:ascii="Times New Roman" w:cs="Times New Roman" w:eastAsia="Times New Roman" w:hAnsi="Times New Roman"/>
          <w:sz w:val="18"/>
          <w:szCs w:val="18"/>
          <w:color w:val="auto"/>
        </w:rPr>
      </w:pPr>
    </w:p>
    <w:p>
      <w:pPr>
        <w:ind w:right="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prevention or suspension order and, if any such order is issued, to obtain the lifting thereof at the earliest possible moment.</w:t>
      </w:r>
    </w:p>
    <w:p>
      <w:pPr>
        <w:spacing w:after="0" w:line="183" w:lineRule="exact"/>
        <w:rPr>
          <w:rFonts w:ascii="Times New Roman" w:cs="Times New Roman" w:eastAsia="Times New Roman" w:hAnsi="Times New Roman"/>
          <w:sz w:val="18"/>
          <w:szCs w:val="18"/>
          <w:color w:val="auto"/>
        </w:rPr>
      </w:pPr>
    </w:p>
    <w:p>
      <w:pPr>
        <w:ind w:firstLine="656"/>
        <w:spacing w:after="0" w:line="252" w:lineRule="auto"/>
        <w:tabs>
          <w:tab w:leader="none" w:pos="130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Compliance with Securities Laws</w:t>
      </w:r>
      <w:r>
        <w:rPr>
          <w:rFonts w:ascii="Times New Roman" w:cs="Times New Roman" w:eastAsia="Times New Roman" w:hAnsi="Times New Roman"/>
          <w:sz w:val="18"/>
          <w:szCs w:val="18"/>
          <w:color w:val="auto"/>
        </w:rPr>
        <w:t>. The Company will comply with the 1933 Act and the 1933 Act Regulations so as to permit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w:t>
      </w:r>
      <w:r>
        <w:rPr>
          <w:rFonts w:ascii="Times New Roman" w:cs="Times New Roman" w:eastAsia="Times New Roman" w:hAnsi="Times New Roman"/>
          <w:sz w:val="18"/>
          <w:szCs w:val="18"/>
          <w:u w:val="single" w:color="auto"/>
          <w:color w:val="auto"/>
        </w:rPr>
        <w:t>Rule 172</w:t>
      </w:r>
      <w:r>
        <w:rPr>
          <w:rFonts w:ascii="Times New Roman" w:cs="Times New Roman" w:eastAsia="Times New Roman" w:hAnsi="Times New Roman"/>
          <w:sz w:val="18"/>
          <w:szCs w:val="18"/>
          <w:color w:val="auto"/>
        </w:rPr>
        <w:t xml:space="preserve">”), would be) required by the 1933 Act to be delivered in connection with sales of the Securities,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Representatives notice of such event, (B) prepare, as applicable,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Representatives with copies of any such amendment or supplement and (C) file with the Commission any such amendment or supplement;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file or use any such amendment or supplement to which the Representatives or counsel for the Underwriters shall reasonably object. The Company will furnish to the Underwriters such number of copies of such amendment or supplement as the Underwriters may reasonably request. The Company has given the Representatives written notice of each filing, if any, made pursuant to the 1934 Act or the 1934 Act Regulations within 48 hours prior to the Applicable Time and will give the Representatives notice of its intention to make any filings pursuant to the 1934 Act or the 1934 Act Regulations from the Applicable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Time to the Closing Time and, a reasonable amount of time prior to its proposed filing or use, will furnish the Representatives with copies of any such documents and will not file or use any such document to which the Representatives or counsel for the Underwriters shall reasonably object.</w:t>
      </w:r>
    </w:p>
    <w:p>
      <w:pPr>
        <w:spacing w:after="0" w:line="160" w:lineRule="exact"/>
        <w:rPr>
          <w:sz w:val="20"/>
          <w:szCs w:val="20"/>
          <w:color w:val="auto"/>
        </w:rPr>
      </w:pPr>
    </w:p>
    <w:p>
      <w:pPr>
        <w:ind w:right="80" w:firstLine="656"/>
        <w:spacing w:after="0" w:line="257" w:lineRule="auto"/>
        <w:tabs>
          <w:tab w:leader="none" w:pos="130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Registration Statements</w:t>
      </w:r>
      <w:r>
        <w:rPr>
          <w:rFonts w:ascii="Times New Roman" w:cs="Times New Roman" w:eastAsia="Times New Roman" w:hAnsi="Times New Roman"/>
          <w:sz w:val="18"/>
          <w:szCs w:val="18"/>
          <w:color w:val="auto"/>
        </w:rPr>
        <w:t>. The Company has furnished or will deliver to the Representatives and counsel for the Underwriters,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charge, signed copies of the Registration Statement as originally filed and of each amendment thereto (including exhibits filed therewith) and signed copies of all consents and certificates of experts, and will also deliver to the Representatives, without charge, a conformed copy of the Registration Statement as originally filed and of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182" w:lineRule="exact"/>
        <w:rPr>
          <w:rFonts w:ascii="Times New Roman" w:cs="Times New Roman" w:eastAsia="Times New Roman" w:hAnsi="Times New Roman"/>
          <w:sz w:val="18"/>
          <w:szCs w:val="18"/>
          <w:color w:val="auto"/>
        </w:rPr>
      </w:pPr>
    </w:p>
    <w:p>
      <w:pPr>
        <w:jc w:val="both"/>
        <w:ind w:firstLine="656"/>
        <w:spacing w:after="0" w:line="258" w:lineRule="auto"/>
        <w:tabs>
          <w:tab w:leader="none" w:pos="130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Prospectuses</w:t>
      </w:r>
      <w:r>
        <w:rPr>
          <w:rFonts w:ascii="Times New Roman" w:cs="Times New Roman" w:eastAsia="Times New Roman" w:hAnsi="Times New Roman"/>
          <w:sz w:val="18"/>
          <w:szCs w:val="18"/>
          <w:color w:val="auto"/>
        </w:rPr>
        <w:t>. The Company has delivered to each Underwriter, without charge, as many copies of each preliminary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such Underwriter reasonably requested, and the Company hereby consents to the use of such copies for purposes permitted by the 1933 Act. The Company will furnish to each Underwriter, without charge, during the period when a prospectus relating to the Securities is (or, but for the exception afforded by</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172, would be) required to be delivered under the 1933 Act, such number of copies of the Prospectus (as amended or supplemented) as such Underwriter</w:t>
      </w:r>
    </w:p>
    <w:p>
      <w:pPr>
        <w:sectPr>
          <w:pgSz w:w="11900" w:h="16838" w:orient="portrait"/>
          <w:cols w:equalWidth="0" w:num="1">
            <w:col w:w="11420"/>
          </w:cols>
          <w:pgMar w:left="240" w:top="121" w:right="239" w:bottom="0" w:gutter="0" w:footer="0" w:header="0"/>
        </w:sectPr>
      </w:pPr>
    </w:p>
    <w:bookmarkStart w:id="24" w:name="page25"/>
    <w:bookmarkEnd w:id="24"/>
    <w:p>
      <w:pPr>
        <w:spacing w:after="0" w:line="8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60" w:lineRule="exact"/>
        <w:rPr>
          <w:sz w:val="20"/>
          <w:szCs w:val="20"/>
          <w:color w:val="auto"/>
        </w:rPr>
      </w:pPr>
    </w:p>
    <w:p>
      <w:pPr>
        <w:ind w:right="60" w:firstLine="656"/>
        <w:spacing w:after="0" w:line="259" w:lineRule="auto"/>
        <w:tabs>
          <w:tab w:leader="none" w:pos="130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Blue Sky Qualifications</w:t>
      </w:r>
      <w:r>
        <w:rPr>
          <w:rFonts w:ascii="Times New Roman" w:cs="Times New Roman" w:eastAsia="Times New Roman" w:hAnsi="Times New Roman"/>
          <w:sz w:val="18"/>
          <w:szCs w:val="18"/>
          <w:color w:val="auto"/>
        </w:rPr>
        <w:t>. The Company will use its best efforts, in cooperation with the Underwriters, to qualify the Securities for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sale under the applicable securities laws of such states and other jurisdictions (domestic or foreign) as the Representatives may reasonably designate and to maintain such qualifications in effect so long as required to complete the distribution of the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79" w:lineRule="exact"/>
        <w:rPr>
          <w:rFonts w:ascii="Times New Roman" w:cs="Times New Roman" w:eastAsia="Times New Roman" w:hAnsi="Times New Roman"/>
          <w:sz w:val="18"/>
          <w:szCs w:val="18"/>
          <w:color w:val="auto"/>
        </w:rPr>
      </w:pPr>
    </w:p>
    <w:p>
      <w:pPr>
        <w:ind w:right="200" w:firstLine="656"/>
        <w:spacing w:after="0" w:line="262" w:lineRule="auto"/>
        <w:tabs>
          <w:tab w:leader="none" w:pos="130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158</w:t>
      </w:r>
      <w:r>
        <w:rPr>
          <w:rFonts w:ascii="Times New Roman" w:cs="Times New Roman" w:eastAsia="Times New Roman" w:hAnsi="Times New Roman"/>
          <w:sz w:val="18"/>
          <w:szCs w:val="18"/>
          <w:color w:val="auto"/>
        </w:rPr>
        <w:t>. The Company will timely file such reports pursuant to the 1934 Act as are necessary in order to make generally available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securityholders an earnings statement for the purposes of, and to provide to the Underwriters the benefits contemplated by, the last paragraph of</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11(a) of the 1933 Act.</w:t>
      </w:r>
    </w:p>
    <w:p>
      <w:pPr>
        <w:spacing w:after="0" w:line="204" w:lineRule="exact"/>
        <w:rPr>
          <w:rFonts w:ascii="Times New Roman" w:cs="Times New Roman" w:eastAsia="Times New Roman" w:hAnsi="Times New Roman"/>
          <w:sz w:val="18"/>
          <w:szCs w:val="18"/>
          <w:color w:val="auto"/>
        </w:rPr>
      </w:pPr>
    </w:p>
    <w:p>
      <w:pPr>
        <w:ind w:right="100" w:firstLine="656"/>
        <w:spacing w:after="0" w:line="267" w:lineRule="auto"/>
        <w:tabs>
          <w:tab w:leader="none" w:pos="131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Company will use the net proceeds received by it from the sale of the Securities and the shares of Common Stock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Concurrent iStar Placement in the manner specified in the Registration Statement, the General Disclosure Package and the Prospectus under “Use of Proceeds.”</w:t>
      </w:r>
    </w:p>
    <w:p>
      <w:pPr>
        <w:spacing w:after="0" w:line="173" w:lineRule="exact"/>
        <w:rPr>
          <w:rFonts w:ascii="Times New Roman" w:cs="Times New Roman" w:eastAsia="Times New Roman" w:hAnsi="Times New Roman"/>
          <w:sz w:val="18"/>
          <w:szCs w:val="18"/>
          <w:color w:val="auto"/>
        </w:rPr>
      </w:pPr>
    </w:p>
    <w:p>
      <w:pPr>
        <w:ind w:right="40" w:firstLine="656"/>
        <w:spacing w:after="0" w:line="284" w:lineRule="auto"/>
        <w:tabs>
          <w:tab w:leader="none" w:pos="130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The Company will use its best efforts to effect and maintain the listing of the Common Stock (including the Securities) on the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York Stock Exchange.</w:t>
      </w:r>
    </w:p>
    <w:p>
      <w:pPr>
        <w:spacing w:after="0" w:line="158" w:lineRule="exact"/>
        <w:rPr>
          <w:rFonts w:ascii="Times New Roman" w:cs="Times New Roman" w:eastAsia="Times New Roman" w:hAnsi="Times New Roman"/>
          <w:sz w:val="18"/>
          <w:szCs w:val="18"/>
          <w:color w:val="auto"/>
        </w:rPr>
      </w:pPr>
    </w:p>
    <w:p>
      <w:pPr>
        <w:jc w:val="both"/>
        <w:ind w:right="140" w:firstLine="656"/>
        <w:spacing w:after="0" w:line="261" w:lineRule="auto"/>
        <w:tabs>
          <w:tab w:leader="none" w:pos="131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 on Sale of Securities</w:t>
      </w:r>
      <w:r>
        <w:rPr>
          <w:rFonts w:ascii="Times New Roman" w:cs="Times New Roman" w:eastAsia="Times New Roman" w:hAnsi="Times New Roman"/>
          <w:sz w:val="18"/>
          <w:szCs w:val="18"/>
          <w:color w:val="auto"/>
        </w:rPr>
        <w:t>. During a period of 180 days from the date of the Prospectus, neither Transaction Entity will, without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written consent of the Representatives, directly or indirectly, (i) offer, pledge, sell, contract to sell, sell any option or contract to purchase, purchase any option or contract to sell, grant any option, right or warrant to purchase or lend or otherwise transfer or dispose of any shares of Common Stock or any securities convertible into or exercisable or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exchangeable for shares of Common Stock (including, without limitation, OP Units) or file any registration statement under the 1933 Act with respect to any of the foregoing or publicly announce the intention to do any of the foregoing or (ii) enter into any swap or any other agreement or any transaction that transfers, in whole or in part, directly or indirectly, the economic consequence of ownership of the Common Stock, whether any such swap, other agreement or transaction described in clause (i) or (ii) above is to be settled by delivery of shares of Common Stock or such other securities, in cash or otherwise. The foregoing sentence shall not apply to (A) the Securities to be sold hereunder or the shares of Common Stock in the Concurrent iStar Placement, (B) any shares of Common Stock issued by the Company upon the exercise of an option or warrant or the conversion or exchange of a security, in each case outstanding on the date hereof and disclosed in the Registration Statement, the General Disclosure Package and the Prospectus, (C) any shares of Common Stock, OP Units, LTIP Units, dividend equivalent rights or other equity based awards issued or options to purchase Common Stock granted pursuant to existing employee benefit plans of the Company disclosed in the Registration Statement, the General Disclosure Package and the Prospectus (including the filing of a registration statement on Form S-8 relating to such existing employee benefit plans of the Company), (D) the issuance of any shares of Common Stock or OP Units by the Company or the Operating Partnership in the Formation Transactions as described in the Registration Statement, the General Disclosure Package and the Prospectus, (E) OP Units, in the aggregate not to exceed 15% of the number of OP Units outstanding, issued in connection with the acquisition of property or assets, or (F) any shares of Common Stock issued pursuant to any non-employee director share plan or distribution reinvestment plan disclosed in the Registration Statement, the General Disclosure Package and the Prospectus.</w:t>
      </w:r>
    </w:p>
    <w:p>
      <w:pPr>
        <w:spacing w:after="0" w:line="197" w:lineRule="exact"/>
        <w:rPr>
          <w:sz w:val="20"/>
          <w:szCs w:val="20"/>
          <w:color w:val="auto"/>
        </w:rPr>
      </w:pPr>
    </w:p>
    <w:p>
      <w:pPr>
        <w:ind w:right="60" w:firstLine="656"/>
        <w:spacing w:after="0" w:line="261" w:lineRule="auto"/>
        <w:tabs>
          <w:tab w:leader="none" w:pos="130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Reporting Requirements</w:t>
      </w:r>
      <w:r>
        <w:rPr>
          <w:rFonts w:ascii="Times New Roman" w:cs="Times New Roman" w:eastAsia="Times New Roman" w:hAnsi="Times New Roman"/>
          <w:sz w:val="18"/>
          <w:szCs w:val="18"/>
          <w:color w:val="auto"/>
        </w:rPr>
        <w:t>. The Company, during the period when a prospectus relating to the Securities is (or, but for the exception afforded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Rule 172, would be) required to be delivered under the 1933 Act, will file all documents required to be filed with the Commission pursuant to the 1934 Act within the time periods required by the 1934 Act and the 1934 Act Regulations. Additionally, the Company shall report the use of proceeds from the issuance of the Securities as may be required under Rule 463 under the 1933 Act.</w:t>
      </w:r>
    </w:p>
    <w:p>
      <w:pPr>
        <w:spacing w:after="0" w:line="180" w:lineRule="exact"/>
        <w:rPr>
          <w:rFonts w:ascii="Times New Roman" w:cs="Times New Roman" w:eastAsia="Times New Roman" w:hAnsi="Times New Roman"/>
          <w:sz w:val="18"/>
          <w:szCs w:val="18"/>
          <w:color w:val="auto"/>
        </w:rPr>
      </w:pPr>
    </w:p>
    <w:p>
      <w:pPr>
        <w:ind w:right="80" w:firstLine="656"/>
        <w:spacing w:after="0" w:line="252" w:lineRule="auto"/>
        <w:tabs>
          <w:tab w:leader="none" w:pos="130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Issuer Free Writing Prospectuses</w:t>
      </w:r>
      <w:r>
        <w:rPr>
          <w:rFonts w:ascii="Times New Roman" w:cs="Times New Roman" w:eastAsia="Times New Roman" w:hAnsi="Times New Roman"/>
          <w:sz w:val="18"/>
          <w:szCs w:val="18"/>
          <w:color w:val="auto"/>
        </w:rPr>
        <w:t>. The Transaction Entities agree that, unless they obtain the prior written consent of the Representatives,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neither Transaction Entity will make any offer relating to the Securities that would constitute an Issuer Free Writing Prospectus or that would otherwise constitute a “free writing prospectus,” or a portion thereof, required to be filed by the Company with the Commission or retained by the Company under Rule 433;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Representatives will be deemed to have consented to the Issuer Free Writing Prospectuses listed on </w:t>
      </w:r>
      <w:r>
        <w:rPr>
          <w:rFonts w:ascii="Times New Roman" w:cs="Times New Roman" w:eastAsia="Times New Roman" w:hAnsi="Times New Roman"/>
          <w:sz w:val="18"/>
          <w:szCs w:val="18"/>
          <w:u w:val="single" w:color="auto"/>
          <w:color w:val="auto"/>
        </w:rPr>
        <w:t>Schedule B-2</w:t>
      </w:r>
      <w:r>
        <w:rPr>
          <w:rFonts w:ascii="Times New Roman" w:cs="Times New Roman" w:eastAsia="Times New Roman" w:hAnsi="Times New Roman"/>
          <w:sz w:val="18"/>
          <w:szCs w:val="18"/>
          <w:color w:val="auto"/>
        </w:rPr>
        <w:t xml:space="preserve"> hereto and any “road show that is a written communication” within the meaning of Rule 433(d)(8)(i) that has been reviewed and approved by the Representatives. Any such free writing prospectus consented to, or deemed consented to, as the case may be, by the Representatives is hereinafter referred to as a “</w:t>
      </w:r>
      <w:r>
        <w:rPr>
          <w:rFonts w:ascii="Times New Roman" w:cs="Times New Roman" w:eastAsia="Times New Roman" w:hAnsi="Times New Roman"/>
          <w:sz w:val="18"/>
          <w:szCs w:val="18"/>
          <w:u w:val="single" w:color="auto"/>
          <w:color w:val="auto"/>
        </w:rPr>
        <w:t>Permitted Free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Writing Prospectus</w:t>
      </w:r>
      <w:r>
        <w:rPr>
          <w:rFonts w:ascii="Times New Roman" w:cs="Times New Roman" w:eastAsia="Times New Roman" w:hAnsi="Times New Roman"/>
          <w:sz w:val="18"/>
          <w:szCs w:val="18"/>
          <w:color w:val="auto"/>
        </w:rPr>
        <w:t>.” The Company represents that it has treated or agrees that it will treat each Permitted Free Writing Prospectus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the issuance of an Issuer Free Writing Prospectus there occurred or occurs an event or development as a result of which such Issuer Free Writing Prospectus conflicted or would conflict with the information contained in the Registration Statement or the Prospectus or any preliminary prospectus or other prospectus deemed to be part thereof that has not been superseded or modified,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60" w:firstLine="656"/>
        <w:spacing w:after="0" w:line="267" w:lineRule="auto"/>
        <w:tabs>
          <w:tab w:leader="none" w:pos="131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Manipulation</w:t>
      </w:r>
      <w:r>
        <w:rPr>
          <w:rFonts w:ascii="Times New Roman" w:cs="Times New Roman" w:eastAsia="Times New Roman" w:hAnsi="Times New Roman"/>
          <w:sz w:val="18"/>
          <w:szCs w:val="18"/>
          <w:color w:val="auto"/>
        </w:rPr>
        <w:t>. Neither of the Transaction Entities nor any of their respective subsidiaries or other affiliates will take,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any action which is designed, or would be expected, to cause or result in, or which constitutes, the stabilization or manipulation of the price of any security of the Company to facilitate the sale or resale of the Securities or a violation of Regulation M under the 1934 Act.</w:t>
      </w:r>
    </w:p>
    <w:p>
      <w:pPr>
        <w:spacing w:after="0" w:line="173" w:lineRule="exact"/>
        <w:rPr>
          <w:rFonts w:ascii="Times New Roman" w:cs="Times New Roman" w:eastAsia="Times New Roman" w:hAnsi="Times New Roman"/>
          <w:sz w:val="18"/>
          <w:szCs w:val="18"/>
          <w:color w:val="auto"/>
        </w:rPr>
      </w:pPr>
    </w:p>
    <w:p>
      <w:pPr>
        <w:ind w:right="140" w:firstLine="656"/>
        <w:spacing w:after="0" w:line="267"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REIT Qualification</w:t>
      </w:r>
      <w:r>
        <w:rPr>
          <w:rFonts w:ascii="Times New Roman" w:cs="Times New Roman" w:eastAsia="Times New Roman" w:hAnsi="Times New Roman"/>
          <w:sz w:val="18"/>
          <w:szCs w:val="18"/>
          <w:color w:val="auto"/>
        </w:rPr>
        <w:t>. The Company will use its best efforts to meet the requirements to qualify as a REIT under the Code for the taxable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ending December 31, 2017 and to continue to meet such requirements until the Board of Directors of the Company determines that it is no longer in the best interests of the Company and its stockholders to qualify as a REIT.</w:t>
      </w:r>
    </w:p>
    <w:p>
      <w:pPr>
        <w:sectPr>
          <w:pgSz w:w="11900" w:h="16920" w:orient="portrait"/>
          <w:cols w:equalWidth="0" w:num="1">
            <w:col w:w="11420"/>
          </w:cols>
          <w:pgMar w:left="240" w:top="121" w:right="239" w:bottom="0" w:gutter="0" w:footer="0" w:header="0"/>
        </w:sectPr>
      </w:pPr>
    </w:p>
    <w:bookmarkStart w:id="25" w:name="page26"/>
    <w:bookmarkEnd w:id="25"/>
    <w:p>
      <w:pPr>
        <w:ind w:firstLine="656"/>
        <w:spacing w:after="0" w:line="259" w:lineRule="auto"/>
        <w:tabs>
          <w:tab w:leader="none" w:pos="130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Testing-the-Waters Materials</w:t>
      </w:r>
      <w:r>
        <w:rPr>
          <w:rFonts w:ascii="Times New Roman" w:cs="Times New Roman" w:eastAsia="Times New Roman" w:hAnsi="Times New Roman"/>
          <w:sz w:val="18"/>
          <w:szCs w:val="18"/>
          <w:color w:val="auto"/>
        </w:rPr>
        <w:t>. If at any time following the distribution of any Written Testing-the-Waters Communication there occurred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179" w:lineRule="exact"/>
        <w:rPr>
          <w:rFonts w:ascii="Times New Roman" w:cs="Times New Roman" w:eastAsia="Times New Roman" w:hAnsi="Times New Roman"/>
          <w:sz w:val="18"/>
          <w:szCs w:val="18"/>
          <w:color w:val="auto"/>
        </w:rPr>
      </w:pPr>
    </w:p>
    <w:p>
      <w:pPr>
        <w:ind w:right="20" w:firstLine="656"/>
        <w:spacing w:after="0" w:line="267" w:lineRule="auto"/>
        <w:tabs>
          <w:tab w:leader="none" w:pos="130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Emerging Growth Company Status</w:t>
      </w:r>
      <w:r>
        <w:rPr>
          <w:rFonts w:ascii="Times New Roman" w:cs="Times New Roman" w:eastAsia="Times New Roman" w:hAnsi="Times New Roman"/>
          <w:sz w:val="18"/>
          <w:szCs w:val="18"/>
          <w:color w:val="auto"/>
        </w:rPr>
        <w:t>. The Company will promptly notify the Representatives if the Company ceases to be an Emerging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Company at any time prior to the later of (i) completion of the distribution of the Securities within the meaning of the 1933 Act and (ii) completion of the 180-day restricted period referred to in Section 3(i).</w:t>
      </w:r>
    </w:p>
    <w:p>
      <w:pPr>
        <w:spacing w:after="0" w:line="173" w:lineRule="exact"/>
        <w:rPr>
          <w:rFonts w:ascii="Times New Roman" w:cs="Times New Roman" w:eastAsia="Times New Roman" w:hAnsi="Times New Roman"/>
          <w:sz w:val="18"/>
          <w:szCs w:val="18"/>
          <w:color w:val="auto"/>
        </w:rPr>
      </w:pPr>
    </w:p>
    <w:p>
      <w:pPr>
        <w:ind w:right="740" w:firstLine="656"/>
        <w:spacing w:after="0" w:line="284" w:lineRule="auto"/>
        <w:tabs>
          <w:tab w:leader="none" w:pos="130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the Sarbanes-Oxley Act</w:t>
      </w:r>
      <w:r>
        <w:rPr>
          <w:rFonts w:ascii="Times New Roman" w:cs="Times New Roman" w:eastAsia="Times New Roman" w:hAnsi="Times New Roman"/>
          <w:sz w:val="18"/>
          <w:szCs w:val="18"/>
          <w:color w:val="auto"/>
        </w:rPr>
        <w:t>. Each of the Transaction Entities will comply in all material respects with all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the Sarbanes-Oxley Act that are in effect.</w:t>
      </w:r>
    </w:p>
    <w:p>
      <w:pPr>
        <w:spacing w:after="0" w:line="158" w:lineRule="exact"/>
        <w:rPr>
          <w:rFonts w:ascii="Times New Roman" w:cs="Times New Roman" w:eastAsia="Times New Roman" w:hAnsi="Times New Roman"/>
          <w:sz w:val="18"/>
          <w:szCs w:val="18"/>
          <w:color w:val="auto"/>
        </w:rPr>
      </w:pPr>
    </w:p>
    <w:p>
      <w:pPr>
        <w:ind w:right="60" w:firstLine="656"/>
        <w:spacing w:after="0" w:line="267" w:lineRule="auto"/>
        <w:tabs>
          <w:tab w:leader="none" w:pos="130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Stop Transfer Instructions for Common Stock</w:t>
      </w:r>
      <w:r>
        <w:rPr>
          <w:rFonts w:ascii="Times New Roman" w:cs="Times New Roman" w:eastAsia="Times New Roman" w:hAnsi="Times New Roman"/>
          <w:sz w:val="18"/>
          <w:szCs w:val="18"/>
          <w:color w:val="auto"/>
        </w:rPr>
        <w:t>. The Company will enter stop transfer instructions with the transfer agent and registrar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against the transfer of the shares of Common Stock that are subject to the agreements described in Section 6(i) hereof except in compliance with the restrictions set forth in such agreements.</w:t>
      </w:r>
    </w:p>
    <w:p>
      <w:pPr>
        <w:spacing w:after="0" w:line="173" w:lineRule="exact"/>
        <w:rPr>
          <w:rFonts w:ascii="Times New Roman" w:cs="Times New Roman" w:eastAsia="Times New Roman" w:hAnsi="Times New Roman"/>
          <w:sz w:val="18"/>
          <w:szCs w:val="18"/>
          <w:color w:val="auto"/>
        </w:rPr>
      </w:pPr>
    </w:p>
    <w:p>
      <w:pPr>
        <w:ind w:firstLine="656"/>
        <w:spacing w:after="0" w:line="257" w:lineRule="auto"/>
        <w:tabs>
          <w:tab w:leader="none" w:pos="131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FINRA Rules</w:t>
      </w:r>
      <w:r>
        <w:rPr>
          <w:rFonts w:ascii="Times New Roman" w:cs="Times New Roman" w:eastAsia="Times New Roman" w:hAnsi="Times New Roman"/>
          <w:sz w:val="18"/>
          <w:szCs w:val="18"/>
          <w:color w:val="auto"/>
        </w:rPr>
        <w:t>. The Company hereby agrees that it will ensure that the Reserved Securities will be restricted as required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FINRA or the FINRA rules from sale, transfer, assignment, pledge or hypothecation for a period of three months following the date of this Agreement. The Underwriters will notify the Company as to which persons will need to be so restricted. At the request of the Underwriters, the Company will direct the transfer agent to place a stop transfer restriction upon such securities for such period of time. Should the Company release, or seek to release, from such restrictions any of the Reserved Securities, the Company agrees to reimburse the Underwriters for any reasonable expenses (including, without limitation, legal expenses) they incur in connection with such release.</w:t>
      </w:r>
    </w:p>
    <w:p>
      <w:pPr>
        <w:spacing w:after="0" w:line="185"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Covenants of the Manager</w:t>
      </w:r>
      <w:r>
        <w:rPr>
          <w:rFonts w:ascii="Times New Roman" w:cs="Times New Roman" w:eastAsia="Times New Roman" w:hAnsi="Times New Roman"/>
          <w:sz w:val="18"/>
          <w:szCs w:val="18"/>
          <w:color w:val="auto"/>
        </w:rPr>
        <w:t>. The Manager covenants with each Underwriter and with the Transaction Entities that, during the period when a prospectus relating to the Securities is (or, but for the exception afforded by Rule 172, would be) required by the 1933 Act to be delivered in connection with sales of the Securities, it shall notify the Underwriters and the Transaction Entities of the occurrence of any material event respecting the Manager’s business, activities, affairs or operating or financial results or condition, and the Manager will forthwith supply such information to the Company as shall be necessary in the opinion of counsel to the Company and the Underwriters for the Company to prepare any amendment or supplement to the Registration Statement, the General Disclosure Package and the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Prospectus so that, as so amended or supplemented, the same will not include an untrue statement of a material fact or omit to state a material fact necessary in order to make the statements therein (except in the case of the Registration Statement, in the light of the circumstances existing at the time it is delivered to a purchaser) not misleading.</w:t>
      </w:r>
    </w:p>
    <w:p>
      <w:pPr>
        <w:spacing w:after="0" w:line="176"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u w:val="single" w:color="auto"/>
          <w:color w:val="auto"/>
        </w:rPr>
        <w:t>Payment of Expenses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right="20" w:firstLine="656"/>
        <w:spacing w:after="0" w:line="255" w:lineRule="auto"/>
        <w:tabs>
          <w:tab w:leader="none" w:pos="129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Each of the Transaction Entities, jointly and severally, agrees to pay all expenses incident to the performance of their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this Agreement, including (i) the preparation, printing and filing of the Registration Statement (including financial statements and exhibits thereto) as originally filed and of each amendment thereto, (ii) the preparation, printing and delivery to the Underwriters of this Agreement, (iii) the preparation, issuance and delivery of the certificates for the Securities to the Underwriters, including any share or other transfer taxes and any stamp or other duties payable upon the sale, issuance or delivery of the Securities to the Underwriters, (iv) the fees and disbursements of the Company’s counsel, accountants and other advisors,</w:t>
      </w:r>
    </w:p>
    <w:p>
      <w:pPr>
        <w:spacing w:after="0" w:line="1" w:lineRule="exact"/>
        <w:rPr>
          <w:rFonts w:ascii="Times New Roman" w:cs="Times New Roman" w:eastAsia="Times New Roman" w:hAnsi="Times New Roman"/>
          <w:sz w:val="18"/>
          <w:szCs w:val="18"/>
          <w:color w:val="auto"/>
        </w:rPr>
      </w:pPr>
    </w:p>
    <w:p>
      <w:pPr>
        <w:ind w:firstLine="8"/>
        <w:spacing w:after="0" w:line="251" w:lineRule="auto"/>
        <w:tabs>
          <w:tab w:leader="none" w:pos="2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 of the Securities under securities laws in accordance with the provisions of Section 3(e) hereof, including filing fees and the reasonable fees and disbursements of counsel for the Underwriters in connection therewith and in connection with the preparation of the Blue Sky Survey and any supplement thereto, (vi) the preparation, printing and delivery to the Underwriters of copies of each preliminary prospectus, each Issuer Free Writing Prospectus and the Prospectus and any amendments or supplements thereto, and any costs associated with electronic delivery of any of the foregoing by the Underwriters to investors, (vii) the fees and expenses of any transfer agent or registrar for the Securities, (viii) the costs and expenses of the Company relating to investor presentations on any “road show” undertaken in connection with the marketing of the Securities, including, without limitation, expenses associated with the production of road show slides and graphics, fees and expenses of any consultants engaged in connection with the road show presentations, travel and lodging expenses of the representatives and officers of the Company and any such consultants, and the cost of aircraft and other transportation chartered in connection with the road show, (ix) the filing fees incident to, and the reasonable fees and disbursements of counsel to the Underwriters in connection with, the review by FINRA of the terms of the sale of the Securities (not to exceed $25,000), (x) the fees and expenses incurred in connection with the listing of the Common Stock (including the Securities) on the New York Stock Exchange, (xi)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second sentence of Section 1(a)(ii), and (xii) all costs and expenses of the Underwriters, including the fees and disbursements of counsel for the Underwriters, in connection with matters related to the Reserved Securities which are designated by the Company for sale to Invitees (not to exceed $20,000).</w:t>
      </w:r>
    </w:p>
    <w:p>
      <w:pPr>
        <w:spacing w:after="0" w:line="189"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Agreement</w:t>
      </w:r>
      <w:r>
        <w:rPr>
          <w:rFonts w:ascii="Times New Roman" w:cs="Times New Roman" w:eastAsia="Times New Roman" w:hAnsi="Times New Roman"/>
          <w:sz w:val="18"/>
          <w:szCs w:val="18"/>
          <w:color w:val="auto"/>
        </w:rPr>
        <w:t>. If this Agreement is terminated by the Representatives in accordance with the provisions of Section 6,</w:t>
      </w:r>
    </w:p>
    <w:p>
      <w:pPr>
        <w:spacing w:after="0" w:line="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Section 10(a)(i) or (iii) or Section 11 hereof, the Company shall reimburse the Underwriters for all of their out-of-pocket expenses, including the reasonable fees and disbursements of counsel for the Underwriters.</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The obligations of the several Underwriters hereunder are subject to the accuracy of the representations and warranties of the Transaction Entities and the Manager contained in Section 1(a) hereof as of the date hereof, the Applicable Time and the Closing Time or in certificates of any officer or other representative of either of the Transaction Entities, the Manager or any of their respective subsidiaries delivered pursuant to the provisions hereof, to the performance by the Transaction Entities and the Manager of their respective covenants and other obligations hereunder, and to the following further conditions: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5" w:right="239" w:bottom="104" w:gutter="0" w:footer="0" w:header="0"/>
        </w:sectPr>
      </w:pPr>
    </w:p>
    <w:bookmarkStart w:id="26" w:name="page27"/>
    <w:bookmarkEnd w:id="26"/>
    <w:p>
      <w:pPr>
        <w:ind w:right="60" w:firstLine="656"/>
        <w:spacing w:after="0" w:line="254" w:lineRule="auto"/>
        <w:tabs>
          <w:tab w:leader="none" w:pos="129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Effectiveness of Registration Statement; Rule 430A Information. </w:t>
      </w:r>
      <w:r>
        <w:rPr>
          <w:rFonts w:ascii="Times New Roman" w:cs="Times New Roman" w:eastAsia="Times New Roman" w:hAnsi="Times New Roman"/>
          <w:sz w:val="18"/>
          <w:szCs w:val="18"/>
          <w:color w:val="auto"/>
        </w:rPr>
        <w:t>The Registration Statement, including any Rule 462(b)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has become effective under the 1933 Act and, at the Closing Time,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or pursuant to Section 8A of the 1933 Act have been instituted or are pending or, to the knowledge of either of the Transaction Entities, contemplated; and the Company has complied with each request, if any, from the Commission for additional information. A prospectus containing the Rule 430A Information has been filed with the Commission in the manner and within the time frame required by Rule 424(b) without reliance on Rule 424(b)(8) or a post-effective amendment providing such information has been filed with, and declared effective by, the Commission in accordance with the requirements of Rule 430A. Each Issuer Free Writing Prospectus, if any, has been filed with the Commission in the manner and within the time frame required by Rule 433(d).</w:t>
      </w:r>
    </w:p>
    <w:p>
      <w:pPr>
        <w:spacing w:after="0" w:line="189" w:lineRule="exact"/>
        <w:rPr>
          <w:rFonts w:ascii="Times New Roman" w:cs="Times New Roman" w:eastAsia="Times New Roman" w:hAnsi="Times New Roman"/>
          <w:sz w:val="18"/>
          <w:szCs w:val="18"/>
          <w:color w:val="auto"/>
        </w:rPr>
      </w:pPr>
    </w:p>
    <w:p>
      <w:pPr>
        <w:ind w:firstLine="656"/>
        <w:spacing w:after="0" w:line="257" w:lineRule="auto"/>
        <w:tabs>
          <w:tab w:leader="none" w:pos="130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the Company and the Manager</w:t>
      </w:r>
      <w:r>
        <w:rPr>
          <w:rFonts w:ascii="Times New Roman" w:cs="Times New Roman" w:eastAsia="Times New Roman" w:hAnsi="Times New Roman"/>
          <w:sz w:val="18"/>
          <w:szCs w:val="18"/>
          <w:color w:val="auto"/>
        </w:rPr>
        <w:t>. At the Closing Time, the Representatives shall have received the favorable opinion,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dated the Closing Time, of Clifford Chance US LLP, counsel for the Company and the Manager, in form and substance reasonably satisfactory to the Underwriters, together with signed or reproduced copies of such letter for each of the other Underwriters, to the effect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In giving such opinion, such counsel may rely upon the opinion of Venable LLP as to all matters governed by the laws of the State of Maryland. Such counsel may also state that, insofar as such opinion involves factual matters, it has relied, to the extent it deems proper, upon certificates of officers and other representatives of the Transaction Entities and their respective subsidiaries and certificates of public officials.</w:t>
      </w:r>
    </w:p>
    <w:p>
      <w:pPr>
        <w:spacing w:after="0" w:line="182" w:lineRule="exact"/>
        <w:rPr>
          <w:rFonts w:ascii="Times New Roman" w:cs="Times New Roman" w:eastAsia="Times New Roman" w:hAnsi="Times New Roman"/>
          <w:sz w:val="18"/>
          <w:szCs w:val="18"/>
          <w:color w:val="auto"/>
        </w:rPr>
      </w:pPr>
    </w:p>
    <w:p>
      <w:pPr>
        <w:ind w:right="20" w:firstLine="656"/>
        <w:spacing w:after="0" w:line="267" w:lineRule="auto"/>
        <w:tabs>
          <w:tab w:leader="none" w:pos="130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Maryland Counsel for Company</w:t>
      </w:r>
      <w:r>
        <w:rPr>
          <w:rFonts w:ascii="Times New Roman" w:cs="Times New Roman" w:eastAsia="Times New Roman" w:hAnsi="Times New Roman"/>
          <w:sz w:val="18"/>
          <w:szCs w:val="18"/>
          <w:color w:val="auto"/>
        </w:rPr>
        <w:t>. At the Closing Time, the Representatives shall have received the favorable opinion, dated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Closing Time, of Venable LLP, Maryland counsel for the Company, in form and substance reasonably satisfactory to the Underwriters, together with signed or reproduced copies of such letter for each of the other Underwriters,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w:t>
      </w:r>
    </w:p>
    <w:p>
      <w:pPr>
        <w:spacing w:after="0" w:line="173" w:lineRule="exact"/>
        <w:rPr>
          <w:rFonts w:ascii="Times New Roman" w:cs="Times New Roman" w:eastAsia="Times New Roman" w:hAnsi="Times New Roman"/>
          <w:sz w:val="18"/>
          <w:szCs w:val="18"/>
          <w:color w:val="auto"/>
        </w:rPr>
      </w:pPr>
    </w:p>
    <w:p>
      <w:pPr>
        <w:ind w:right="20" w:firstLine="656"/>
        <w:spacing w:after="0" w:line="257" w:lineRule="auto"/>
        <w:tabs>
          <w:tab w:leader="none" w:pos="130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the Underwriters</w:t>
      </w:r>
      <w:r>
        <w:rPr>
          <w:rFonts w:ascii="Times New Roman" w:cs="Times New Roman" w:eastAsia="Times New Roman" w:hAnsi="Times New Roman"/>
          <w:sz w:val="18"/>
          <w:szCs w:val="18"/>
          <w:color w:val="auto"/>
        </w:rPr>
        <w:t>. At the Closing Time, the Representatives shall have received the favorable opinion, dated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Time, of Sidley Austin LLP, counsel for the Underwriters, together with signed or reproduced copies of such letter for each of the other Underwriters, with respect to such matters as the Representatives shall reasonably request. In giving such opinion, such counsel may rely upon the opinion of Venable LLP as to all matters governed by the laws of the State of Maryland. Such counsel may also state that, insofar as such opinion involves factual matters, it has relied, to the extent it deems proper, upon certificates of officers and other representatives of the Transaction Entities and their respective subsidiaries and certificates of public officials.</w:t>
      </w:r>
    </w:p>
    <w:p>
      <w:pPr>
        <w:spacing w:after="0" w:line="182" w:lineRule="exact"/>
        <w:rPr>
          <w:rFonts w:ascii="Times New Roman" w:cs="Times New Roman" w:eastAsia="Times New Roman" w:hAnsi="Times New Roman"/>
          <w:sz w:val="18"/>
          <w:szCs w:val="18"/>
          <w:color w:val="auto"/>
        </w:rPr>
      </w:pPr>
    </w:p>
    <w:p>
      <w:pPr>
        <w:ind w:firstLine="656"/>
        <w:spacing w:after="0" w:line="255" w:lineRule="auto"/>
        <w:tabs>
          <w:tab w:leader="none" w:pos="130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Officers’ Certificate</w:t>
      </w:r>
      <w:r>
        <w:rPr>
          <w:rFonts w:ascii="Times New Roman" w:cs="Times New Roman" w:eastAsia="Times New Roman" w:hAnsi="Times New Roman"/>
          <w:sz w:val="18"/>
          <w:szCs w:val="18"/>
          <w:color w:val="auto"/>
        </w:rPr>
        <w:t>. At the Closing Time, there shall not have been, since the date hereof, since the Applicable Time or since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dates as of which information is given in the Registration Statement, the General Disclosure Package or the Prospectus, any material adverse change in or affecting the Properties taken as a whole or in the condition, financial or otherwise, or in the earnings, business affairs, management or business prospects of the Transaction Entities and their respective subsidiaries considered as one enterprise, whether or not arising in the ordinary course of business, and the Representatives shall have received a certificate of the Chief Executive Officer or President of the Company and of the Chief Financial Officer or Chief Accounting Officer of the Company, dated the Closing Time, to the effect that (i) there has been no such material adverse change, (ii) the representations and warranties of the Transaction Entities contained herein are true and correct with the same force and effect as though expressly made at and as of the Closing Time, (iii) the Transaction Entities have complied with all agreements and satisfied all conditions on their part to be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performed or satisfied at or prior to the Closing Time, and (iv)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contemplated.</w:t>
      </w:r>
    </w:p>
    <w:p>
      <w:pPr>
        <w:spacing w:after="0" w:line="174" w:lineRule="exact"/>
        <w:rPr>
          <w:sz w:val="20"/>
          <w:szCs w:val="20"/>
          <w:color w:val="auto"/>
        </w:rPr>
      </w:pPr>
    </w:p>
    <w:p>
      <w:pPr>
        <w:jc w:val="both"/>
        <w:ind w:right="40" w:firstLine="656"/>
        <w:spacing w:after="0" w:line="261" w:lineRule="auto"/>
        <w:tabs>
          <w:tab w:leader="none" w:pos="12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Chief Financial Officer’s Certificate</w:t>
      </w:r>
      <w:r>
        <w:rPr>
          <w:rFonts w:ascii="Times New Roman" w:cs="Times New Roman" w:eastAsia="Times New Roman" w:hAnsi="Times New Roman"/>
          <w:sz w:val="18"/>
          <w:szCs w:val="18"/>
          <w:color w:val="auto"/>
        </w:rPr>
        <w:t>. At the time of the execution of this Agreement and at the Closing Time, the Representatives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received a certificate of the Chief Financial Officer of the Company, dated, respectively, as of the date hereof and as of the Closing Time,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regarding certain financial and operating information of the Transaction Entities and their respective subsidiaries contained in the Registration Statement, the General Disclosure Package and the Prospectus.</w:t>
      </w:r>
    </w:p>
    <w:p>
      <w:pPr>
        <w:spacing w:after="0" w:line="180" w:lineRule="exact"/>
        <w:rPr>
          <w:rFonts w:ascii="Times New Roman" w:cs="Times New Roman" w:eastAsia="Times New Roman" w:hAnsi="Times New Roman"/>
          <w:sz w:val="18"/>
          <w:szCs w:val="18"/>
          <w:color w:val="auto"/>
        </w:rPr>
      </w:pPr>
    </w:p>
    <w:p>
      <w:pPr>
        <w:jc w:val="both"/>
        <w:ind w:right="140" w:firstLine="656"/>
        <w:spacing w:after="0" w:line="261" w:lineRule="auto"/>
        <w:tabs>
          <w:tab w:leader="none" w:pos="131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Manager Officers’ Certificate</w:t>
      </w:r>
      <w:r>
        <w:rPr>
          <w:rFonts w:ascii="Times New Roman" w:cs="Times New Roman" w:eastAsia="Times New Roman" w:hAnsi="Times New Roman"/>
          <w:sz w:val="18"/>
          <w:szCs w:val="18"/>
          <w:color w:val="auto"/>
        </w:rPr>
        <w:t>. The Representatives shall have received a certificate of the Chief Executive Officer of the Manager and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Chief Financial Officer of the Manager, dated the Closing Time, to the effect that (i) the representations and warranties of the Manager contained herein are true and correct with the same force and effect as though expressly made at and as of the Closing Time and (ii) the Manager has complied with all agreements and satisfied all conditions on its part to be performed or satisfied at or prior to the Closing Time.</w:t>
      </w:r>
    </w:p>
    <w:p>
      <w:pPr>
        <w:spacing w:after="0" w:line="180"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Accountant’s Comfort Letters</w:t>
      </w:r>
      <w:r>
        <w:rPr>
          <w:rFonts w:ascii="Times New Roman" w:cs="Times New Roman" w:eastAsia="Times New Roman" w:hAnsi="Times New Roman"/>
          <w:sz w:val="18"/>
          <w:szCs w:val="18"/>
          <w:color w:val="auto"/>
        </w:rPr>
        <w:t>. At the time of the execution of this Agreement, the Representatives shall have received, from each of</w:t>
      </w:r>
    </w:p>
    <w:p>
      <w:pPr>
        <w:spacing w:after="0" w:line="29" w:lineRule="exact"/>
        <w:rPr>
          <w:rFonts w:ascii="Times New Roman" w:cs="Times New Roman" w:eastAsia="Times New Roman" w:hAnsi="Times New Roman"/>
          <w:sz w:val="18"/>
          <w:szCs w:val="18"/>
          <w:color w:val="auto"/>
        </w:rPr>
      </w:pPr>
    </w:p>
    <w:p>
      <w:pPr>
        <w:ind w:right="460" w:firstLine="8"/>
        <w:spacing w:after="0" w:line="254" w:lineRule="auto"/>
        <w:tabs>
          <w:tab w:leader="none" w:pos="2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PricewaterhouseCoopers LLP and (ii) Marcum LLP, a letter, dated such date,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w:t>
      </w:r>
    </w:p>
    <w:p>
      <w:pPr>
        <w:spacing w:after="0" w:line="183" w:lineRule="exact"/>
        <w:rPr>
          <w:rFonts w:ascii="Times New Roman" w:cs="Times New Roman" w:eastAsia="Times New Roman" w:hAnsi="Times New Roman"/>
          <w:sz w:val="18"/>
          <w:szCs w:val="18"/>
          <w:color w:val="auto"/>
        </w:rPr>
      </w:pPr>
    </w:p>
    <w:p>
      <w:pPr>
        <w:jc w:val="both"/>
        <w:ind w:right="40" w:firstLine="656"/>
        <w:spacing w:after="0" w:line="261" w:lineRule="auto"/>
        <w:tabs>
          <w:tab w:leader="none" w:pos="131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Bring-down Comfort Letters</w:t>
      </w:r>
      <w:r>
        <w:rPr>
          <w:rFonts w:ascii="Times New Roman" w:cs="Times New Roman" w:eastAsia="Times New Roman" w:hAnsi="Times New Roman"/>
          <w:sz w:val="18"/>
          <w:szCs w:val="18"/>
          <w:color w:val="auto"/>
        </w:rPr>
        <w:t>. At the Closing Time, the Representatives shall have received, from each of (i) PricewaterhouseCoopers LLP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(ii) Marcum LLP, a letter, dated the Closing Time, in form and substance satisfactory to the Representatives, together with signed or reproduced copies of such letter for each of the other Underwriters, to the effect that they reaffirm the statements made in the letter furnished pursuant to Section 6(h) hereof, except that the specified date referred to shall be a date not more than three business days prior to the Closing Time.</w:t>
      </w:r>
    </w:p>
    <w:p>
      <w:pPr>
        <w:spacing w:after="0" w:line="180" w:lineRule="exact"/>
        <w:rPr>
          <w:rFonts w:ascii="Times New Roman" w:cs="Times New Roman" w:eastAsia="Times New Roman" w:hAnsi="Times New Roman"/>
          <w:sz w:val="18"/>
          <w:szCs w:val="18"/>
          <w:color w:val="auto"/>
        </w:rPr>
      </w:pPr>
    </w:p>
    <w:p>
      <w:pPr>
        <w:ind w:right="60" w:firstLine="656"/>
        <w:spacing w:after="0" w:line="284" w:lineRule="auto"/>
        <w:tabs>
          <w:tab w:leader="none" w:pos="122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Approval of Listing</w:t>
      </w:r>
      <w:r>
        <w:rPr>
          <w:rFonts w:ascii="Times New Roman" w:cs="Times New Roman" w:eastAsia="Times New Roman" w:hAnsi="Times New Roman"/>
          <w:sz w:val="18"/>
          <w:szCs w:val="18"/>
          <w:color w:val="auto"/>
        </w:rPr>
        <w:t>. At the Closing Time, the Securities shall have been approved for listing on the New York Stock Exchange, subject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official notice of issuance.</w:t>
      </w:r>
    </w:p>
    <w:p>
      <w:pPr>
        <w:spacing w:after="0" w:line="158" w:lineRule="exact"/>
        <w:rPr>
          <w:rFonts w:ascii="Times New Roman" w:cs="Times New Roman" w:eastAsia="Times New Roman" w:hAnsi="Times New Roman"/>
          <w:sz w:val="18"/>
          <w:szCs w:val="18"/>
          <w:color w:val="auto"/>
        </w:rPr>
      </w:pPr>
    </w:p>
    <w:p>
      <w:pPr>
        <w:ind w:right="120" w:firstLine="656"/>
        <w:spacing w:after="0" w:line="284" w:lineRule="auto"/>
        <w:tabs>
          <w:tab w:leader="none" w:pos="122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Objection</w:t>
      </w:r>
      <w:r>
        <w:rPr>
          <w:rFonts w:ascii="Times New Roman" w:cs="Times New Roman" w:eastAsia="Times New Roman" w:hAnsi="Times New Roman"/>
          <w:sz w:val="18"/>
          <w:szCs w:val="18"/>
          <w:color w:val="auto"/>
        </w:rPr>
        <w:t>. FINRA has confirmed that it has not raised any objection with respect to the fairness and reasonableness of the underwriting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and arrangements relating to the offering of the Securities.</w:t>
      </w:r>
    </w:p>
    <w:p>
      <w:pPr>
        <w:spacing w:after="0" w:line="158" w:lineRule="exact"/>
        <w:rPr>
          <w:rFonts w:ascii="Times New Roman" w:cs="Times New Roman" w:eastAsia="Times New Roman" w:hAnsi="Times New Roman"/>
          <w:sz w:val="18"/>
          <w:szCs w:val="18"/>
          <w:color w:val="auto"/>
        </w:rPr>
      </w:pPr>
    </w:p>
    <w:p>
      <w:pPr>
        <w:ind w:right="500" w:firstLine="656"/>
        <w:spacing w:after="0" w:line="284" w:lineRule="auto"/>
        <w:tabs>
          <w:tab w:leader="none" w:pos="123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Lock-up Agreements</w:t>
      </w:r>
      <w:r>
        <w:rPr>
          <w:rFonts w:ascii="Times New Roman" w:cs="Times New Roman" w:eastAsia="Times New Roman" w:hAnsi="Times New Roman"/>
          <w:sz w:val="18"/>
          <w:szCs w:val="18"/>
          <w:color w:val="auto"/>
        </w:rPr>
        <w:t>. At the date of this Agreement, the Representatives shall have received an agreement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signed by the persons listed on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hereto.</w:t>
      </w:r>
    </w:p>
    <w:p>
      <w:pPr>
        <w:sectPr>
          <w:pgSz w:w="11900" w:h="16838" w:orient="portrait"/>
          <w:cols w:equalWidth="0" w:num="1">
            <w:col w:w="11420"/>
          </w:cols>
          <w:pgMar w:left="240" w:top="335" w:right="239" w:bottom="66" w:gutter="0" w:footer="0" w:header="0"/>
        </w:sectPr>
      </w:pPr>
    </w:p>
    <w:bookmarkStart w:id="27" w:name="page28"/>
    <w:bookmarkEnd w:id="27"/>
    <w:p>
      <w:pPr>
        <w:ind w:right="160" w:firstLine="656"/>
        <w:spacing w:after="0" w:line="261" w:lineRule="auto"/>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to Purchase of Option Securities</w:t>
      </w:r>
      <w:r>
        <w:rPr>
          <w:rFonts w:ascii="Times New Roman" w:cs="Times New Roman" w:eastAsia="Times New Roman" w:hAnsi="Times New Roman"/>
          <w:sz w:val="18"/>
          <w:szCs w:val="18"/>
          <w:color w:val="auto"/>
        </w:rPr>
        <w:t>. In the event that the Underwriters exercise their option provided in Section 2(b) hereof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all or any portion of the Option Securities, the representations and warranties of the Transaction Entities and the Manager contained herein and the statements in any certificates furnished by the Transaction Entities, the Manager or any of their respective subsidiaries hereunder shall be true and correct as of each Date of Delivery and, at the relevant Date of Delivery, the Representatives shall have received: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20" w:firstLine="645"/>
        <w:spacing w:after="0" w:line="261" w:lineRule="auto"/>
        <w:tabs>
          <w:tab w:leader="none" w:pos="197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 for Company and the Manager</w:t>
      </w:r>
      <w:r>
        <w:rPr>
          <w:rFonts w:ascii="Times New Roman" w:cs="Times New Roman" w:eastAsia="Times New Roman" w:hAnsi="Times New Roman"/>
          <w:sz w:val="18"/>
          <w:szCs w:val="18"/>
          <w:color w:val="auto"/>
        </w:rPr>
        <w:t>. The favorable opinion, dated such Date of Delivery, of Clifford Chance US LLP, counsel for the Company and the Manager, in form and substance reasonably satisfactory to the Underwriters, together with signed or reproduced copies of such letter for each of the other Underwriters, relating to the Option Securities to be purchased on such Date of Delivery and otherwise to the same effect as the opinion required by Section 6(b) hereof.</w:t>
      </w:r>
    </w:p>
    <w:p>
      <w:pPr>
        <w:spacing w:after="0" w:line="180" w:lineRule="exact"/>
        <w:rPr>
          <w:rFonts w:ascii="Times New Roman" w:cs="Times New Roman" w:eastAsia="Times New Roman" w:hAnsi="Times New Roman"/>
          <w:sz w:val="18"/>
          <w:szCs w:val="18"/>
          <w:color w:val="auto"/>
        </w:rPr>
      </w:pPr>
    </w:p>
    <w:p>
      <w:pPr>
        <w:ind w:left="660" w:right="40" w:firstLine="645"/>
        <w:spacing w:after="0" w:line="261" w:lineRule="auto"/>
        <w:tabs>
          <w:tab w:leader="none" w:pos="198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Maryland Counsel for Company</w:t>
      </w:r>
      <w:r>
        <w:rPr>
          <w:rFonts w:ascii="Times New Roman" w:cs="Times New Roman" w:eastAsia="Times New Roman" w:hAnsi="Times New Roman"/>
          <w:sz w:val="18"/>
          <w:szCs w:val="18"/>
          <w:color w:val="auto"/>
        </w:rPr>
        <w:t>. The favorable opinion, dated such Date of Delivery, of Venable LLP, Maryland counsel for the Company, in form and substance reasonably satisfactory to the Underwriters, together with signed or reproduced copies of such letter for each of the other Underwriters, relating to the Option Securities to be purchased on such Date of Delivery and otherwise to the same effect as the opinion required by Section 6(c) hereof.</w:t>
      </w:r>
    </w:p>
    <w:p>
      <w:pPr>
        <w:spacing w:after="0" w:line="180" w:lineRule="exact"/>
        <w:rPr>
          <w:rFonts w:ascii="Times New Roman" w:cs="Times New Roman" w:eastAsia="Times New Roman" w:hAnsi="Times New Roman"/>
          <w:sz w:val="18"/>
          <w:szCs w:val="18"/>
          <w:color w:val="auto"/>
        </w:rPr>
      </w:pPr>
    </w:p>
    <w:p>
      <w:pPr>
        <w:ind w:left="660" w:right="160" w:firstLine="645"/>
        <w:spacing w:after="0" w:line="266" w:lineRule="auto"/>
        <w:tabs>
          <w:tab w:leader="none" w:pos="199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 for Underwriters</w:t>
      </w:r>
      <w:r>
        <w:rPr>
          <w:rFonts w:ascii="Times New Roman" w:cs="Times New Roman" w:eastAsia="Times New Roman" w:hAnsi="Times New Roman"/>
          <w:sz w:val="18"/>
          <w:szCs w:val="18"/>
          <w:color w:val="auto"/>
        </w:rPr>
        <w:t>. The favorable opinion, dated such Date of Delivery, of Sidley Austin LLP, counsel for the Underwriters, together with signed or reproduced copies of such letter for each of the other Underwriters, relating to the Option Securities to be purchased on such Date of Delivery and otherwise to the same effect as the opinion required by Section 6(d) hereof.</w:t>
      </w:r>
    </w:p>
    <w:p>
      <w:pPr>
        <w:spacing w:after="0" w:line="176" w:lineRule="exact"/>
        <w:rPr>
          <w:rFonts w:ascii="Times New Roman" w:cs="Times New Roman" w:eastAsia="Times New Roman" w:hAnsi="Times New Roman"/>
          <w:sz w:val="18"/>
          <w:szCs w:val="18"/>
          <w:color w:val="auto"/>
        </w:rPr>
      </w:pPr>
    </w:p>
    <w:p>
      <w:pPr>
        <w:ind w:left="660" w:right="300" w:firstLine="645"/>
        <w:spacing w:after="0" w:line="266" w:lineRule="auto"/>
        <w:tabs>
          <w:tab w:leader="none" w:pos="197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Officers’ Certificate</w:t>
      </w:r>
      <w:r>
        <w:rPr>
          <w:rFonts w:ascii="Times New Roman" w:cs="Times New Roman" w:eastAsia="Times New Roman" w:hAnsi="Times New Roman"/>
          <w:sz w:val="18"/>
          <w:szCs w:val="18"/>
          <w:color w:val="auto"/>
        </w:rPr>
        <w:t>. A certificate, dated such Date of Delivery, of the Chief Executive Officer or President of the Company and of the Chief Financial Officer or Chief Accounting Officer of the Company, confirming that the certificate delivered at the Closing Time pursuant to Section 6(e) hereof remains true and correct as of such Date of Delivery.</w:t>
      </w:r>
    </w:p>
    <w:p>
      <w:pPr>
        <w:spacing w:after="0" w:line="176" w:lineRule="exact"/>
        <w:rPr>
          <w:rFonts w:ascii="Times New Roman" w:cs="Times New Roman" w:eastAsia="Times New Roman" w:hAnsi="Times New Roman"/>
          <w:sz w:val="18"/>
          <w:szCs w:val="18"/>
          <w:color w:val="auto"/>
        </w:rPr>
      </w:pPr>
    </w:p>
    <w:p>
      <w:pPr>
        <w:ind w:left="660" w:right="260" w:firstLine="645"/>
        <w:spacing w:after="0" w:line="282" w:lineRule="auto"/>
        <w:tabs>
          <w:tab w:leader="none" w:pos="196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Chief Financial Officer’s Certificate</w:t>
      </w:r>
      <w:r>
        <w:rPr>
          <w:rFonts w:ascii="Times New Roman" w:cs="Times New Roman" w:eastAsia="Times New Roman" w:hAnsi="Times New Roman"/>
          <w:sz w:val="18"/>
          <w:szCs w:val="18"/>
          <w:color w:val="auto"/>
        </w:rPr>
        <w:t>. A certificate, dated such Date of Delivery, of the Chief Financial Officer of the Company, confirming that the certificate delivered at the Closing Time pursuant to Section 6(f) hereof remains true and correct as of such Date of Delivery.</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97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Manager Officers’ Certificate</w:t>
      </w:r>
      <w:r>
        <w:rPr>
          <w:rFonts w:ascii="Times New Roman" w:cs="Times New Roman" w:eastAsia="Times New Roman" w:hAnsi="Times New Roman"/>
          <w:sz w:val="18"/>
          <w:szCs w:val="18"/>
          <w:color w:val="auto"/>
        </w:rPr>
        <w:t>. A certificate, dated such Date of Delivery, of the Chief Executive Officer of the Manager and of the Chief Financial Officer of the Manager, confirming that the certificate delivered at the Closing Time pursuant to Section 6(g) hereof remains true and correct as of such Date of Delivery.</w:t>
      </w:r>
    </w:p>
    <w:p>
      <w:pPr>
        <w:spacing w:after="0" w:line="176" w:lineRule="exact"/>
        <w:rPr>
          <w:rFonts w:ascii="Times New Roman" w:cs="Times New Roman" w:eastAsia="Times New Roman" w:hAnsi="Times New Roman"/>
          <w:sz w:val="18"/>
          <w:szCs w:val="18"/>
          <w:color w:val="auto"/>
        </w:rPr>
      </w:pPr>
    </w:p>
    <w:p>
      <w:pPr>
        <w:ind w:left="660" w:right="40" w:firstLine="645"/>
        <w:spacing w:after="0" w:line="258" w:lineRule="auto"/>
        <w:tabs>
          <w:tab w:leader="none" w:pos="198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Bring-down Comfort Letters</w:t>
      </w:r>
      <w:r>
        <w:rPr>
          <w:rFonts w:ascii="Times New Roman" w:cs="Times New Roman" w:eastAsia="Times New Roman" w:hAnsi="Times New Roman"/>
          <w:sz w:val="18"/>
          <w:szCs w:val="18"/>
          <w:color w:val="auto"/>
        </w:rPr>
        <w:t>. Letters from each of (i) PricewaterhouseCoopers LLP and (ii) Marcum LLP, each in form and substance satisfactory to the Representatives and dated such Date of Delivery, together with signed or reproduced copies of such letters for each of the other Underwriters, substantially in the same form and substance as the letters furnished to the Representatives pursuant to Section 6(i) hereof, except that the “specified date” in the letters furnished pursuant to this paragraph shall be a date not more than three business days prior to such Date of Delivery.</w:t>
      </w:r>
    </w:p>
    <w:p>
      <w:pPr>
        <w:spacing w:after="0" w:line="181" w:lineRule="exact"/>
        <w:rPr>
          <w:rFonts w:ascii="Times New Roman" w:cs="Times New Roman" w:eastAsia="Times New Roman" w:hAnsi="Times New Roman"/>
          <w:sz w:val="18"/>
          <w:szCs w:val="18"/>
          <w:color w:val="auto"/>
        </w:rPr>
      </w:pPr>
    </w:p>
    <w:p>
      <w:pPr>
        <w:ind w:right="120" w:firstLine="656"/>
        <w:spacing w:after="0" w:line="259" w:lineRule="auto"/>
        <w:tabs>
          <w:tab w:leader="none" w:pos="130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Documents</w:t>
      </w:r>
      <w:r>
        <w:rPr>
          <w:rFonts w:ascii="Times New Roman" w:cs="Times New Roman" w:eastAsia="Times New Roman" w:hAnsi="Times New Roman"/>
          <w:sz w:val="18"/>
          <w:szCs w:val="18"/>
          <w:color w:val="auto"/>
        </w:rPr>
        <w:t>. At the Closing Time and at each Date of Delivery, if any, counsel for the Underwriters shall have been furnished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such documents and opinions as it may require for the purpose of enabling it to deliver the opinions requested by the Underwriters as herein contemplated, or in order to evidence the accuracy of any of the representations or warranties, or the fulfillment of any of the conditions, herein contained; and all proceedings taken by the Transaction Entities and the Manager in connection with the issuance and sale of the Securities as herein contemplated shall be reasonably satisfactory in form and substance to the Underwriters.</w:t>
      </w:r>
    </w:p>
    <w:p>
      <w:pPr>
        <w:spacing w:after="0" w:line="179" w:lineRule="exact"/>
        <w:rPr>
          <w:rFonts w:ascii="Times New Roman" w:cs="Times New Roman" w:eastAsia="Times New Roman" w:hAnsi="Times New Roman"/>
          <w:sz w:val="18"/>
          <w:szCs w:val="18"/>
          <w:color w:val="auto"/>
        </w:rPr>
      </w:pPr>
    </w:p>
    <w:p>
      <w:pPr>
        <w:jc w:val="both"/>
        <w:ind w:right="140" w:firstLine="656"/>
        <w:spacing w:after="0" w:line="267" w:lineRule="auto"/>
        <w:tabs>
          <w:tab w:leader="none" w:pos="130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Agreement</w:t>
      </w:r>
      <w:r>
        <w:rPr>
          <w:rFonts w:ascii="Times New Roman" w:cs="Times New Roman" w:eastAsia="Times New Roman" w:hAnsi="Times New Roman"/>
          <w:sz w:val="18"/>
          <w:szCs w:val="18"/>
          <w:color w:val="auto"/>
        </w:rPr>
        <w:t>. If any condition specified in this Section shall not have been fulfilled when and as required to be fulfilled,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or, in the case of any condition to the purchase of Option Securities on a Date of Delivery which is after the Closing Time, the obligations of the several Underwriters to purchase the relevant Option Securities, may be terminated by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Representatives by notice to the Company at any time at or prior to the Closing Time or such Date of Delivery, as the case may be, and such termination shall be without liability of any party to any other party except as provided in Section 5 and except that Sections 1, 7, 8, 9, 15 and 16 shall survive any such termination and remain in full force and effect.</w:t>
      </w:r>
    </w:p>
    <w:p>
      <w:pPr>
        <w:spacing w:after="0" w:line="176"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right="320" w:firstLine="656"/>
        <w:spacing w:after="0" w:line="267" w:lineRule="auto"/>
        <w:tabs>
          <w:tab w:leader="none" w:pos="129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Underwriters</w:t>
      </w:r>
      <w:r>
        <w:rPr>
          <w:rFonts w:ascii="Times New Roman" w:cs="Times New Roman" w:eastAsia="Times New Roman" w:hAnsi="Times New Roman"/>
          <w:sz w:val="18"/>
          <w:szCs w:val="18"/>
          <w:color w:val="auto"/>
        </w:rPr>
        <w:t>. Each of the Transaction Entities, jointly and severally, agrees to indemnify and hold harmless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 its affiliates (as such term is defined in Rule 501(b) under the 1933 Act (each, an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its selling agents and each person, if any, who controls any Underwriter within the meaning of Section 15 of the 1933 Act or Section 20 of the 1934 Act as follows:</w:t>
      </w:r>
    </w:p>
    <w:p>
      <w:pPr>
        <w:spacing w:after="0" w:line="175" w:lineRule="exact"/>
        <w:rPr>
          <w:rFonts w:ascii="Times New Roman" w:cs="Times New Roman" w:eastAsia="Times New Roman" w:hAnsi="Times New Roman"/>
          <w:sz w:val="18"/>
          <w:szCs w:val="18"/>
          <w:color w:val="auto"/>
        </w:rPr>
      </w:pPr>
    </w:p>
    <w:p>
      <w:pPr>
        <w:ind w:left="660" w:right="160" w:firstLine="645"/>
        <w:spacing w:after="0" w:line="253" w:lineRule="auto"/>
        <w:tabs>
          <w:tab w:leader="none" w:pos="197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arising out of any untrue statement or alleged untrue statement of a material fact contained in the Registration Statement (or any amendment thereto), including the Rule 430A Information, or the omission or alleged omission therefrom of a material fact required to be stated therein or necessary to make the statements therein not misleading or arising out of any untrue statement or alleged untrue statement of a material fact included in (A) any preliminary prospectus, any Issuer Free Writing Prospectus, any Written Testing-the-Waters Communication, the General Disclosure Package or the Prospectus (or any amendment or supplement thereto), or (B) any materials or information provided to investors by, or with the approval of, the Company in connection with the marketing of the offering of the Securities (“</w:t>
      </w:r>
      <w:r>
        <w:rPr>
          <w:rFonts w:ascii="Times New Roman" w:cs="Times New Roman" w:eastAsia="Times New Roman" w:hAnsi="Times New Roman"/>
          <w:sz w:val="18"/>
          <w:szCs w:val="18"/>
          <w:u w:val="single" w:color="auto"/>
          <w:color w:val="auto"/>
        </w:rPr>
        <w:t>Marketing Materials</w:t>
      </w:r>
      <w:r>
        <w:rPr>
          <w:rFonts w:ascii="Times New Roman" w:cs="Times New Roman" w:eastAsia="Times New Roman" w:hAnsi="Times New Roman"/>
          <w:sz w:val="18"/>
          <w:szCs w:val="18"/>
          <w:color w:val="auto"/>
        </w:rPr>
        <w:t>”), including any roadshow or investor presentations made to investors by the Company (whether in person or electronically), or the omission or alleged omission in any preliminary prospectus, any Issuer Free Writing Prospectus, any Written Testing-the-Waters Communication, the General Disclosure Package or the Prospectus (or any amendment or supplement thereto) or in any Marketing Materials, as the case may be, of a material fact necessary in order to make the statements therein, in the light of the circumstances under which they were made, not misleading;</w:t>
      </w:r>
    </w:p>
    <w:p>
      <w:pPr>
        <w:sectPr>
          <w:pgSz w:w="11900" w:h="16838" w:orient="portrait"/>
          <w:cols w:equalWidth="0" w:num="1">
            <w:col w:w="11420"/>
          </w:cols>
          <w:pgMar w:left="240" w:top="119" w:right="239" w:bottom="0" w:gutter="0" w:footer="0" w:header="0"/>
        </w:sectPr>
      </w:pPr>
    </w:p>
    <w:bookmarkStart w:id="28" w:name="page29"/>
    <w:bookmarkEnd w:id="28"/>
    <w:p>
      <w:pPr>
        <w:ind w:left="660" w:firstLine="645"/>
        <w:spacing w:after="0" w:line="261" w:lineRule="auto"/>
        <w:tabs>
          <w:tab w:leader="none" w:pos="198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against any and all loss, liability, claim, damage and expense whatsoever, as incurred, to the extent of the aggregate amount paid in settlement of any litigation, or any investigation or proceeding by any Governmental Entity, commenced or threatened, or of any claim whatsoever, in each case based upon any such untrue statement or omission, or any such alleged untrue statement or omission;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(subject to Section 7(d) below) any such settlement is effected with the written consent of the Transaction Entities; and</w:t>
      </w:r>
    </w:p>
    <w:p>
      <w:pPr>
        <w:spacing w:after="0" w:line="180" w:lineRule="exact"/>
        <w:rPr>
          <w:rFonts w:ascii="Times New Roman" w:cs="Times New Roman" w:eastAsia="Times New Roman" w:hAnsi="Times New Roman"/>
          <w:sz w:val="18"/>
          <w:szCs w:val="18"/>
          <w:color w:val="auto"/>
        </w:rPr>
      </w:pPr>
    </w:p>
    <w:p>
      <w:pPr>
        <w:ind w:left="660" w:right="240" w:firstLine="645"/>
        <w:spacing w:after="0" w:line="261" w:lineRule="auto"/>
        <w:tabs>
          <w:tab w:leader="none" w:pos="199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expense whatsoever, as incurred (including the fees and disbursements of counsel chosen by the Representatives),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indemnity agreement shall not apply to any loss, liability, claim, damage or expense to the extent arising out of any untrue statement or omission or alleged untrue statement or omission made in the Registration Statement (or any amendment thereto), including the Rule 430A Information, or in any preliminary prospectus, the General Disclosure Package or the Prospectus (or any amendment or supplement thereto), in each case in reliance upon and in conformity with the Underwriter Information.</w:t>
      </w:r>
    </w:p>
    <w:p>
      <w:pPr>
        <w:spacing w:after="0" w:line="178" w:lineRule="exact"/>
        <w:rPr>
          <w:sz w:val="20"/>
          <w:szCs w:val="20"/>
          <w:color w:val="auto"/>
        </w:rPr>
      </w:pPr>
    </w:p>
    <w:p>
      <w:pPr>
        <w:ind w:right="260" w:firstLine="656"/>
        <w:spacing w:after="0" w:line="284" w:lineRule="auto"/>
        <w:tabs>
          <w:tab w:leader="none" w:pos="130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Transaction Entities, Directors and Officers</w:t>
      </w:r>
      <w:r>
        <w:rPr>
          <w:rFonts w:ascii="Times New Roman" w:cs="Times New Roman" w:eastAsia="Times New Roman" w:hAnsi="Times New Roman"/>
          <w:sz w:val="18"/>
          <w:szCs w:val="18"/>
          <w:color w:val="auto"/>
        </w:rPr>
        <w:t>. Each Underwriter severally agrees to indemnify and hold harmless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Entity, the Company’s directors, each</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of the Company’s officers who signed the Registration Statement, and each person, if any, who controls either of the Transaction Entities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the Rule 430A Information, or in any preliminary prospectus, the General Disclosure Package or the Prospectus (or any amendment or supplement thereto), in each case in reliance upon and in conformity with the Underwriter Information.</w:t>
      </w:r>
    </w:p>
    <w:p>
      <w:pPr>
        <w:spacing w:after="0" w:line="186" w:lineRule="exact"/>
        <w:rPr>
          <w:sz w:val="20"/>
          <w:szCs w:val="20"/>
          <w:color w:val="auto"/>
        </w:rPr>
      </w:pPr>
    </w:p>
    <w:p>
      <w:pPr>
        <w:ind w:right="60" w:firstLine="656"/>
        <w:spacing w:after="0" w:line="256" w:lineRule="auto"/>
        <w:tabs>
          <w:tab w:leader="none" w:pos="130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Actions Against Parties; Notification</w:t>
      </w:r>
      <w:r>
        <w:rPr>
          <w:rFonts w:ascii="Times New Roman" w:cs="Times New Roman" w:eastAsia="Times New Roman" w:hAnsi="Times New Roman"/>
          <w:sz w:val="18"/>
          <w:szCs w:val="18"/>
          <w:color w:val="auto"/>
        </w:rPr>
        <w:t>. Each indemnified party shall give notice as promptly as reasonably practicable to each indemnifying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7(a) hereof, counsel for the indemnified parties shall be selected by the Representatives, and, in the case of parties indemnified pursuant to</w:t>
      </w:r>
    </w:p>
    <w:p>
      <w:pPr>
        <w:spacing w:after="0" w:line="9" w:lineRule="exact"/>
        <w:rPr>
          <w:rFonts w:ascii="Times New Roman" w:cs="Times New Roman" w:eastAsia="Times New Roman" w:hAnsi="Times New Roman"/>
          <w:sz w:val="18"/>
          <w:szCs w:val="18"/>
          <w:color w:val="auto"/>
        </w:rPr>
      </w:pPr>
    </w:p>
    <w:p>
      <w:pPr>
        <w:ind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7(b) hereof, counsel for the indemnified parties shall be selected by the Transaction Entities, as applicable.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Entity, commenced or threatened, or any claim whatsoever in respect of which indemnification or contribution could be sought under this Section 7 or Section 8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91" w:lineRule="exact"/>
        <w:rPr>
          <w:rFonts w:ascii="Times New Roman" w:cs="Times New Roman" w:eastAsia="Times New Roman" w:hAnsi="Times New Roman"/>
          <w:sz w:val="18"/>
          <w:szCs w:val="18"/>
          <w:color w:val="auto"/>
        </w:rPr>
      </w:pPr>
    </w:p>
    <w:p>
      <w:pPr>
        <w:ind w:right="140" w:firstLine="656"/>
        <w:spacing w:after="0" w:line="258" w:lineRule="auto"/>
        <w:tabs>
          <w:tab w:leader="none" w:pos="130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Without Consent if Failure to Reimburse</w:t>
      </w:r>
      <w:r>
        <w:rPr>
          <w:rFonts w:ascii="Times New Roman" w:cs="Times New Roman" w:eastAsia="Times New Roman" w:hAnsi="Times New Roman"/>
          <w:sz w:val="18"/>
          <w:szCs w:val="18"/>
          <w:color w:val="auto"/>
        </w:rPr>
        <w:t>. If at any time an indemnified party shall have requested an indemnifying party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 the indemnified party for fees and expenses of counsel, such indemnifying party agrees that it shall be liable for any settlement of the nature contemplated by Section 7(a)(ii) or settlement of any claim in connection with any violation referred to in Section 7(e) effected without its written consent if</w:t>
      </w:r>
    </w:p>
    <w:p>
      <w:pPr>
        <w:spacing w:after="0" w:line="1" w:lineRule="exact"/>
        <w:rPr>
          <w:rFonts w:ascii="Times New Roman" w:cs="Times New Roman" w:eastAsia="Times New Roman" w:hAnsi="Times New Roman"/>
          <w:sz w:val="18"/>
          <w:szCs w:val="18"/>
          <w:color w:val="auto"/>
        </w:rPr>
      </w:pPr>
    </w:p>
    <w:p>
      <w:pPr>
        <w:ind w:right="100" w:firstLine="8"/>
        <w:spacing w:after="0" w:line="255" w:lineRule="auto"/>
        <w:tabs>
          <w:tab w:leader="none" w:pos="2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84" w:lineRule="exact"/>
        <w:rPr>
          <w:rFonts w:ascii="Times New Roman" w:cs="Times New Roman" w:eastAsia="Times New Roman" w:hAnsi="Times New Roman"/>
          <w:sz w:val="18"/>
          <w:szCs w:val="18"/>
          <w:color w:val="auto"/>
        </w:rPr>
      </w:pPr>
    </w:p>
    <w:p>
      <w:pPr>
        <w:ind w:right="20" w:firstLine="656"/>
        <w:spacing w:after="0" w:line="256" w:lineRule="auto"/>
        <w:tabs>
          <w:tab w:leader="none" w:pos="130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for Reserved Securities</w:t>
      </w:r>
      <w:r>
        <w:rPr>
          <w:rFonts w:ascii="Times New Roman" w:cs="Times New Roman" w:eastAsia="Times New Roman" w:hAnsi="Times New Roman"/>
          <w:sz w:val="18"/>
          <w:szCs w:val="18"/>
          <w:color w:val="auto"/>
        </w:rPr>
        <w:t>. In connection with the offer and sale of the Reserved Securities, the Company agrees to indemnify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hold harmless the Underwriters, their Affiliates and selling agents and each person, if any, who controls any Underwriter within the meaning of either Section 15 of the 1933 Act or Section 20 of the 1934 Act, from and against any and all loss, liability, claim, damage and expense (including, without limitation, any legal or other expenses reasonably incurred in connection with defending, investigating or settling any such action or claim), as incurred,</w:t>
      </w:r>
    </w:p>
    <w:p>
      <w:pPr>
        <w:spacing w:after="0" w:line="1" w:lineRule="exact"/>
        <w:rPr>
          <w:rFonts w:ascii="Times New Roman" w:cs="Times New Roman" w:eastAsia="Times New Roman" w:hAnsi="Times New Roman"/>
          <w:sz w:val="18"/>
          <w:szCs w:val="18"/>
          <w:color w:val="auto"/>
        </w:rPr>
      </w:pPr>
    </w:p>
    <w:p>
      <w:pPr>
        <w:ind w:right="300" w:firstLine="8"/>
        <w:spacing w:after="0" w:line="261" w:lineRule="auto"/>
        <w:tabs>
          <w:tab w:leader="none" w:pos="2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out of the violation of any applicable laws or regulations of foreign jurisdictions where Reserved Securities have been offered, (ii) arising out of any untrue statement or alleged untrue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statement of a material fact contained in any other material prepared by or with the consent of the Company for distribution to Invitees in connection with the offering of the Reserved Securities or caused by any omission or alleged omission to state therein a material fact required to be stated therein or necessary to make the statements therein not misleading, (iii) caused by the failure of any Invitee to pay for and accept delivery of Reserved Securities which have been orally confirmed for purchase by any Invitee by 11:59 P.M. (New York City time) on the date of the Agreement or (iv) related to, or arising out of or in connection with, the offering of the Reserved Securities.</w:t>
      </w:r>
    </w:p>
    <w:p>
      <w:pPr>
        <w:spacing w:after="0" w:line="18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provided for in Section 7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Transaction Entities,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Transaction Entities, on the one hand, and</w:t>
      </w:r>
    </w:p>
    <w:p>
      <w:pPr>
        <w:sectPr>
          <w:pgSz w:w="11900" w:h="16838" w:orient="portrait"/>
          <w:cols w:equalWidth="0" w:num="1">
            <w:col w:w="11420"/>
          </w:cols>
          <w:pgMar w:left="240" w:top="121" w:right="239" w:bottom="0" w:gutter="0" w:footer="0" w:header="0"/>
        </w:sectPr>
      </w:pPr>
    </w:p>
    <w:bookmarkStart w:id="29" w:name="page30"/>
    <w:bookmarkEnd w:id="29"/>
    <w:p>
      <w:pPr>
        <w:ind w:right="640"/>
        <w:spacing w:after="0" w:line="282" w:lineRule="auto"/>
        <w:rPr>
          <w:sz w:val="20"/>
          <w:szCs w:val="20"/>
          <w:color w:val="auto"/>
        </w:rPr>
      </w:pPr>
      <w:r>
        <w:rPr>
          <w:rFonts w:ascii="Times New Roman" w:cs="Times New Roman" w:eastAsia="Times New Roman" w:hAnsi="Times New Roman"/>
          <w:sz w:val="18"/>
          <w:szCs w:val="18"/>
          <w:color w:val="auto"/>
        </w:rPr>
        <w:t>of the Underwriters, on the other hand, in connection with the statements or omissions, or in connection with any violation of the nature referred to in Section 7(e) hereof, which resulted in such losses, liabilities, claims, damages or expenses, as well as any other relevant equitable considerations.</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relative benefits received by the Transaction Entities,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underwriting discount received by the Underwriters, on the other hand, in each case as set forth on the cover of the Prospectus, bear to the aggregate initial public offering price of the Securities as set forth on the cover of the Prospectus.</w:t>
      </w:r>
    </w:p>
    <w:p>
      <w:pPr>
        <w:spacing w:after="0" w:line="184"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relative fault of the Transaction Entities, on the one hand, and the Underwriters, on the other hand, shall be determined by reference to, among other things, whether any such untrue or alleged untrue statement of a material fact or omission or alleged omission to state a material fact relates to information supplied by the Transaction Entities or by the Underwriters and the parties’ relative intent, knowledge, access to information and opportunity to correct or prevent such statement or omission or any violation of the nature referred to in Section 7(e) hereof.</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Transaction Entities and the Underwriters agree that it would not be just and equitable if contribution pursuant to this Section 8 were determined by pro rata allocation (even if the Underwriters were treated as one entity for such purpose) or by any other method of allocation which does not take account of the equitable considerations referred to above in this Section 8. The aggregate amount of losses, liabilities, claims, damages and expenses incurred by an indemnified party and referred to above in this Section 8 shall be deemed to include any legal or other expenses reasonably incurred by such indemnified party in investigating, preparing or defending against any litigation, or any investigation or proceeding by any Governmental Entity, commenced or threatened, or any claim whatsoever based upon any such untrue or alleged untrue statement or omission or alleged omission.</w:t>
      </w:r>
    </w:p>
    <w:p>
      <w:pPr>
        <w:spacing w:after="0" w:line="18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provisions of this Section 8, no Underwriter shall be required to contribute any amount in excess of the underwriting discounts received by such Underwriter in connection with the Securities underwritten by it and distributed to the public.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For purposes of this Section 8,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either of the Transaction Entities within the meaning of Section 15 of the 1933 Act or Section 20 of the 1934 Act shall have the same rights to contribution as the Transaction Entities. The Underwriters’ respective obligations to contribute pursuant to this Section 8 are several in proportion to the number of Initial Securities set forth opposite their respective names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and not joint.</w:t>
      </w:r>
    </w:p>
    <w:p>
      <w:pPr>
        <w:spacing w:after="0" w:line="188"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Representations, Warranties and Agreements to Survive</w:t>
      </w:r>
      <w:r>
        <w:rPr>
          <w:rFonts w:ascii="Times New Roman" w:cs="Times New Roman" w:eastAsia="Times New Roman" w:hAnsi="Times New Roman"/>
          <w:sz w:val="18"/>
          <w:szCs w:val="18"/>
          <w:color w:val="auto"/>
        </w:rPr>
        <w:t>. All representations, warranties and agreements contained in this Agreement or in certificates of officers of either of the Transaction Entities, the Manager or any of their respective subsidiaries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either of the Transaction Entities and (ii) delivery of and payment for the Securities.</w:t>
      </w:r>
    </w:p>
    <w:p>
      <w:pPr>
        <w:spacing w:after="0" w:line="18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w:t>
      </w:r>
      <w:r>
        <w:rPr>
          <w:sz w:val="20"/>
          <w:szCs w:val="20"/>
          <w:color w:val="auto"/>
        </w:rPr>
        <w:tab/>
      </w:r>
      <w:r>
        <w:rPr>
          <w:rFonts w:ascii="Times New Roman" w:cs="Times New Roman" w:eastAsia="Times New Roman" w:hAnsi="Times New Roman"/>
          <w:sz w:val="18"/>
          <w:szCs w:val="18"/>
          <w:u w:val="single" w:color="auto"/>
          <w:color w:val="auto"/>
        </w:rPr>
        <w:t>Termination of Agreement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20" w:firstLine="656"/>
        <w:spacing w:after="0" w:line="253" w:lineRule="auto"/>
        <w:tabs>
          <w:tab w:leader="none" w:pos="129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Representatives may terminate this Agreement, by notice to the Transaction Entities, at any time at or prior to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(i) if there has been, in the judgment of the Representatives, since the time of execution of this Agreement or since the respective dates as of which information is given in the Registration Statement, the General Disclosure Package or the Prospectus, any material adverse change in or affecting the Properties taken as a whole or in the condition, financial or otherwise, or in the earnings, business affairs, management or business prospects of the Transaction Entities and their respective subsidiaries considered as one enterprise,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Representatives, impracticable or inadvisable to proceed with the completion of the offering or to enforce contracts for the sale of the Securities, or (iii) if trading in any securities of the Company has been suspended or materially limited by the Commission or the New York Stock Exchange, or (iv) if trading generally on the New York Stock Exchange or the NYSE MKT or in the Nasdaq Global Market has been suspended or materially limited, or minimum or maximum prices for trading have been fixed, or maximum ranges for prices have been required, by any of said exchanges or by order of the Commission, FINRA or any other Governmental Entity, or (v) if a material disruption has occurred in commercial banking or securities settlement or clearance services in the United States or with respect to Clearstream or Euroclear systems in Europe, or (vi) if a banking moratorium has been declared by either U.S. federal or New York authorities.</w:t>
      </w:r>
    </w:p>
    <w:p>
      <w:pPr>
        <w:spacing w:after="0" w:line="186" w:lineRule="exact"/>
        <w:rPr>
          <w:rFonts w:ascii="Times New Roman" w:cs="Times New Roman" w:eastAsia="Times New Roman" w:hAnsi="Times New Roman"/>
          <w:sz w:val="18"/>
          <w:szCs w:val="18"/>
          <w:color w:val="auto"/>
        </w:rPr>
      </w:pPr>
    </w:p>
    <w:p>
      <w:pPr>
        <w:ind w:right="260" w:firstLine="656"/>
        <w:spacing w:after="0" w:line="267" w:lineRule="auto"/>
        <w:tabs>
          <w:tab w:leader="none" w:pos="130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If this Agreement is terminated pursuant to this Section, such termination shall be without liability of any party to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except as provided in Section 5 hereof, and provided further that Sections 1, 7, 8, 9, 15 and 16 shall survive such termination and remain in full force and effect.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Default by One or More of the Underwriters</w:t>
      </w:r>
      <w:r>
        <w:rPr>
          <w:rFonts w:ascii="Times New Roman" w:cs="Times New Roman" w:eastAsia="Times New Roman" w:hAnsi="Times New Roman"/>
          <w:sz w:val="18"/>
          <w:szCs w:val="18"/>
          <w:color w:val="auto"/>
        </w:rPr>
        <w:t>. If one or more of the Underwriters shall fail at the Closing Time or a Date of Delivery to purchase the Securities which it or they are obligated to purchase under this Agreement (the “</w:t>
      </w:r>
      <w:r>
        <w:rPr>
          <w:rFonts w:ascii="Times New Roman" w:cs="Times New Roman" w:eastAsia="Times New Roman" w:hAnsi="Times New Roman"/>
          <w:sz w:val="18"/>
          <w:szCs w:val="18"/>
          <w:u w:val="single" w:color="auto"/>
          <w:color w:val="auto"/>
        </w:rPr>
        <w:t>Defaulted Securities</w:t>
      </w:r>
      <w:r>
        <w:rPr>
          <w:rFonts w:ascii="Times New Roman" w:cs="Times New Roman" w:eastAsia="Times New Roman" w:hAnsi="Times New Roman"/>
          <w:sz w:val="18"/>
          <w:szCs w:val="18"/>
          <w:color w:val="auto"/>
        </w:rPr>
        <w:t>”), the Representatives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Representatives shall not have completed such arrangements within such 24-hour period, then:</w:t>
      </w:r>
    </w:p>
    <w:p>
      <w:pPr>
        <w:sectPr>
          <w:pgSz w:w="11900" w:h="16838" w:orient="portrait"/>
          <w:cols w:equalWidth="0" w:num="1">
            <w:col w:w="11420"/>
          </w:cols>
          <w:pgMar w:left="240" w:top="121" w:right="239" w:bottom="0" w:gutter="0" w:footer="0" w:header="0"/>
        </w:sectPr>
      </w:pPr>
    </w:p>
    <w:bookmarkStart w:id="30" w:name="page31"/>
    <w:bookmarkEnd w:id="30"/>
    <w:p>
      <w:pPr>
        <w:jc w:val="both"/>
        <w:ind w:left="660" w:right="160" w:firstLine="645"/>
        <w:spacing w:after="0" w:line="266" w:lineRule="auto"/>
        <w:tabs>
          <w:tab w:leader="none" w:pos="197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176" w:lineRule="exact"/>
        <w:rPr>
          <w:rFonts w:ascii="Times New Roman" w:cs="Times New Roman" w:eastAsia="Times New Roman" w:hAnsi="Times New Roman"/>
          <w:sz w:val="18"/>
          <w:szCs w:val="18"/>
          <w:color w:val="auto"/>
        </w:rPr>
      </w:pPr>
    </w:p>
    <w:p>
      <w:pPr>
        <w:ind w:left="660" w:right="220" w:firstLine="645"/>
        <w:spacing w:after="0" w:line="261" w:lineRule="auto"/>
        <w:tabs>
          <w:tab w:leader="none" w:pos="198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Defaulted Securities exceeds 10% of the number of Securities to be purchased on such date, this Agreement or, with respect to each Date of Delivery, if any, which occurs after the Closing Time, the obligation of the Underwriters to purchase, and of the Company to sell, the Option Securities to be purchased and sold on such Date of Delivery shall terminate without liability on the part of any non-defaulting Underwriter.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action taken pursuant to this Section shall relieve any defaulting Underwriter from liability in respect of its default.</w:t>
      </w:r>
    </w:p>
    <w:p>
      <w:pPr>
        <w:spacing w:after="0" w:line="22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the event of any such default which does not result in a termination of this Agreement or, in the case of a Date of Delivery which is after the Closing Time, which does not result in a termination of the obligation of the Underwriters to purchase and the Company to sell the relevant Option Securities, as the case may be, either the (i) Representatives or (ii) the Company shall have the right to postpone the Closing Time or the relevant Date of Delivery, as the case may be, for a period not exceeding seven days in order to effect any required changes in the Registration Statement, the General Disclosure Package or the Prospectus or in any other documents or arrangements. As used herein, the term “</w:t>
      </w:r>
      <w:r>
        <w:rPr>
          <w:rFonts w:ascii="Times New Roman" w:cs="Times New Roman" w:eastAsia="Times New Roman" w:hAnsi="Times New Roman"/>
          <w:sz w:val="18"/>
          <w:szCs w:val="18"/>
          <w:u w:val="single" w:color="auto"/>
          <w:color w:val="auto"/>
        </w:rPr>
        <w:t>Underwriter</w:t>
      </w:r>
      <w:r>
        <w:rPr>
          <w:rFonts w:ascii="Times New Roman" w:cs="Times New Roman" w:eastAsia="Times New Roman" w:hAnsi="Times New Roman"/>
          <w:sz w:val="18"/>
          <w:szCs w:val="18"/>
          <w:color w:val="auto"/>
        </w:rPr>
        <w:t>” includes any person substituted for an Underwriter under this Section 11.</w:t>
      </w:r>
    </w:p>
    <w:p>
      <w:pPr>
        <w:spacing w:after="0" w:line="188"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and other communications hereunder shall be in writing and shall be deemed to have been duly given if mailed or transmitted by any standard form of telecommunication. Notices to the Underwriters shall be directed to the Representatives at: (i) Merrill Lynch, Pierce, Fenner &amp; Smith Incorporated, One Bryant Park, New York, New York 10036, attention of Syndicate Department (Fax: (646) 855-3073), with a copy to ECM Legal (Fax: (212) 230-8730), (ii) J.P. Morgan Securities LLC, 383 Madison Avenue, New York, New York 10179, attention of Equity Syndicate Desk (Fax:</w:t>
      </w:r>
    </w:p>
    <w:p>
      <w:pPr>
        <w:spacing w:after="0" w:line="3" w:lineRule="exact"/>
        <w:rPr>
          <w:sz w:val="20"/>
          <w:szCs w:val="20"/>
          <w:color w:val="auto"/>
        </w:rPr>
      </w:pPr>
    </w:p>
    <w:p>
      <w:pPr>
        <w:ind w:right="20" w:firstLine="8"/>
        <w:spacing w:after="0" w:line="234" w:lineRule="auto"/>
        <w:tabs>
          <w:tab w:leader="none" w:pos="43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622-8358) and (iii) Barclays Capital Inc., 745 Seventh Avenue, New York, New York 10019, attention of Syndicate Registration (Fax: (646) 834-8133); notices to the Transaction Entities or the Manager shall be directed to them at: c/o iStar Inc., 1114 Avenue of the Americas, New York, New York 10036, attention of Nina B. Matis, Chief Investment and Legal Officer (Fax: (212) 930-9494), with a copy to Clifford Chance US LLP, 31 W. 52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Street, New York, New York 10019, attention of Kathleen L. Werner (Fax: (212) 878-8375).</w:t>
      </w:r>
    </w:p>
    <w:p>
      <w:pPr>
        <w:spacing w:after="0" w:line="19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No Advisory or Fiduciary Relationship</w:t>
      </w:r>
      <w:r>
        <w:rPr>
          <w:rFonts w:ascii="Times New Roman" w:cs="Times New Roman" w:eastAsia="Times New Roman" w:hAnsi="Times New Roman"/>
          <w:sz w:val="18"/>
          <w:szCs w:val="18"/>
          <w:color w:val="auto"/>
        </w:rPr>
        <w:t>. Each of the Transaction Entities and the Manager acknowledges and agrees that (a) the purchase and sale of the Securities pursuant to this Agreement, including the determination of the initial public offering price of the Securities and any related discounts and commissions, is an arm’s-length commercial transaction between the Transaction Entities and the Manager, on the one hand, and the several Underwriters, on the other hand, (b) in connection with the offering of the Securities and the process leading thereto, each Underwriter is and has been acting solely as a principal and is not the agent or fiduciary of either of the Transaction Entities or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Manager or any of their respective subsidiaries or their respective stockholders, unitholders, creditors, employees or any other party, (c) no Underwriter has assumed or will assume an advisory or fiduciary responsibility in favor of the Transaction Entities or the Manager with respect to the offering of the Securities or the process leading thereto (irrespective of whether such Underwriter has advised or is currently advising either of the Transaction Entities or the Manager or any of their respective affiliates or subsidiaries on other matters) and no Underwriter has any obligation to the Transaction Entities or the Manager with respect to the offering of the Securities except the obligations expressly set forth in this Agreement, (d) the Underwriters and their respective affiliates may be engaged in a broad range of transactions that involve interests that differ from those of either of the Transaction Entities or the Manager, and</w:t>
      </w:r>
    </w:p>
    <w:p>
      <w:pPr>
        <w:ind w:right="180" w:firstLine="8"/>
        <w:spacing w:after="0" w:line="261" w:lineRule="auto"/>
        <w:tabs>
          <w:tab w:leader="none" w:pos="24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have not provided any business, legal, accounting, regulatory or tax advice with respect to the offering of the Securities and each of the Transaction Entities and the Manager has consulted its own business, legal, accounting, regulatory and tax advisors to the extent it deemed appropriate.</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This Agreement shall inure to the benefit of and be binding upon the Underwriters, the Transaction Entities and the Manager and their respective successors. Nothing expressed or mentioned in this Agreement is intended or shall be construed to give any person, firm or corporation, other than the Underwriters, the Transaction Entities and the Manager and their respective successors and the Affiliates, selling agents, controlling persons and officers and directors referred to in Sections 7 and 8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the Transaction Entities and the Manager and their respective successors, and said Affiliates, selling agents, controlling persons and officers and directors and their heirs and legal representatives, and for the benefit of no other person, firm or corporation. No purchaser of Securities from any Underwriter shall be deemed to be a successor solely by reason of such purchase.</w:t>
      </w:r>
    </w:p>
    <w:p>
      <w:pPr>
        <w:spacing w:after="0" w:line="18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Trial by Jury</w:t>
      </w:r>
      <w:r>
        <w:rPr>
          <w:rFonts w:ascii="Times New Roman" w:cs="Times New Roman" w:eastAsia="Times New Roman" w:hAnsi="Times New Roman"/>
          <w:sz w:val="18"/>
          <w:szCs w:val="18"/>
          <w:color w:val="auto"/>
        </w:rPr>
        <w:t>. Each of the Transaction Entities and the Manager (on its behalf and, to the extent permitted by applicable law, on behalf of its stockholders or unitholders, as applicable,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76"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CLAIM, CONTROVERSY OR DISPUTE ARISING UNDER OR RELATED TO THIS AGREEMENT SHALL BE GOVERNED BY, AND CONSTRUED IN ACCORDANCE WITH, THE LAWS OF THE STATE OF NEW YORK WITHOUT REGARD TO ITS CHOICE OF LAW PROVISIONS.</w:t>
      </w:r>
    </w:p>
    <w:p>
      <w:pPr>
        <w:spacing w:after="0" w:line="17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TIME</w:t>
      </w:r>
      <w:r>
        <w:rPr>
          <w:rFonts w:ascii="Times New Roman" w:cs="Times New Roman" w:eastAsia="Times New Roman" w:hAnsi="Times New Roman"/>
          <w:sz w:val="18"/>
          <w:szCs w:val="18"/>
          <w:color w:val="auto"/>
        </w:rPr>
        <w:t>. TIME SHALL BE OF THE ESSENCE OF THIS AGREEMENT. EXCEPT AS OTHERWISE SET FORTH HEREIN, SPECIFIED TIMES OF DAY REFER TO NEW YORK CITY TIME.</w:t>
      </w:r>
    </w:p>
    <w:p>
      <w:pPr>
        <w:spacing w:after="0" w:line="162"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Partial Unenforceability</w:t>
      </w:r>
      <w:r>
        <w:rPr>
          <w:rFonts w:ascii="Times New Roman" w:cs="Times New Roman" w:eastAsia="Times New Roman" w:hAnsi="Times New Roman"/>
          <w:sz w:val="18"/>
          <w:szCs w:val="18"/>
          <w:color w:val="auto"/>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0"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to be an original, but all such counterparts shall together constitute one and the same Agreement.</w:t>
      </w:r>
    </w:p>
    <w:p>
      <w:pPr>
        <w:sectPr>
          <w:pgSz w:w="11900" w:h="16838" w:orient="portrait"/>
          <w:cols w:equalWidth="0" w:num="1">
            <w:col w:w="11420"/>
          </w:cols>
          <w:pgMar w:left="240" w:top="121" w:right="239" w:bottom="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31" w:name="page32"/>
    <w:bookmarkEnd w:id="31"/>
    <w:p>
      <w:pPr>
        <w:spacing w:after="0" w:line="89" w:lineRule="exact"/>
        <w:rPr>
          <w:sz w:val="20"/>
          <w:szCs w:val="20"/>
          <w:color w:val="auto"/>
        </w:rPr>
      </w:pPr>
    </w:p>
    <w:p>
      <w:pPr>
        <w:jc w:val="center"/>
        <w:ind w:right="140"/>
        <w:spacing w:after="0"/>
        <w:tabs>
          <w:tab w:leader="none" w:pos="260" w:val="left"/>
        </w:tabs>
        <w:rPr>
          <w:sz w:val="20"/>
          <w:szCs w:val="20"/>
          <w:color w:val="auto"/>
        </w:rPr>
      </w:pPr>
      <w:r>
        <w:rPr>
          <w:rFonts w:ascii="Times New Roman" w:cs="Times New Roman" w:eastAsia="Times New Roman" w:hAnsi="Times New Roman"/>
          <w:sz w:val="18"/>
          <w:szCs w:val="18"/>
          <w:color w:val="auto"/>
        </w:rPr>
        <w:t>SECTION 20.</w:t>
      </w:r>
      <w:r>
        <w:rPr>
          <w:sz w:val="20"/>
          <w:szCs w:val="20"/>
          <w:color w:val="auto"/>
        </w:rPr>
        <w:tab/>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the Transaction Entities and the Manger a counterpart hereof, whereupon this instrument, along with all counterparts, will become a valid and legally binding agreement among the Underwriters, the Transaction Entities and the Manager in accordance with its terms.</w:t>
      </w:r>
    </w:p>
    <w:p>
      <w:pPr>
        <w:spacing w:after="0" w:line="17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SAFETY, INCOME AND GROWTH, INC.</w:t>
      </w:r>
    </w:p>
    <w:p>
      <w:pPr>
        <w:spacing w:after="0" w:line="225"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33445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SAFETY INCOME AND GROWTH OPERATING PARTNERSHIP LP</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Safety, Income and Growth, Inc., as General Partner</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33445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SFTY MANAGER LLC</w:t>
      </w:r>
    </w:p>
    <w:p>
      <w:pPr>
        <w:spacing w:after="0" w:line="225"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33445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AND ACCEPTED,</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MERRILL LYNCH, PIERCE, FENNER &amp; SMITH</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INCORPORATED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-130810</wp:posOffset>
            </wp:positionV>
            <wp:extent cx="329311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-130810</wp:posOffset>
            </wp:positionV>
            <wp:extent cx="32931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-130810</wp:posOffset>
            </wp:positionV>
            <wp:extent cx="329311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themselves and as Representatives of the other Underwriters named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SCHEDULE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initial public offering price per share for the Securities shall be $[·].</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purchase price per share for the Securities to be paid by the several Underwriters shall be $[·], being an amount equal to the initial public offering price set forth above less $[·] per share, subject to adjustment in accordance with Section 2(b) for distributions declared by the Company and payable on the Initial Securities but not payable on the Option Securities.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Underwriter</w:t>
            </w:r>
          </w:p>
        </w:tc>
        <w:tc>
          <w:tcPr>
            <w:tcW w:w="5420" w:type="dxa"/>
            <w:vAlign w:val="bottom"/>
          </w:tcPr>
          <w:p>
            <w:pPr>
              <w:jc w:val="center"/>
              <w:ind w:left="43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90"/>
        </w:trPr>
        <w:tc>
          <w:tcPr>
            <w:tcW w:w="5720" w:type="dxa"/>
            <w:vAlign w:val="bottom"/>
            <w:vMerge w:val="continue"/>
          </w:tcPr>
          <w:p>
            <w:pPr>
              <w:spacing w:after="0"/>
              <w:rPr>
                <w:sz w:val="16"/>
                <w:szCs w:val="16"/>
                <w:color w:val="auto"/>
              </w:rPr>
            </w:pPr>
          </w:p>
        </w:tc>
        <w:tc>
          <w:tcPr>
            <w:tcW w:w="5420" w:type="dxa"/>
            <w:vAlign w:val="bottom"/>
          </w:tcPr>
          <w:p>
            <w:pPr>
              <w:jc w:val="center"/>
              <w:ind w:left="4328"/>
              <w:spacing w:after="0"/>
              <w:rPr>
                <w:sz w:val="20"/>
                <w:szCs w:val="20"/>
                <w:color w:val="auto"/>
              </w:rPr>
            </w:pPr>
            <w:r>
              <w:rPr>
                <w:rFonts w:ascii="Times New Roman" w:cs="Times New Roman" w:eastAsia="Times New Roman" w:hAnsi="Times New Roman"/>
                <w:sz w:val="14"/>
                <w:szCs w:val="14"/>
                <w:b w:val="1"/>
                <w:bCs w:val="1"/>
                <w:color w:val="auto"/>
              </w:rPr>
              <w:t>Initial Securities</w:t>
            </w:r>
          </w:p>
        </w:tc>
        <w:tc>
          <w:tcPr>
            <w:tcW w:w="0" w:type="dxa"/>
            <w:vAlign w:val="bottom"/>
          </w:tcPr>
          <w:p>
            <w:pPr>
              <w:spacing w:after="0"/>
              <w:rPr>
                <w:sz w:val="1"/>
                <w:szCs w:val="1"/>
                <w:color w:val="auto"/>
              </w:rPr>
            </w:pPr>
          </w:p>
        </w:tc>
      </w:tr>
    </w:tbl>
    <w:p>
      <w:pPr>
        <w:sectPr>
          <w:pgSz w:w="11900" w:h="16928" w:orient="portrait"/>
          <w:cols w:equalWidth="0" w:num="1">
            <w:col w:w="11300"/>
          </w:cols>
          <w:pgMar w:left="240" w:top="580" w:right="359" w:bottom="0" w:gutter="0" w:footer="0" w:header="0"/>
        </w:sectPr>
      </w:pPr>
    </w:p>
    <w:bookmarkStart w:id="32" w:name="page33"/>
    <w:bookmarkEnd w:id="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1780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Merrill Lynch, Pierce, Fenner &amp; Smith</w:t>
            </w: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99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Incorporated</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994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9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B-1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Pricing Terms</w:t>
      </w:r>
    </w:p>
    <w:p>
      <w:pPr>
        <w:spacing w:after="0" w:line="225"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selling [·] shares of Common Stock.</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granted an option to the Underwriters, severally and not jointly, to purchase up to an additional [·] shares of Common Stock.</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per share for the Securities shall be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 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List of Persons and Entities Subject to Lock-up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Name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iStar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SFTY Venture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SFTY VII-B,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Jay Sugarman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Nina B. Matis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Geoffrey G. Jervis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Dean S. Adler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 Josephs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Jay S. Nydick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Stefan M. Selig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Merrill Lynch, Pierce, Fenner &amp; Smith</w:t>
      </w:r>
    </w:p>
    <w:p>
      <w:pPr>
        <w:spacing w:after="0" w:line="2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as Representatives of the several</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Underwriters to be named in the</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within-mentioned Underwriting Agreement</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Proposed Public Offering by Safety, Income and Growth, Inc.</w:t>
      </w:r>
    </w:p>
    <w:p>
      <w:pPr>
        <w:sectPr>
          <w:pgSz w:w="11900" w:h="16838" w:orient="portrait"/>
          <w:cols w:equalWidth="0" w:num="1">
            <w:col w:w="11420"/>
          </w:cols>
          <w:pgMar w:left="240" w:top="360" w:right="239" w:bottom="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a stockholder, officer and/or director of Safety, Income and Growth, Inc., a Maryland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understands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Merrill Lynch, Pierce, Fenner &amp; Smith Incorporated, J.P. Morgan Securities LLC and Barclays Capital Inc. (together, 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propose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 into an Underwriting Agreement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with the Company, Safety Income and Growth Operating Partnership LP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Operating Partnership</w:t>
      </w:r>
      <w:r>
        <w:rPr>
          <w:rFonts w:ascii="Times New Roman" w:cs="Times New Roman" w:eastAsia="Times New Roman" w:hAnsi="Times New Roman"/>
          <w:sz w:val="17"/>
          <w:szCs w:val="17"/>
          <w:color w:val="auto"/>
        </w:rPr>
        <w:t>”) and SFTY Manager LLC providing for the public offering of the Company’s shares of common stock, $0.01 par value per share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In recognition of the benefit that such an offering will confer upon the undersigned as a stockholder, officer and/or director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for other good and valuable consideration, the receipt and sufficiency of which are hereby acknowledged, the undersigned agrees with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 to be named in the Underwriting Agreement that, during the period beginning on the date hereof and ending on the date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is 180 days from the date of the Underwriting Agreement, the undersigned will not, without the prior written consent of the Representatives, (i) directly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indirectly, offer, pledge, sell, contract to sell, sell any option or contract to purchase, purchase any option or contract to sell, grant any option, right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to purchase or lend or otherwise transfer or dispose of any shares of Common Stock or any securities convertible into or exercisable or exchangeable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shares of Common Stock (including, without limitation, units of limited partnership interest in the Operating Partnership), whether now owned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hereafter acquired by the undersigned or with respect to which the undersigned has or hereafter acquires the power of disposition (collectively, the “</w:t>
      </w:r>
      <w:r>
        <w:rPr>
          <w:rFonts w:ascii="Times New Roman" w:cs="Times New Roman" w:eastAsia="Times New Roman" w:hAnsi="Times New Roman"/>
          <w:sz w:val="18"/>
          <w:szCs w:val="18"/>
          <w:u w:val="single" w:color="auto"/>
          <w:color w:val="auto"/>
        </w:rPr>
        <w:t>Lock-Up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or exercise any right with respect to the registration of any of the Lock-Up Securities or cause to be filed any registration statement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therewith, under the Securities Act of 1933, as amended, or publicly announce the intention to do any of the foregoing or (ii) enter into any swap or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or any transaction that transfers, in whole or in part, directly or indirectly, the economic consequence of ownership of the Lock-Up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any such swap,</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agreement or transaction is to be settled by delivery of shares of Common Stock or other securities, in cash or otherwise.</w:t>
      </w:r>
    </w:p>
    <w:p>
      <w:pPr>
        <w:spacing w:after="0" w:line="22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and subject to the conditions below, the undersigned may transfer the Lock-Up Securities without the prior written consent of the Representatives, provided that (1) the Representatives receive a signed lock-up agreement for the balance of the period prior to the Expiration Date from each donee, trustee, distributee, or transferee, as the case may be, (2) any such transfer shall not involve a disposition for value, (3) such transfers are not required to be reported with the Securities and Exchange Commission on Form 4 in accordance with Section 16 of the Securities Exchange Act of 1934, as amended, and (4) the undersigned does not otherwise voluntarily effect any public filing or report regarding such transfers:</w:t>
      </w:r>
    </w:p>
    <w:p>
      <w:pPr>
        <w:spacing w:after="0" w:line="182" w:lineRule="exact"/>
        <w:rPr>
          <w:sz w:val="20"/>
          <w:szCs w:val="20"/>
          <w:color w:val="auto"/>
        </w:rPr>
      </w:pPr>
    </w:p>
    <w:p>
      <w:pPr>
        <w:ind w:left="1320" w:hanging="66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 or</w:t>
      </w:r>
    </w:p>
    <w:p>
      <w:pPr>
        <w:spacing w:after="0" w:line="227" w:lineRule="exact"/>
        <w:rPr>
          <w:rFonts w:ascii="Times New Roman" w:cs="Times New Roman" w:eastAsia="Times New Roman" w:hAnsi="Times New Roman"/>
          <w:sz w:val="18"/>
          <w:szCs w:val="18"/>
          <w:color w:val="auto"/>
        </w:rPr>
      </w:pPr>
    </w:p>
    <w:p>
      <w:pPr>
        <w:ind w:left="1300" w:right="300" w:hanging="644"/>
        <w:spacing w:after="0" w:line="282" w:lineRule="auto"/>
        <w:tabs>
          <w:tab w:leader="none" w:pos="133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trust for the direct or indirect benefit of the undersigned or the immediate family of the undersigned (for purposes of this lock-up agreement, “immediate family” shall mean any relationship by blood, marriage or adoption, not more remote than first cousin); or</w:t>
      </w:r>
    </w:p>
    <w:p>
      <w:pPr>
        <w:spacing w:after="0" w:line="161"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distribution to limited partners, members or stockholders of the undersigned; or</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undersigned’s affiliates or to any investment fund or other entity controlled or managed by the undersigned.</w:t>
      </w:r>
    </w:p>
    <w:p>
      <w:pPr>
        <w:spacing w:after="0" w:line="225"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undersigned also agrees and consents to the entry of stop transfer instructions with the Company’s transfer agent and registrar against the transfer of the Lock-Up Securities except in compliance with the foregoing restrictions.</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THIS LOCK-UP AGREEMENT AND ANY CLAIM, CONTROVERSY OR DISPUTE ARISING UNDER OR RELATED TO THIS LOCK-UP AGREEMENT SHALL BE GOVERNED BY, AND CONSTRUED IN ACCORDANCE WITH, THE LAWS OF THE STATE OF NEW YORK WITHOUT REGARD TO ITS CHOICE OF LAW PROVISIONS.</w:t>
      </w:r>
    </w:p>
    <w:p>
      <w:pPr>
        <w:spacing w:after="0" w:line="17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4396105</wp:posOffset>
            </wp:positionH>
            <wp:positionV relativeFrom="paragraph">
              <wp:posOffset>17145</wp:posOffset>
            </wp:positionV>
            <wp:extent cx="28555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4396105</wp:posOffset>
            </wp:positionH>
            <wp:positionV relativeFrom="paragraph">
              <wp:posOffset>17145</wp:posOffset>
            </wp:positionV>
            <wp:extent cx="28555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4" w:name="page35"/>
    <w:bookmarkEnd w:id="34"/>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REVERSE FOR IMPORTANT NOTICE ON TRANSFER RESTRICTIONS AND OTHER INFORMATION</w:t>
      </w:r>
    </w:p>
    <w:p>
      <w:pPr>
        <w:spacing w:after="0" w:line="225" w:lineRule="exact"/>
        <w:rPr>
          <w:sz w:val="20"/>
          <w:szCs w:val="20"/>
          <w:color w:val="auto"/>
        </w:rPr>
      </w:pPr>
    </w:p>
    <w:p>
      <w:pPr>
        <w:ind w:left="800"/>
        <w:spacing w:after="0"/>
        <w:tabs>
          <w:tab w:leader="none" w:pos="4960" w:val="left"/>
          <w:tab w:leader="none" w:pos="990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COMMON STOCK</w:t>
      </w:r>
      <w:r>
        <w:rPr>
          <w:sz w:val="20"/>
          <w:szCs w:val="20"/>
          <w:color w:val="auto"/>
        </w:rPr>
        <w:tab/>
      </w:r>
      <w:r>
        <w:rPr>
          <w:rFonts w:ascii="Times New Roman" w:cs="Times New Roman" w:eastAsia="Times New Roman" w:hAnsi="Times New Roman"/>
          <w:sz w:val="17"/>
          <w:szCs w:val="17"/>
          <w:b w:val="1"/>
          <w:bCs w:val="1"/>
          <w:color w:val="auto"/>
        </w:rPr>
        <w:t>SHARES</w:t>
      </w:r>
    </w:p>
    <w:p>
      <w:pPr>
        <w:spacing w:after="0" w:line="225" w:lineRule="exact"/>
        <w:rPr>
          <w:sz w:val="20"/>
          <w:szCs w:val="20"/>
          <w:color w:val="auto"/>
        </w:rPr>
      </w:pPr>
    </w:p>
    <w:p>
      <w:pPr>
        <w:ind w:left="960"/>
        <w:spacing w:after="0"/>
        <w:tabs>
          <w:tab w:leader="none" w:pos="3640" w:val="left"/>
          <w:tab w:leader="none" w:pos="9960" w:val="left"/>
          <w:tab w:leader="none" w:pos="10380" w:val="left"/>
        </w:tabs>
        <w:rPr>
          <w:sz w:val="20"/>
          <w:szCs w:val="20"/>
          <w:color w:val="auto"/>
        </w:rPr>
      </w:pP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8"/>
          <w:szCs w:val="18"/>
          <w:b w:val="1"/>
          <w:bCs w:val="1"/>
          <w:color w:val="auto"/>
        </w:rPr>
        <w:t>Incorporated under the Laws of the State of Maryland</w:t>
      </w:r>
      <w:r>
        <w:rPr>
          <w:sz w:val="20"/>
          <w:szCs w:val="20"/>
          <w:color w:val="auto"/>
        </w:rPr>
        <w:tab/>
      </w:r>
      <w:r>
        <w:rPr>
          <w:rFonts w:ascii="Times New Roman" w:cs="Times New Roman" w:eastAsia="Times New Roman" w:hAnsi="Times New Roman"/>
          <w:sz w:val="18"/>
          <w:szCs w:val="18"/>
          <w:b w:val="1"/>
          <w:bCs w:val="1"/>
          <w:color w:val="auto"/>
        </w:rPr>
        <w:t>**</w:t>
        <w:tab/>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Safety, Income and Growth,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Corporation is Authorized to Issue 400,000,000 Shares of 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 Value $0.01 Per Share</w:t>
      </w:r>
    </w:p>
    <w:p>
      <w:pPr>
        <w:spacing w:after="0" w:line="203" w:lineRule="exact"/>
        <w:rPr>
          <w:sz w:val="20"/>
          <w:szCs w:val="20"/>
          <w:color w:val="auto"/>
        </w:rPr>
      </w:pPr>
    </w:p>
    <w:p>
      <w:pPr>
        <w:spacing w:after="0"/>
        <w:tabs>
          <w:tab w:leader="none" w:pos="8440" w:val="left"/>
        </w:tabs>
        <w:rPr>
          <w:sz w:val="20"/>
          <w:szCs w:val="20"/>
          <w:color w:val="auto"/>
        </w:rPr>
      </w:pPr>
      <w:r>
        <w:rPr>
          <w:rFonts w:ascii="Times New Roman" w:cs="Times New Roman" w:eastAsia="Times New Roman" w:hAnsi="Times New Roman"/>
          <w:sz w:val="18"/>
          <w:szCs w:val="18"/>
          <w:b w:val="1"/>
          <w:bCs w:val="1"/>
          <w:color w:val="auto"/>
        </w:rPr>
        <w:t>This certifies that</w:t>
      </w:r>
      <w:r>
        <w:rPr>
          <w:sz w:val="20"/>
          <w:szCs w:val="20"/>
          <w:color w:val="auto"/>
        </w:rPr>
        <w:tab/>
      </w:r>
      <w:r>
        <w:rPr>
          <w:rFonts w:ascii="Times New Roman" w:cs="Times New Roman" w:eastAsia="Times New Roman" w:hAnsi="Times New Roman"/>
          <w:sz w:val="18"/>
          <w:szCs w:val="18"/>
          <w:b w:val="1"/>
          <w:bCs w:val="1"/>
          <w:color w:val="auto"/>
        </w:rPr>
        <w:t>is the owner of</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fully paid and non-assessable Shares of Common Stock, par value $0.01 per Share, of</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Safety, Income and Growth, Inc.</w:t>
      </w:r>
    </w:p>
    <w:p>
      <w:pPr>
        <w:spacing w:after="0" w:line="227"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color w:val="auto"/>
        </w:rPr>
        <w:t xml:space="preserve">(the “Corporation”) </w:t>
      </w:r>
      <w:r>
        <w:rPr>
          <w:rFonts w:ascii="Times New Roman" w:cs="Times New Roman" w:eastAsia="Times New Roman" w:hAnsi="Times New Roman"/>
          <w:sz w:val="18"/>
          <w:szCs w:val="18"/>
          <w:i w:val="1"/>
          <w:iCs w:val="1"/>
          <w:color w:val="auto"/>
        </w:rPr>
        <w:t>transferable on the books of the Corporation by the holder hereof in person or by duly authorized Attorney upon surrender of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Certificate properly endorsed. </w:t>
      </w:r>
      <w:r>
        <w:rPr>
          <w:rFonts w:ascii="Times New Roman" w:cs="Times New Roman" w:eastAsia="Times New Roman" w:hAnsi="Times New Roman"/>
          <w:sz w:val="18"/>
          <w:szCs w:val="18"/>
          <w:color w:val="auto"/>
        </w:rPr>
        <w:t>This Certificate and the shares represented hereby are issued and shall be held subject to all of the provisions of the charter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Corporation (the “Charter”) and the Bylaws of the Corporation and any amendments or supplements thereto</w:t>
      </w:r>
    </w:p>
    <w:p>
      <w:pPr>
        <w:spacing w:after="0" w:line="176" w:lineRule="exact"/>
        <w:rPr>
          <w:sz w:val="20"/>
          <w:szCs w:val="20"/>
          <w:color w:val="auto"/>
        </w:rPr>
      </w:pPr>
    </w:p>
    <w:p>
      <w:pPr>
        <w:ind w:left="660"/>
        <w:spacing w:after="0"/>
        <w:tabs>
          <w:tab w:leader="none" w:pos="23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WITNESS </w:t>
      </w:r>
      <w:r>
        <w:rPr>
          <w:rFonts w:ascii="Times New Roman" w:cs="Times New Roman" w:eastAsia="Times New Roman" w:hAnsi="Times New Roman"/>
          <w:sz w:val="18"/>
          <w:szCs w:val="18"/>
          <w:i w:val="1"/>
          <w:iCs w:val="1"/>
          <w:color w:val="auto"/>
        </w:rPr>
        <w:t>the signature of the Corporation’s duly authorized officers.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-127635</wp:posOffset>
            </wp:positionV>
            <wp:extent cx="36188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-127635</wp:posOffset>
            </wp:positionV>
            <wp:extent cx="36188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IMPORTANT NOTICE</w:t>
      </w:r>
    </w:p>
    <w:p>
      <w:pPr>
        <w:spacing w:after="0" w:line="22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Corporation will furnish to any stockholder, on request and without charge, a full statement of the information required by Section 2-211(b) of the Corporations and Associations Article of the Annotated Code of Maryland with respect to the designations and any preferences, conversion and other rights, voting powers, restrictions, limitations as to dividends and other distributions, qualifications, and terms and conditions of redemption of the stock of each class which the Corporation has authority to issue and, if the Corporation is authorized to issue any preferred or special class in series, (i) the differences in the relative rights and preferences between the shares of each series to the extent set, and (ii) the authority of the Board of Directors to set such rights and preferences of subsequent series. The foregoing summary does not purport to be complete and is subject to and qualified in its entirety by reference to the Charter, a copy of which will be sent without charge to each stockholder who so requests. Such request must be made to the Secretary of the Corporation at its principal office.</w:t>
      </w:r>
    </w:p>
    <w:p>
      <w:pPr>
        <w:spacing w:after="0" w:line="18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The shares represented by this certificate are subject to restrictions on Beneficial Ownership and Constructive Ownership and Transfer for the purpose, among others, of the Corporation’s maintenance of its status as a Real Estate Investment Trust under the Internal Revenue Code of 1986, as amended (the “Code”). Subject to certain further restrictions and except as expressly provided in the Corporation’s Charter, (i) no Person may Beneficially Own or Constructively Own shares of the Corporation’s Common Stock in excess of the Common Stock Ownership Limit unless such Person is an Excepted Holder (in which case the Excepted Holder Limit shall be applicable); (ii) no Person may Beneficially Own or Constructively Own shares of Capital Stock of the Corporation in excess of the Aggregate Stock Ownership Limit, unless such Person is an Excepted Holder (in which case the Excepted Holder Limit shall be applicable); (iii) no Person may Beneficially Own or Constructively Own Capital Stock that would result in the Corporation being “closely held” under Section 856(h) of the Code or otherwise cause the Corporation to fail to qualify as a REIT; and (iv) no Person may Transfer shares of Capital Stock if such Transfer would result in the Capital Stock of the Corporation being owned by fewer than 100 Persons. Any Person who Beneficially Owns or Constructively Owns or attempts or intends to Beneficially Own or Constructively Own shares of Capital Stock which cause or will cause a Person to Beneficially Own or Constructively Own shares of Capital Stock in excess or in violation of the above limitations must immediately notify the Corporation. If any of the restrictions on transfer or ownership provided in (i), (ii) or (iii) above are violated, the shares of Capital Stock in excess or in violation of the above limitations will be automatically transferred to a Trustee of a Trust for the benefit of one or more Charitable Beneficiaries. In addition, the Corporation may redeem shares upon the terms and conditions specified by the Board of Directors in its sole and absolute discretion if the Board of Directors determines that ownership or a Transfer or other event may violate the restrictions described above. Furthermore, if the ownership restrictions provided in (iv) above would be violated or upon the occurrence of certain events, attempted Transfers in violation of the restrictions described above may be void </w:t>
      </w:r>
      <w:r>
        <w:rPr>
          <w:rFonts w:ascii="Times New Roman" w:cs="Times New Roman" w:eastAsia="Times New Roman" w:hAnsi="Times New Roman"/>
          <w:sz w:val="18"/>
          <w:szCs w:val="18"/>
          <w:i w:val="1"/>
          <w:iCs w:val="1"/>
          <w:u w:val="single" w:color="auto"/>
          <w:color w:val="auto"/>
        </w:rPr>
        <w:t>ab initio</w:t>
      </w:r>
      <w:r>
        <w:rPr>
          <w:rFonts w:ascii="Times New Roman" w:cs="Times New Roman" w:eastAsia="Times New Roman" w:hAnsi="Times New Roman"/>
          <w:sz w:val="18"/>
          <w:szCs w:val="18"/>
          <w:i w:val="1"/>
          <w:iCs w:val="1"/>
          <w:color w:val="auto"/>
        </w:rPr>
        <w:t>. All capitalized terms in this legend have the meanings defined in the Charter of the Corporation, as the same may be amended from time to time, a copy of which, including the restrictions on transfer and ownership, will be furnished to each holder of shares of Capital Stock of the Corporation on request and without charge. Requests for such a copy may be directed to the Secretary of the Corporation at its Principal Office.</w:t>
      </w:r>
    </w:p>
    <w:p>
      <w:pPr>
        <w:spacing w:after="0" w:line="19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i w:val="1"/>
          <w:iCs w:val="1"/>
          <w:color w:val="auto"/>
        </w:rPr>
        <w:t>FOR VALUE RECEIVED, does hereby sell, assign and transfer unto ( ) shares of Common Stock of Safety, Income and Growth, Inc., a Maryland corporation (the “</w:t>
      </w:r>
      <w:r>
        <w:rPr>
          <w:rFonts w:ascii="Times New Roman" w:cs="Times New Roman" w:eastAsia="Times New Roman" w:hAnsi="Times New Roman"/>
          <w:sz w:val="18"/>
          <w:szCs w:val="18"/>
          <w:i w:val="1"/>
          <w:iCs w:val="1"/>
          <w:u w:val="single" w:color="auto"/>
          <w:color w:val="auto"/>
        </w:rPr>
        <w:t>Corporation</w:t>
      </w:r>
      <w:r>
        <w:rPr>
          <w:rFonts w:ascii="Times New Roman" w:cs="Times New Roman" w:eastAsia="Times New Roman" w:hAnsi="Times New Roman"/>
          <w:sz w:val="18"/>
          <w:szCs w:val="18"/>
          <w:i w:val="1"/>
          <w:iCs w:val="1"/>
          <w:color w:val="auto"/>
        </w:rPr>
        <w:t>”), standing in the name of the Transferor on the books of said Corporation represented by Certificate No. . The Transferor does hereby irrevocably constitute and appoint any officer of said Corporation as its lawful attorney to transfer the shares of said Corporation, with full power of substitution in the premises.</w:t>
      </w:r>
    </w:p>
    <w:p>
      <w:pPr>
        <w:sectPr>
          <w:pgSz w:w="11900" w:h="16854" w:orient="portrait"/>
          <w:cols w:equalWidth="0" w:num="1">
            <w:col w:w="11420"/>
          </w:cols>
          <w:pgMar w:left="240" w:top="360" w:right="239" w:bottom="0" w:gutter="0" w:footer="0" w:header="0"/>
        </w:sectPr>
      </w:pPr>
    </w:p>
    <w:p>
      <w:pPr>
        <w:spacing w:after="0" w:line="180" w:lineRule="exact"/>
        <w:rPr>
          <w:sz w:val="20"/>
          <w:szCs w:val="20"/>
          <w:color w:val="auto"/>
        </w:rPr>
      </w:pPr>
    </w:p>
    <w:p>
      <w:pPr>
        <w:ind w:left="660"/>
        <w:spacing w:after="0"/>
        <w:tabs>
          <w:tab w:leader="none" w:pos="2080" w:val="left"/>
          <w:tab w:leader="none" w:pos="2480" w:val="left"/>
        </w:tabs>
        <w:rPr>
          <w:sz w:val="20"/>
          <w:szCs w:val="20"/>
          <w:color w:val="auto"/>
        </w:rPr>
      </w:pPr>
      <w:r>
        <w:rPr>
          <w:rFonts w:ascii="Times New Roman" w:cs="Times New Roman" w:eastAsia="Times New Roman" w:hAnsi="Times New Roman"/>
          <w:sz w:val="18"/>
          <w:szCs w:val="18"/>
          <w:i w:val="1"/>
          <w:iCs w:val="1"/>
          <w:color w:val="auto"/>
        </w:rPr>
        <w:t>Dated:</w:t>
      </w:r>
      <w:r>
        <w:rPr>
          <w:sz w:val="20"/>
          <w:szCs w:val="20"/>
          <w:color w:val="auto"/>
        </w:rPr>
        <w:tab/>
      </w: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8"/>
          <w:szCs w:val="18"/>
          <w:i w:val="1"/>
          <w:iCs w:val="1"/>
          <w:color w:val="auto"/>
        </w:rPr>
        <w:t>.</w:t>
      </w:r>
    </w:p>
    <w:p>
      <w:pPr>
        <w:sectPr>
          <w:pgSz w:w="11900" w:h="16854" w:orient="portrait"/>
          <w:cols w:equalWidth="0" w:num="1">
            <w:col w:w="11420"/>
          </w:cols>
          <w:pgMar w:left="240" w:top="360" w:right="239" w:bottom="0" w:gutter="0" w:footer="0" w:header="0"/>
          <w:type w:val="continuous"/>
        </w:sectPr>
      </w:pPr>
    </w:p>
    <w:bookmarkStart w:id="35" w:name="page36"/>
    <w:bookmarkEnd w:id="35"/>
    <w:p>
      <w:pPr>
        <w:ind w:left="1760"/>
        <w:spacing w:after="0"/>
        <w:rPr>
          <w:sz w:val="20"/>
          <w:szCs w:val="20"/>
          <w:color w:val="auto"/>
        </w:rPr>
      </w:pPr>
      <w:r>
        <w:rPr>
          <w:rFonts w:ascii="Times New Roman" w:cs="Times New Roman" w:eastAsia="Times New Roman" w:hAnsi="Times New Roman"/>
          <w:sz w:val="18"/>
          <w:szCs w:val="18"/>
          <w:i w:val="1"/>
          <w:iCs w:val="1"/>
          <w:u w:val="single" w:color="auto"/>
          <w:color w:val="auto"/>
        </w:rPr>
        <w:t>TRANSFEROR</w:t>
      </w:r>
      <w:r>
        <w:rPr>
          <w:rFonts w:ascii="Times New Roman" w:cs="Times New Roman" w:eastAsia="Times New Roman" w:hAnsi="Times New Roman"/>
          <w:sz w:val="18"/>
          <w:szCs w:val="18"/>
          <w:i w:val="1"/>
          <w:iCs w:val="1"/>
          <w:color w:val="auto"/>
        </w:rPr>
        <w:t>:</w:t>
      </w:r>
    </w:p>
    <w:p>
      <w:pPr>
        <w:spacing w:after="0" w:line="22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i w:val="1"/>
          <w:i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1361440</wp:posOffset>
            </wp:positionH>
            <wp:positionV relativeFrom="paragraph">
              <wp:posOffset>18415</wp:posOffset>
            </wp:positionV>
            <wp:extent cx="32588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231140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5" w:right="1440"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5"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CLIFFORD CHANCE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457960" cy="3257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57960" cy="325755"/>
                    </a:xfrm>
                    <a:prstGeom prst="rect">
                      <a:avLst/>
                    </a:prstGeom>
                    <a:noFill/>
                  </pic:spPr>
                </pic:pic>
              </a:graphicData>
            </a:graphic>
          </wp:anchor>
        </w:drawing>
      </w:r>
    </w:p>
    <w:p>
      <w:pPr>
        <w:spacing w:after="0" w:line="20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31 WEST 52ND STREET</w:t>
      </w:r>
    </w:p>
    <w:p>
      <w:pPr>
        <w:spacing w:after="0" w:line="2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NEW YORK, NY 10019-6131</w:t>
      </w:r>
    </w:p>
    <w:p>
      <w:pPr>
        <w:spacing w:after="0" w:line="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TEL +1 212 878 8000</w:t>
      </w:r>
    </w:p>
    <w:p>
      <w:pPr>
        <w:spacing w:after="0" w:line="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FAX +1 212 878 8375</w:t>
      </w:r>
    </w:p>
    <w:p>
      <w:pPr>
        <w:spacing w:after="0" w:line="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www.cliffordchance.com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15,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Safety, Income and Growth,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1114 Avenue of the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We have acted as counsel to Safety, Income and Growth, Inc., (p/k/a SIGI Acquisition, Inc.) a Maryland corporation incorporated on March 9. 2017 (the “Company”), in connection with the Company’s filing of a registration statement on Form S-11 (File No. 333-217224) (together with any amendments thereto, the “Registration Statement”) with the U.S. Securities and Exchange Commission under the Securities Act of 1933, as amended, as of the date hereof. Capitalized terms not otherwise defined herein shall have the meanings ascribed to them in the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rendering the opinions expressed herein, we have examined and, with your permission, relied upon:</w:t>
      </w:r>
    </w:p>
    <w:p>
      <w:pPr>
        <w:spacing w:after="0" w:line="225" w:lineRule="exact"/>
        <w:rPr>
          <w:sz w:val="20"/>
          <w:szCs w:val="20"/>
          <w:color w:val="auto"/>
        </w:rPr>
      </w:pPr>
    </w:p>
    <w:p>
      <w:pPr>
        <w:ind w:left="660" w:right="480" w:hanging="652"/>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of Incorporation of the Company, certified as of its date of formation, March 9, 2017, by the State Department of Assessments and Taxation of the State of Maryland;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of the Company;</w:t>
      </w:r>
    </w:p>
    <w:p>
      <w:pPr>
        <w:spacing w:after="0" w:line="225" w:lineRule="exact"/>
        <w:rPr>
          <w:rFonts w:ascii="Times New Roman" w:cs="Times New Roman" w:eastAsia="Times New Roman" w:hAnsi="Times New Roman"/>
          <w:sz w:val="18"/>
          <w:szCs w:val="18"/>
          <w:color w:val="auto"/>
        </w:rPr>
      </w:pPr>
    </w:p>
    <w:p>
      <w:pPr>
        <w:ind w:left="660" w:right="480" w:hanging="652"/>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Articles of Amendment and Restatement to be entered into upon completion of the Company’s initial public offering (the “IPO Date”);</w:t>
      </w:r>
    </w:p>
    <w:p>
      <w:pPr>
        <w:spacing w:after="0" w:line="161" w:lineRule="exact"/>
        <w:rPr>
          <w:rFonts w:ascii="Times New Roman" w:cs="Times New Roman" w:eastAsia="Times New Roman" w:hAnsi="Times New Roman"/>
          <w:sz w:val="18"/>
          <w:szCs w:val="18"/>
          <w:color w:val="auto"/>
        </w:rPr>
      </w:pPr>
    </w:p>
    <w:p>
      <w:pPr>
        <w:ind w:left="660" w:right="620" w:hanging="652"/>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Amended and Restated Limited Partnership Agreement of Safety Income and Growth Operating Partnership LP, a Delaware limited partnership, (the “Operating Partnership”), to be entered into on the IPO Date;</w:t>
      </w:r>
    </w:p>
    <w:p>
      <w:pPr>
        <w:spacing w:after="0" w:line="161" w:lineRule="exact"/>
        <w:rPr>
          <w:rFonts w:ascii="Times New Roman" w:cs="Times New Roman" w:eastAsia="Times New Roman" w:hAnsi="Times New Roman"/>
          <w:sz w:val="18"/>
          <w:szCs w:val="18"/>
          <w:color w:val="auto"/>
        </w:rPr>
      </w:pPr>
    </w:p>
    <w:p>
      <w:pPr>
        <w:ind w:left="660" w:right="340" w:hanging="652"/>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Representations (the “Certificate of Representations”), dated as of the date hereof, provided to us by the Company, the Operating Partnership and SFTY Manager LLC, a Delaware limited liability company and the manager of the Company (the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CLIFFORD CHANCE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457960" cy="3257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57960" cy="3257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ind w:left="660" w:right="320" w:hanging="652"/>
        <w:spacing w:after="0" w:line="261"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Agreement, dated as of April 14, 2017, between the Company and each of iStar Inc., a Maryland corporation (“iStar”), SFTY Venture LLC, a Delaware limited liability company that is an indirect, wholly-owned subsidiary of GIC (Realty) Private Limited (“GICRE”) and SFTY VII-B, LLC, a Delaware limited liability company and a wholly-owned subsidiary of Lubert-Adler, L.P., a Delaware limited partnership (“LA”);</w:t>
      </w:r>
    </w:p>
    <w:p>
      <w:pPr>
        <w:spacing w:after="0" w:line="180" w:lineRule="exact"/>
        <w:rPr>
          <w:rFonts w:ascii="Times New Roman" w:cs="Times New Roman" w:eastAsia="Times New Roman" w:hAnsi="Times New Roman"/>
          <w:sz w:val="18"/>
          <w:szCs w:val="18"/>
          <w:color w:val="auto"/>
        </w:rPr>
      </w:pPr>
    </w:p>
    <w:p>
      <w:pPr>
        <w:jc w:val="both"/>
        <w:ind w:left="660" w:right="160" w:hanging="652"/>
        <w:spacing w:after="0" w:line="266"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and Plan of Merger, dated as of April 14, 2017 between the Company and Safety, Income and Growth, Inc., a Maryland corporation incorporated on October 24, 2016 and a qualified REIT subsidiary (within the meaning of Section 856(i) of the Internal Revenue Code of 1986, as amended (the “Code”)) of iStar (“SFTY QRS”);</w:t>
      </w:r>
    </w:p>
    <w:p>
      <w:pPr>
        <w:spacing w:after="0" w:line="17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Pre-IPO Stockholders Agreement, dated as of April 14, 2017, among the Company, iStar, GICRE, LA and the Manager;</w:t>
      </w:r>
    </w:p>
    <w:p>
      <w:pPr>
        <w:spacing w:after="0" w:line="225" w:lineRule="exact"/>
        <w:rPr>
          <w:rFonts w:ascii="Times New Roman" w:cs="Times New Roman" w:eastAsia="Times New Roman" w:hAnsi="Times New Roman"/>
          <w:sz w:val="18"/>
          <w:szCs w:val="18"/>
          <w:color w:val="auto"/>
        </w:rPr>
      </w:pPr>
    </w:p>
    <w:p>
      <w:pPr>
        <w:ind w:left="660" w:right="200" w:hanging="652"/>
        <w:spacing w:after="0" w:line="282"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Post-IPO Stockholder’s Agreement, dated as of April 14, 2017, between the Company and GICRE and the Post IPO Stockholder’s Agreement, dated as of April 14, 2017, between the Company and LA;</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Agreement, dated as of April 14, 2017, among iStar, GICRE and LA;</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Agreement to be entered into by the Company, the Operating Partnership, the Manager and iStar on the IPO Date;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Exclusivity and Expense Reimbursement Agreement to be entered into by the Company and iStar on the IPO Date;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regarding Ownership Waiver of Ownership Limited to be entered into among GICRE, iStar and the Company on the IPO Date;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 Letter Regarding Ownership of Stock to be provided by each of GICRE and iStar to the Company on the IPO Date;</w:t>
      </w:r>
    </w:p>
    <w:p>
      <w:pPr>
        <w:spacing w:after="0" w:line="225" w:lineRule="exact"/>
        <w:rPr>
          <w:rFonts w:ascii="Times New Roman" w:cs="Times New Roman" w:eastAsia="Times New Roman" w:hAnsi="Times New Roman"/>
          <w:sz w:val="18"/>
          <w:szCs w:val="18"/>
          <w:color w:val="auto"/>
        </w:rPr>
      </w:pPr>
    </w:p>
    <w:p>
      <w:pPr>
        <w:ind w:left="660" w:right="40" w:hanging="652"/>
        <w:spacing w:after="0" w:line="282"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records and instruments as we have deemed necessary in order to enable us to render the opinions referred to in this letter (the items set forth in paragraphs 1 through 16, collectively, the “Transaction Documents”).</w:t>
      </w:r>
    </w:p>
    <w:p>
      <w:pPr>
        <w:sectPr>
          <w:pgSz w:w="11900" w:h="16838" w:orient="portrait"/>
          <w:cols w:equalWidth="0" w:num="1">
            <w:col w:w="11420"/>
          </w:cols>
          <w:pgMar w:left="240" w:top="360" w:right="239" w:bottom="0" w:gutter="0" w:footer="0" w:header="0"/>
        </w:sectPr>
      </w:pPr>
    </w:p>
    <w:bookmarkStart w:id="37" w:name="page38"/>
    <w:bookmarkEnd w:id="37"/>
    <w:p>
      <w:pPr>
        <w:spacing w:after="0" w:line="272" w:lineRule="auto"/>
        <w:rPr>
          <w:sz w:val="20"/>
          <w:szCs w:val="20"/>
          <w:color w:val="auto"/>
        </w:rPr>
      </w:pPr>
      <w:r>
        <w:rPr>
          <w:rFonts w:ascii="Times New Roman" w:cs="Times New Roman" w:eastAsia="Times New Roman" w:hAnsi="Times New Roman"/>
          <w:sz w:val="17"/>
          <w:szCs w:val="17"/>
          <w:color w:val="auto"/>
        </w:rPr>
        <w:t>In our examination of the foregoing documents, we have assumed, with your consent, that (i) all documents reviewed by us are original documents, or true and accurate copies of original documents, and have not been subsequently amended, (ii) the signatures on each original document are genuine, (iii) each party who executed such documents had proper authority and capacity, (iv) all representations and statements set forth in such documents are true and correct,</w:t>
      </w:r>
    </w:p>
    <w:p>
      <w:pPr>
        <w:spacing w:after="0" w:line="2" w:lineRule="exact"/>
        <w:rPr>
          <w:sz w:val="20"/>
          <w:szCs w:val="20"/>
          <w:color w:val="auto"/>
        </w:rPr>
      </w:pPr>
    </w:p>
    <w:p>
      <w:pPr>
        <w:ind w:right="160" w:firstLine="8"/>
        <w:spacing w:after="0" w:line="255" w:lineRule="auto"/>
        <w:tabs>
          <w:tab w:leader="none" w:pos="2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imposed by any such documents on the parties thereto have been or will be performed or satisfied in accordance with their terms, and any obligation contained in any such document that is qualified as to the efforts of a party to such documents will be performed without regard to such qualification and (v) the Company at all times has been and will continue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CLIFFORD CHANCE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457960" cy="3257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57960" cy="3257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to be organized and operated in accordance with the method of operation described in its organizational documents, the Registration Statement and the Certificate of Representations.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purposes of rendering the opinions stated below, we have also assumed, with your consent, the accuracy of the representations contained in the Certificate of Representations provided to us by the Company, the Operating Partnership and the Manager, and that each representation contained in such Certificate of Representations that is qualified as to the best of the knowledge or belief of the Company or its officers, the Manager or its Officers, or the Operating Partnership is accurate and complete without regard to such qualification. These representations generally relate to the organization and proposed method of operation of the Company as a real estate investment trust (a “REIT”) under the Code.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subject to, and limited by the assumptions and qualifications set forth herein and in the Registration Statement, we are of the opinion that:</w:t>
      </w:r>
    </w:p>
    <w:p>
      <w:pPr>
        <w:spacing w:after="0" w:line="225" w:lineRule="exact"/>
        <w:rPr>
          <w:sz w:val="20"/>
          <w:szCs w:val="20"/>
          <w:color w:val="auto"/>
        </w:rPr>
      </w:pPr>
    </w:p>
    <w:p>
      <w:pPr>
        <w:jc w:val="both"/>
        <w:ind w:firstLine="8"/>
        <w:spacing w:after="0" w:line="261" w:lineRule="auto"/>
        <w:tabs>
          <w:tab w:leader="none" w:pos="64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with its taxable year ending December 31, 2017, the Company has been organized and operated in conformity with the requirements for qualification and taxation as a REIT under the Code, and the Company’s proposed method of operation as described in the Registration Statement and as set forth in the Certificate of Representations will enable the Company to continue to meet the requirements for qualification and taxation as a REIT under the Code.</w:t>
      </w:r>
    </w:p>
    <w:p>
      <w:pPr>
        <w:spacing w:after="0" w:line="180" w:lineRule="exact"/>
        <w:rPr>
          <w:rFonts w:ascii="Times New Roman" w:cs="Times New Roman" w:eastAsia="Times New Roman" w:hAnsi="Times New Roman"/>
          <w:sz w:val="18"/>
          <w:szCs w:val="18"/>
          <w:color w:val="auto"/>
        </w:rPr>
      </w:pPr>
    </w:p>
    <w:p>
      <w:pPr>
        <w:jc w:val="both"/>
        <w:ind w:right="80" w:firstLine="8"/>
        <w:spacing w:after="0" w:line="266" w:lineRule="auto"/>
        <w:tabs>
          <w:tab w:leader="none" w:pos="64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discussion set forth under the heading “Certain U.S. Federal Income Tax Considerations” in the Registration Statement, insofar as it purports to describe or summarize applicable U.S. federal income tax law or legal conclusions with respect thereto, is an accurate description or summary in all material respects.</w:t>
      </w:r>
    </w:p>
    <w:p>
      <w:pPr>
        <w:spacing w:after="0" w:line="17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opinions set forth in this letter are based on relevant provisions of the Code, Treasury Regulations promulgated thereunder, interpretations of the foregoing as expressed in court decisions, legislative history, and existing administrative rulings and practices of the Internal Revenue Service (“IRS”) (including its practices and policies in issuing private letter rulings, which are not binding on the IRS except with respect to a taxpayer that receives such a ruling), all as of the date hereof. These provisions and interpretations are subject to change, which may or may not be retroactive in effect, and which may result in modifications of our opinions. Our opinions do not foreclose the possibility of a contrary determination by the IRS or a court of competent jurisdiction, or of a contrary determination by the IRS or the Treasury Department in regulations or rulings issued in the future. In this regard, an opinion of counsel with respect to an issue represents counsel’s best professional judgment with respect to the outcome on the merits with respect to such issue, if such issue were to be litigated, but an opinion is not binding on the IRS or the courts and is not a guarantee that the IRS will not assert a contrary position with respect to such issue or that a court will not sustain such a position asserted by the IRS.</w:t>
      </w:r>
    </w:p>
    <w:p>
      <w:pPr>
        <w:spacing w:after="0" w:line="18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Further, the opinions set forth above represent our conclusions based upon the documents, facts, representations and assumptions referred to above. Any material amendments to such documents, changes in any significant facts or inaccuracy of such representations or assumptions could affect the opinions referred to herein. Moreover, the Company’s qualification and taxation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CLIFFORD CHANCE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457960" cy="3257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57960" cy="3257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a REIT under the Code depends upon the Company’s ability to meet, for each taxable year, through actual annual operating results, requirements under the Code regarding its gross income, assets, distributions and diversity of stock ownership. We have not undertaken to review the Company’s compliance with these requirements on a continuing basis. Accordingly, no assurance can be given that the actual results of the Company’s operations for any single taxable year will satisfy the tests necessary to qualify as or be taxed as a REIT under the Code. In addition, the opinions set forth above do not foreclose the possibility that the Company may have to pay an excise or penalty tax, which could be significant in amount, in order to maintain its REIT qualification. Although we have made such inquiries and performed such investigations as we have deemed necessary to fulfill our professional responsibilities as counsel, we have not undertaken an independent investigation of all of the facts referred to in this letter or the Certificate of Representations, and we note that the Company engages in transactions in connection with which we have not provided legal advice, and of which we may be unaware.</w:t>
      </w:r>
    </w:p>
    <w:p>
      <w:pPr>
        <w:spacing w:after="0" w:line="18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opinions set forth herein are: (i) limited to those matters expressly covered and no opinion is expressed in respect of any other matter; (ii) as of the date hereof; and (iii) rendered by us at the request of the Company.</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with the U.S. Securities and Exchange Commission as an exhibit to the Registration Statement and to the references therein to us. In giving such consent, we do not thereby admit that we are within the category of persons whose consent is required under Section 7 of the Securities Act of 1933, as amended, or the rules and regulations of the U.S. Securities and Exchange Commission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Clifford Chance US LLP</w:t>
      </w:r>
    </w:p>
    <w:p>
      <w:pPr>
        <w:sectPr>
          <w:pgSz w:w="11900" w:h="16838" w:orient="portrait"/>
          <w:cols w:equalWidth="0" w:num="1">
            <w:col w:w="11400"/>
          </w:cols>
          <w:pgMar w:left="240" w:top="121" w:right="259" w:bottom="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9" w:name="page40"/>
    <w:bookmarkEnd w:id="39"/>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DRAFT - June 14,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294640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320040</wp:posOffset>
            </wp:positionV>
            <wp:extent cx="72466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Published CUSIP Number:</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CREDIT AGREEMENT</w:t>
      </w:r>
    </w:p>
    <w:p>
      <w:pPr>
        <w:spacing w:after="0" w:line="229" w:lineRule="exact"/>
        <w:rPr>
          <w:sz w:val="20"/>
          <w:szCs w:val="20"/>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18"/>
          <w:szCs w:val="18"/>
          <w:color w:val="auto"/>
        </w:rPr>
        <w:t>Dated as of June [</w:t>
        <w:tab/>
        <w:t>], 2017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SAFETY, INCOME AND GROWTH,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the Borrower,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SAFETY INCOME AND GROWTH OPERATING PARTNERSHIP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SUBSIDIARIES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SAFETY INCOME AND GROWTH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FROM TIME TO TIME PARTY HERETO,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Guarantors,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 OF AMERICA, N.A.,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BANK OF AMERICA, N.A.</w:t>
      </w:r>
    </w:p>
    <w:p>
      <w:pPr>
        <w:spacing w:after="0" w:line="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JPMORGAN CHASE BANK, N.A.</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BARLCAYS BANK PLC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as L/C Issuers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Other Lenders Party Hereto</w:t>
      </w:r>
    </w:p>
    <w:p>
      <w:pPr>
        <w:spacing w:after="0" w:line="22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MERRILL LYNCH, PIERCE, FENNER &amp; SMITH INCORPORATED</w:t>
      </w:r>
    </w:p>
    <w:p>
      <w:pPr>
        <w:spacing w:after="0" w:line="3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JPMORGAN CHASE BANK, N.A.</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BARLCAYS BANK PLC,</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as Joint Lead Arrangers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MERRILL LYNCH, PIERCE, FENNER &amp; SMITH INCORPORATED,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as 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432435</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9000" w:type="dxa"/>
            <w:vAlign w:val="bottom"/>
          </w:tcPr>
          <w:p>
            <w:pPr>
              <w:spacing w:after="0"/>
              <w:rPr>
                <w:sz w:val="15"/>
                <w:szCs w:val="15"/>
                <w:color w:val="auto"/>
              </w:rPr>
            </w:pPr>
          </w:p>
        </w:tc>
        <w:tc>
          <w:tcPr>
            <w:tcW w:w="9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2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Article I.</w:t>
            </w: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DEFINITIONS AND ACCOUNTING TERMS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14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1.01</w:t>
            </w: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Defined Terms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4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1.02</w:t>
            </w: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4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1.03</w:t>
            </w: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Accounting Terms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4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1.04</w:t>
            </w: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Rounding</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1.05</w:t>
            </w: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Times of Day; Rates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14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1.06</w:t>
            </w: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Letter of Credit Amounts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32"/>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Article II.</w:t>
            </w: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THE COMMITMENTS AND CREDIT EXTENSIONS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14"/>
        </w:trPr>
        <w:tc>
          <w:tcPr>
            <w:tcW w:w="14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2.01</w:t>
            </w: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Committed Loans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4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2.02</w:t>
            </w: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Borrowings, Conversions and Continuations of Committed Loans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4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2.03</w:t>
            </w: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Letters of Credit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4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2.04</w:t>
            </w: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[Intentionally Omitted]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4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2.05</w:t>
            </w: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Prepayments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4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2.06</w:t>
            </w: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Termination or Reduction of Commitments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4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2.07</w:t>
            </w: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Loans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4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2.08</w:t>
            </w: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14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2.09</w:t>
            </w: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Fees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bl>
    <w:p>
      <w:pPr>
        <w:sectPr>
          <w:pgSz w:w="11900" w:h="16857" w:orient="portrait"/>
          <w:cols w:equalWidth="0" w:num="1">
            <w:col w:w="11420"/>
          </w:cols>
          <w:pgMar w:left="240" w:top="360" w:right="239" w:bottom="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2.10</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Computation of Interest and Fees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2.11</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Evidence of Debt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2.12</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Payments Generally; Administrative Agent’s Clawback</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2.13</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Sharing of Payments by Lenders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2.14</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Extension of Maturity Date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2.15</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Increase in Commitments; Addition of Incremental Term Loan Facilities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2.16</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Cash Collateral</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2.17</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Defaulting Lenders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4"/>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2.18</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Inclusions, Exclusions and Removals of Borrowing Base Assets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Article III.</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TAXES, YIELD PROTECTION AND ILLEGALITY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414"/>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3.01</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Taxes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3.02</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Illegality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3.03</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Inability to Determine Rates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3.04</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Increased Costs; Reserves on Eurodollar Rate Loans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3.05</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Compensation for Losses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3.06</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4"/>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3.07</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Survival</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Article IV.</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CONDITIONS PRECEDENT TO CREDIT EXTENSIONS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414"/>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4.01</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Conditions of Effectiveness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4"/>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4.02</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Conditions to all Credit Extensions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Article V.</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432"/>
        </w:trPr>
        <w:tc>
          <w:tcPr>
            <w:tcW w:w="1140" w:type="dxa"/>
            <w:vAlign w:val="bottom"/>
          </w:tcPr>
          <w:p>
            <w:pPr>
              <w:spacing w:after="0"/>
              <w:rPr>
                <w:sz w:val="24"/>
                <w:szCs w:val="24"/>
                <w:color w:val="auto"/>
              </w:rPr>
            </w:pPr>
          </w:p>
        </w:tc>
        <w:tc>
          <w:tcPr>
            <w:tcW w:w="776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i</w:t>
            </w:r>
          </w:p>
        </w:tc>
        <w:tc>
          <w:tcPr>
            <w:tcW w:w="2560" w:type="dxa"/>
            <w:vAlign w:val="bottom"/>
          </w:tcPr>
          <w:p>
            <w:pPr>
              <w:spacing w:after="0"/>
              <w:rPr>
                <w:sz w:val="24"/>
                <w:szCs w:val="24"/>
                <w:color w:val="auto"/>
              </w:rPr>
            </w:pPr>
          </w:p>
        </w:tc>
      </w:tr>
      <w:tr>
        <w:trPr>
          <w:trHeight w:val="132"/>
        </w:trPr>
        <w:tc>
          <w:tcPr>
            <w:tcW w:w="1140" w:type="dxa"/>
            <w:vAlign w:val="bottom"/>
            <w:tcBorders>
              <w:bottom w:val="single" w:sz="8" w:color="808080"/>
            </w:tcBorders>
          </w:tcPr>
          <w:p>
            <w:pPr>
              <w:spacing w:after="0"/>
              <w:rPr>
                <w:sz w:val="11"/>
                <w:szCs w:val="11"/>
                <w:color w:val="auto"/>
              </w:rPr>
            </w:pPr>
          </w:p>
        </w:tc>
        <w:tc>
          <w:tcPr>
            <w:tcW w:w="7760" w:type="dxa"/>
            <w:vAlign w:val="bottom"/>
            <w:tcBorders>
              <w:bottom w:val="single" w:sz="8" w:color="808080"/>
            </w:tcBorders>
          </w:tcPr>
          <w:p>
            <w:pPr>
              <w:spacing w:after="0"/>
              <w:rPr>
                <w:sz w:val="11"/>
                <w:szCs w:val="11"/>
                <w:color w:val="auto"/>
              </w:rPr>
            </w:pPr>
          </w:p>
        </w:tc>
        <w:tc>
          <w:tcPr>
            <w:tcW w:w="2560" w:type="dxa"/>
            <w:vAlign w:val="bottom"/>
            <w:tcBorders>
              <w:bottom w:val="single" w:sz="8" w:color="808080"/>
            </w:tcBorders>
          </w:tcPr>
          <w:p>
            <w:pPr>
              <w:spacing w:after="0"/>
              <w:rPr>
                <w:sz w:val="11"/>
                <w:szCs w:val="11"/>
                <w:color w:val="auto"/>
              </w:rPr>
            </w:pPr>
          </w:p>
        </w:tc>
      </w:tr>
      <w:tr>
        <w:trPr>
          <w:trHeight w:val="762"/>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5.01</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Existence, Qualification and Power</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5.02</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Authorization; No Contravention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5.03</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Governmental Authorization; Other Consents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5.04</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Binding Effect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5.05</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Financial Statements; No Material Adverse Effect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5.06</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Litigation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5.07</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 Default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5.08</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Ownership of Property; Liens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5.09</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Environmental Compliance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5.10</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Insurance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5.11</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Taxes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5.12</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Compliance with ERISA</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5.13</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Subsidiaries; Equity Interests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5.14</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Margin Regulations; Investment Company Act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5.15</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Disclosure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5.16</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Compliance with Laws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5.17</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Taxpayer Identification Number</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5.18</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Anti-Corruption Laws and Sanctions; Anti-Money Laundering</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5.19</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Solvency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5.20</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Offices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5.21</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REIT Status and Stock Exchange Listing</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5.22</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 Burdensome Agreements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5.23</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Collateral Documents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5.24</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Organization Documents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5.25</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Borrowing Base Assets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4"/>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5.26</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EEA Financial Institutions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Article VI.</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AFFIRMATIVE COVENANTS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414"/>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6.01</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Financial Statements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6.02</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Certificates; Other Information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6.03</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Notices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6.04</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Payment of Obligations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6.05</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Preservation of Existence, Etc.</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6.06</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6.07</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Maintenance of Insurance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6.08</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Compliance with Laws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6.09</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Books and Records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6.10</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Inspection Rights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6.11</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Use of Proceeds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6.12</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Springing Mortgage Requirement; Additional Subsidiary Guarantors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6.13</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Anti-Corruption Laws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6.14</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Information Regarding Collateral</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6.15</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Maintenance of REIT Status; Stock Exchange Listing</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4"/>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6.16</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Appraisals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-6562090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-6562090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41" w:name="page42"/>
    <w:bookmarkEnd w:id="41"/>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6.17</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Further Assurances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432"/>
        </w:trPr>
        <w:tc>
          <w:tcPr>
            <w:tcW w:w="1180" w:type="dxa"/>
            <w:vAlign w:val="bottom"/>
          </w:tcPr>
          <w:p>
            <w:pPr>
              <w:spacing w:after="0"/>
              <w:rPr>
                <w:sz w:val="24"/>
                <w:szCs w:val="24"/>
                <w:color w:val="auto"/>
              </w:rPr>
            </w:pPr>
          </w:p>
        </w:tc>
        <w:tc>
          <w:tcPr>
            <w:tcW w:w="7720" w:type="dxa"/>
            <w:vAlign w:val="bottom"/>
          </w:tcPr>
          <w:p>
            <w:pPr>
              <w:ind w:left="4480"/>
              <w:spacing w:after="0"/>
              <w:rPr>
                <w:sz w:val="20"/>
                <w:szCs w:val="20"/>
                <w:color w:val="auto"/>
              </w:rPr>
            </w:pPr>
            <w:r>
              <w:rPr>
                <w:rFonts w:ascii="Times New Roman" w:cs="Times New Roman" w:eastAsia="Times New Roman" w:hAnsi="Times New Roman"/>
                <w:sz w:val="18"/>
                <w:szCs w:val="18"/>
                <w:color w:val="auto"/>
              </w:rPr>
              <w:t>ii</w:t>
            </w:r>
          </w:p>
        </w:tc>
        <w:tc>
          <w:tcPr>
            <w:tcW w:w="2560" w:type="dxa"/>
            <w:vAlign w:val="bottom"/>
          </w:tcPr>
          <w:p>
            <w:pPr>
              <w:spacing w:after="0"/>
              <w:rPr>
                <w:sz w:val="24"/>
                <w:szCs w:val="24"/>
                <w:color w:val="auto"/>
              </w:rPr>
            </w:pPr>
          </w:p>
        </w:tc>
      </w:tr>
      <w:tr>
        <w:trPr>
          <w:trHeight w:val="132"/>
        </w:trPr>
        <w:tc>
          <w:tcPr>
            <w:tcW w:w="1180" w:type="dxa"/>
            <w:vAlign w:val="bottom"/>
            <w:tcBorders>
              <w:bottom w:val="single" w:sz="8" w:color="808080"/>
            </w:tcBorders>
          </w:tcPr>
          <w:p>
            <w:pPr>
              <w:spacing w:after="0"/>
              <w:rPr>
                <w:sz w:val="11"/>
                <w:szCs w:val="11"/>
                <w:color w:val="auto"/>
              </w:rPr>
            </w:pPr>
          </w:p>
        </w:tc>
        <w:tc>
          <w:tcPr>
            <w:tcW w:w="7720" w:type="dxa"/>
            <w:vAlign w:val="bottom"/>
            <w:tcBorders>
              <w:bottom w:val="single" w:sz="8" w:color="808080"/>
            </w:tcBorders>
          </w:tcPr>
          <w:p>
            <w:pPr>
              <w:spacing w:after="0"/>
              <w:rPr>
                <w:sz w:val="11"/>
                <w:szCs w:val="11"/>
                <w:color w:val="auto"/>
              </w:rPr>
            </w:pPr>
          </w:p>
        </w:tc>
        <w:tc>
          <w:tcPr>
            <w:tcW w:w="2560" w:type="dxa"/>
            <w:vAlign w:val="bottom"/>
            <w:tcBorders>
              <w:bottom w:val="single" w:sz="8" w:color="808080"/>
            </w:tcBorders>
          </w:tcPr>
          <w:p>
            <w:pPr>
              <w:spacing w:after="0"/>
              <w:rPr>
                <w:sz w:val="11"/>
                <w:szCs w:val="11"/>
                <w:color w:val="auto"/>
              </w:rPr>
            </w:pPr>
          </w:p>
        </w:tc>
      </w:tr>
      <w:tr>
        <w:trPr>
          <w:trHeight w:val="78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Article VII.</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NEGATIVE COVENANTS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414"/>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7.01</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Liens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7.02</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7.03</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Indebtedness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7.04</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Fundamental Changes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7.05</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Dispositions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7.06</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Payments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7.07</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Nature of Business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7.08</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7.09</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Burdensome Agreements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7.10</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Use of Proceeds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7.11</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Financial Covenants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7.12</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Sanctions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7.13</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Anti-Corruption Laws; Anti-Money Laundering</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7.14</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Amendments, Waivers and Terminations of Certain Agreements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4"/>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7.15</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Accounting Changes; Fiscal Year</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Article VIII.</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EVENTS OF DEFAULT AND REMEDIES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414"/>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8.01</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Events of Default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8.02</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Remedies Upon Event of Default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4"/>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8.03</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Application of Funds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Article IX.</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ADMINISTRATIVE AGENT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414"/>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9.01</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Appointment and Authority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9.02</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Rights as a Lender</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9.03</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Exculpatory Provisions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9.04</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9.05</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Delegation of Duties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9.06</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Resignation of Administrative Agent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9.07</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Non-Reliance on Administrative Agent and Other Lenders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9.08</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 Other Duties, Etc.</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9.09</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Administrative Agent May File Proofs of Claim; Credit Bidding</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4"/>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9.10</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Collateral and Guaranty Matters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Article X.</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MISCELLANEOUS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414"/>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10.01</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Amendments, Etc.</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10.02</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Notices; Effectiveness; Electronic Communication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10.03</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 Waiver; Cumulative Remedies; Enforcement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10.04</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Expenses; Indemnity; Damage Waiver</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10.05</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Payments Set Aside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10.06</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Successors and Assigns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10.07</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Treatment of Certain Information; Confidentiality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10.08</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Right of Setoff</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10.09</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Rate Limitation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4"/>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10.10</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Counterparts; Integration; Effectiveness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432"/>
        </w:trPr>
        <w:tc>
          <w:tcPr>
            <w:tcW w:w="1180" w:type="dxa"/>
            <w:vAlign w:val="bottom"/>
          </w:tcPr>
          <w:p>
            <w:pPr>
              <w:spacing w:after="0"/>
              <w:rPr>
                <w:sz w:val="24"/>
                <w:szCs w:val="24"/>
                <w:color w:val="auto"/>
              </w:rPr>
            </w:pPr>
          </w:p>
        </w:tc>
        <w:tc>
          <w:tcPr>
            <w:tcW w:w="772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iii</w:t>
            </w:r>
          </w:p>
        </w:tc>
        <w:tc>
          <w:tcPr>
            <w:tcW w:w="2560" w:type="dxa"/>
            <w:vAlign w:val="bottom"/>
          </w:tcPr>
          <w:p>
            <w:pPr>
              <w:spacing w:after="0"/>
              <w:rPr>
                <w:sz w:val="24"/>
                <w:szCs w:val="24"/>
                <w:color w:val="auto"/>
              </w:rPr>
            </w:pPr>
          </w:p>
        </w:tc>
      </w:tr>
      <w:tr>
        <w:trPr>
          <w:trHeight w:val="132"/>
        </w:trPr>
        <w:tc>
          <w:tcPr>
            <w:tcW w:w="1180" w:type="dxa"/>
            <w:vAlign w:val="bottom"/>
            <w:tcBorders>
              <w:bottom w:val="single" w:sz="8" w:color="808080"/>
            </w:tcBorders>
          </w:tcPr>
          <w:p>
            <w:pPr>
              <w:spacing w:after="0"/>
              <w:rPr>
                <w:sz w:val="11"/>
                <w:szCs w:val="11"/>
                <w:color w:val="auto"/>
              </w:rPr>
            </w:pPr>
          </w:p>
        </w:tc>
        <w:tc>
          <w:tcPr>
            <w:tcW w:w="7720" w:type="dxa"/>
            <w:vAlign w:val="bottom"/>
            <w:tcBorders>
              <w:bottom w:val="single" w:sz="8" w:color="808080"/>
            </w:tcBorders>
          </w:tcPr>
          <w:p>
            <w:pPr>
              <w:spacing w:after="0"/>
              <w:rPr>
                <w:sz w:val="11"/>
                <w:szCs w:val="11"/>
                <w:color w:val="auto"/>
              </w:rPr>
            </w:pPr>
          </w:p>
        </w:tc>
        <w:tc>
          <w:tcPr>
            <w:tcW w:w="2560" w:type="dxa"/>
            <w:vAlign w:val="bottom"/>
            <w:tcBorders>
              <w:bottom w:val="single" w:sz="8" w:color="808080"/>
            </w:tcBorders>
          </w:tcPr>
          <w:p>
            <w:pPr>
              <w:spacing w:after="0"/>
              <w:rPr>
                <w:sz w:val="11"/>
                <w:szCs w:val="11"/>
                <w:color w:val="auto"/>
              </w:rPr>
            </w:pPr>
          </w:p>
        </w:tc>
      </w:tr>
      <w:tr>
        <w:trPr>
          <w:trHeight w:val="762"/>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10.11</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10.12</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Severability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10.13</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Replacement of Lenders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10.14</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Governing Law; Jurisdiction; Etc.</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10.15</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Waiver of Jury Trial</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10.16</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10.17</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Electronic Execution of Assignments and Certain Other Documents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10.18</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USA PATRIOT Act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10.19</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ENTIRE AGREEMENT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10.20</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Acknowledgement and Consent to Bail-In of EEA Financial Institutions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4"/>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10.21</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Appraisals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Article XI.</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MISCELLANEOUS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414"/>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11.01</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Guaranty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4"/>
        </w:trPr>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11.02</w:t>
            </w:r>
          </w:p>
        </w:tc>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Rights of Lenders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-10034905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-10034905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-2582545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-2582545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21" w:right="199" w:bottom="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16"/>
        </w:trPr>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11.03</w:t>
            </w:r>
          </w:p>
        </w:tc>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Certain Waivers</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11.04</w:t>
            </w:r>
          </w:p>
        </w:tc>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Obligations Independent</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11.05</w:t>
            </w:r>
          </w:p>
        </w:tc>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Subrogation</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11.06</w:t>
            </w:r>
          </w:p>
        </w:tc>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Termination; Reinstatement</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11.07</w:t>
            </w:r>
          </w:p>
        </w:tc>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Subordination</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11.08</w:t>
            </w:r>
          </w:p>
        </w:tc>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Stay of Acceleration</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11.09</w:t>
            </w:r>
          </w:p>
        </w:tc>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Condition of the Borrower</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11.10</w:t>
            </w:r>
          </w:p>
        </w:tc>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Limitations on Enforcement</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11.11</w:t>
            </w:r>
          </w:p>
        </w:tc>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Contribution</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4"/>
        </w:trPr>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11.12</w:t>
            </w:r>
          </w:p>
        </w:tc>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Grade Release</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432"/>
        </w:trPr>
        <w:tc>
          <w:tcPr>
            <w:tcW w:w="12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5960" w:type="dxa"/>
            <w:vAlign w:val="bottom"/>
          </w:tcPr>
          <w:p>
            <w:pPr>
              <w:jc w:val="right"/>
              <w:ind w:right="5590"/>
              <w:spacing w:after="0"/>
              <w:rPr>
                <w:sz w:val="20"/>
                <w:szCs w:val="20"/>
                <w:color w:val="auto"/>
              </w:rPr>
            </w:pPr>
            <w:r>
              <w:rPr>
                <w:rFonts w:ascii="Times New Roman" w:cs="Times New Roman" w:eastAsia="Times New Roman" w:hAnsi="Times New Roman"/>
                <w:sz w:val="18"/>
                <w:szCs w:val="18"/>
                <w:color w:val="auto"/>
              </w:rPr>
              <w:t>iv</w:t>
            </w:r>
          </w:p>
        </w:tc>
      </w:tr>
      <w:tr>
        <w:trPr>
          <w:trHeight w:val="132"/>
        </w:trPr>
        <w:tc>
          <w:tcPr>
            <w:tcW w:w="1200" w:type="dxa"/>
            <w:vAlign w:val="bottom"/>
            <w:tcBorders>
              <w:bottom w:val="single" w:sz="8" w:color="808080"/>
            </w:tcBorders>
          </w:tcPr>
          <w:p>
            <w:pPr>
              <w:spacing w:after="0"/>
              <w:rPr>
                <w:sz w:val="11"/>
                <w:szCs w:val="11"/>
                <w:color w:val="auto"/>
              </w:rPr>
            </w:pPr>
          </w:p>
        </w:tc>
        <w:tc>
          <w:tcPr>
            <w:tcW w:w="4300" w:type="dxa"/>
            <w:vAlign w:val="bottom"/>
            <w:tcBorders>
              <w:bottom w:val="single" w:sz="8" w:color="808080"/>
            </w:tcBorders>
          </w:tcPr>
          <w:p>
            <w:pPr>
              <w:spacing w:after="0"/>
              <w:rPr>
                <w:sz w:val="11"/>
                <w:szCs w:val="11"/>
                <w:color w:val="auto"/>
              </w:rPr>
            </w:pPr>
          </w:p>
        </w:tc>
        <w:tc>
          <w:tcPr>
            <w:tcW w:w="5960" w:type="dxa"/>
            <w:vAlign w:val="bottom"/>
            <w:tcBorders>
              <w:bottom w:val="single" w:sz="8" w:color="808080"/>
            </w:tcBorders>
          </w:tcPr>
          <w:p>
            <w:pPr>
              <w:spacing w:after="0"/>
              <w:rPr>
                <w:sz w:val="11"/>
                <w:szCs w:val="11"/>
                <w:color w:val="auto"/>
              </w:rPr>
            </w:pPr>
          </w:p>
        </w:tc>
      </w:tr>
      <w:tr>
        <w:trPr>
          <w:trHeight w:val="780"/>
        </w:trPr>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SCHEDULES</w:t>
            </w:r>
          </w:p>
        </w:tc>
        <w:tc>
          <w:tcPr>
            <w:tcW w:w="4300" w:type="dxa"/>
            <w:vAlign w:val="bottom"/>
          </w:tcPr>
          <w:p>
            <w:pPr>
              <w:spacing w:after="0"/>
              <w:rPr>
                <w:sz w:val="24"/>
                <w:szCs w:val="24"/>
                <w:color w:val="auto"/>
              </w:rPr>
            </w:pPr>
          </w:p>
        </w:tc>
        <w:tc>
          <w:tcPr>
            <w:tcW w:w="5960" w:type="dxa"/>
            <w:vAlign w:val="bottom"/>
          </w:tcPr>
          <w:p>
            <w:pPr>
              <w:spacing w:after="0"/>
              <w:rPr>
                <w:sz w:val="24"/>
                <w:szCs w:val="24"/>
                <w:color w:val="auto"/>
              </w:rPr>
            </w:pPr>
          </w:p>
        </w:tc>
      </w:tr>
      <w:tr>
        <w:trPr>
          <w:trHeight w:val="414"/>
        </w:trPr>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2.01</w:t>
            </w:r>
          </w:p>
        </w:tc>
        <w:tc>
          <w:tcPr>
            <w:tcW w:w="4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Commitments and Applicable Percentages</w:t>
            </w:r>
          </w:p>
        </w:tc>
        <w:tc>
          <w:tcPr>
            <w:tcW w:w="5960" w:type="dxa"/>
            <w:vAlign w:val="bottom"/>
          </w:tcPr>
          <w:p>
            <w:pPr>
              <w:spacing w:after="0"/>
              <w:rPr>
                <w:sz w:val="24"/>
                <w:szCs w:val="24"/>
                <w:color w:val="auto"/>
              </w:rPr>
            </w:pPr>
          </w:p>
        </w:tc>
      </w:tr>
      <w:tr>
        <w:trPr>
          <w:trHeight w:val="216"/>
        </w:trPr>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2.18</w:t>
            </w:r>
          </w:p>
        </w:tc>
        <w:tc>
          <w:tcPr>
            <w:tcW w:w="4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Collateral and Borrowing Base Assets List</w:t>
            </w:r>
          </w:p>
        </w:tc>
        <w:tc>
          <w:tcPr>
            <w:tcW w:w="5960" w:type="dxa"/>
            <w:vAlign w:val="bottom"/>
          </w:tcPr>
          <w:p>
            <w:pPr>
              <w:spacing w:after="0"/>
              <w:rPr>
                <w:sz w:val="18"/>
                <w:szCs w:val="18"/>
                <w:color w:val="auto"/>
              </w:rPr>
            </w:pPr>
          </w:p>
        </w:tc>
      </w:tr>
      <w:tr>
        <w:trPr>
          <w:trHeight w:val="216"/>
        </w:trPr>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5.12</w:t>
            </w:r>
          </w:p>
        </w:tc>
        <w:tc>
          <w:tcPr>
            <w:tcW w:w="4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Multiemployer Plans/Collective Bargaining Agreements</w:t>
            </w:r>
          </w:p>
        </w:tc>
        <w:tc>
          <w:tcPr>
            <w:tcW w:w="5960" w:type="dxa"/>
            <w:vAlign w:val="bottom"/>
          </w:tcPr>
          <w:p>
            <w:pPr>
              <w:spacing w:after="0"/>
              <w:rPr>
                <w:sz w:val="18"/>
                <w:szCs w:val="18"/>
                <w:color w:val="auto"/>
              </w:rPr>
            </w:pPr>
          </w:p>
        </w:tc>
      </w:tr>
      <w:tr>
        <w:trPr>
          <w:trHeight w:val="234"/>
        </w:trPr>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5.13</w:t>
            </w:r>
          </w:p>
        </w:tc>
        <w:tc>
          <w:tcPr>
            <w:tcW w:w="4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 Equity Interests</w:t>
            </w:r>
          </w:p>
        </w:tc>
        <w:tc>
          <w:tcPr>
            <w:tcW w:w="59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-1210310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-1210310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10.02</w:t>
      </w:r>
      <w:r>
        <w:rPr>
          <w:sz w:val="20"/>
          <w:szCs w:val="20"/>
          <w:color w:val="auto"/>
        </w:rPr>
        <w:tab/>
      </w:r>
      <w:r>
        <w:rPr>
          <w:rFonts w:ascii="Times New Roman" w:cs="Times New Roman" w:eastAsia="Times New Roman" w:hAnsi="Times New Roman"/>
          <w:sz w:val="17"/>
          <w:szCs w:val="17"/>
          <w:color w:val="auto"/>
        </w:rPr>
        <w:t>Administrative Agent’s Office; Certain Addresses for Notices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1320" w:hanging="664"/>
        <w:spacing w:after="0"/>
        <w:tabs>
          <w:tab w:leader="none" w:pos="1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Committed Loan Notice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BForm of Borrowing Base Certificate</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7"/>
          <w:szCs w:val="17"/>
          <w:color w:val="auto"/>
        </w:rPr>
        <w:t>Form of Note</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7"/>
          <w:szCs w:val="17"/>
          <w:color w:val="auto"/>
        </w:rPr>
        <w:t>Form of Compliance Certificate</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EForm of Assignment and Assumption</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F-1</w:t>
      </w:r>
      <w:r>
        <w:rPr>
          <w:rFonts w:ascii="Times New Roman" w:cs="Times New Roman" w:eastAsia="Times New Roman" w:hAnsi="Times New Roman"/>
          <w:sz w:val="17"/>
          <w:szCs w:val="17"/>
          <w:color w:val="auto"/>
        </w:rPr>
        <w:t>Form of Perfection Certificate</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F-2</w:t>
      </w:r>
      <w:r>
        <w:rPr>
          <w:rFonts w:ascii="Times New Roman" w:cs="Times New Roman" w:eastAsia="Times New Roman" w:hAnsi="Times New Roman"/>
          <w:sz w:val="17"/>
          <w:szCs w:val="17"/>
          <w:color w:val="auto"/>
        </w:rPr>
        <w:t>Form of Perfection Certificate Supplement</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7"/>
          <w:szCs w:val="17"/>
          <w:color w:val="auto"/>
        </w:rPr>
        <w:t>Form of U.S. Tax Compliance Certificates</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7"/>
          <w:szCs w:val="17"/>
          <w:color w:val="auto"/>
        </w:rPr>
        <w:t>Form of Joinder Agreement</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ISurvey Requirements</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This CREDIT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June [ ], 2017, among SAFETY, INCOME AND GROWTH, INC., a Maryland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SAFETY INCOME AND GROWTH OPERATING PARTNERSHIP LP, a Delaware limited partnership (the “</w:t>
      </w:r>
      <w:r>
        <w:rPr>
          <w:rFonts w:ascii="Times New Roman" w:cs="Times New Roman" w:eastAsia="Times New Roman" w:hAnsi="Times New Roman"/>
          <w:sz w:val="18"/>
          <w:szCs w:val="18"/>
          <w:u w:val="single" w:color="auto"/>
          <w:color w:val="auto"/>
        </w:rPr>
        <w:t>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Partnership</w:t>
      </w:r>
      <w:r>
        <w:rPr>
          <w:rFonts w:ascii="Times New Roman" w:cs="Times New Roman" w:eastAsia="Times New Roman" w:hAnsi="Times New Roman"/>
          <w:sz w:val="18"/>
          <w:szCs w:val="18"/>
          <w:color w:val="auto"/>
        </w:rPr>
        <w:t>”) and certain subsidiaries of the Operating Partnership from time to time party hereto, as Guarantors, each lender from time to time party hereto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BANK OF AMERICA, N.A., as Administrative Agent, and BANK OF AMERICA, N.A., JPMORGAN CHASE BANK, N.A. and BARCLAYS BANK PLC, as L/C Issuers.</w:t>
      </w:r>
    </w:p>
    <w:p>
      <w:pPr>
        <w:spacing w:after="0" w:line="184"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Borrower has requested that the Lenders provide a revolving credit facility, and the Lenders are willing to do so on the terms and conditions set forth 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consideration of the mutual covenants and agreements herein contained, the parties hereto covenant and agree as follows:</w:t>
      </w:r>
    </w:p>
    <w:p>
      <w:pPr>
        <w:spacing w:after="0" w:line="221" w:lineRule="exact"/>
        <w:rPr>
          <w:sz w:val="20"/>
          <w:szCs w:val="20"/>
          <w:color w:val="auto"/>
        </w:rPr>
      </w:pPr>
    </w:p>
    <w:p>
      <w:pPr>
        <w:jc w:val="center"/>
        <w:ind w:right="4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ARTICLE I.</w:t>
      </w:r>
      <w:r>
        <w:rPr>
          <w:sz w:val="20"/>
          <w:szCs w:val="20"/>
          <w:color w:val="auto"/>
        </w:rPr>
        <w:tab/>
      </w:r>
      <w:r>
        <w:rPr>
          <w:rFonts w:ascii="Times New Roman" w:cs="Times New Roman" w:eastAsia="Times New Roman" w:hAnsi="Times New Roman"/>
          <w:sz w:val="17"/>
          <w:szCs w:val="17"/>
          <w:b w:val="1"/>
          <w:bCs w:val="1"/>
          <w:color w:val="auto"/>
        </w:rPr>
        <w:t>DEFINITIONS AND ACCOUNTING TERMS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8"/>
          <w:szCs w:val="18"/>
          <w:b w:val="1"/>
          <w:bCs w:val="1"/>
          <w:color w:val="auto"/>
        </w:rPr>
        <w:t>Defined Terms</w:t>
      </w:r>
      <w:r>
        <w:rPr>
          <w:rFonts w:ascii="Times New Roman" w:cs="Times New Roman" w:eastAsia="Times New Roman" w:hAnsi="Times New Roman"/>
          <w:sz w:val="18"/>
          <w:szCs w:val="18"/>
          <w:color w:val="auto"/>
        </w:rPr>
        <w:t>. As used in this Agreement, the following terms shall have the meanings set forth below:</w:t>
      </w:r>
    </w:p>
    <w:p>
      <w:pPr>
        <w:spacing w:after="0" w:line="229"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Bank of America in its capacity as administrative agent under any of the Loan Documents, or any successor administrative agent.</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Agent’s Office</w:t>
      </w:r>
      <w:r>
        <w:rPr>
          <w:rFonts w:ascii="Times New Roman" w:cs="Times New Roman" w:eastAsia="Times New Roman" w:hAnsi="Times New Roman"/>
          <w:sz w:val="18"/>
          <w:szCs w:val="18"/>
          <w:color w:val="auto"/>
        </w:rPr>
        <w:t xml:space="preserve">” means the Administrative Agent’s address and, as appropriate, account as set forth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or such other address or account as the Administrative Agent may from time to time notify to the Borrower and the Lenders.</w:t>
      </w:r>
    </w:p>
    <w:p>
      <w:pPr>
        <w:spacing w:after="0" w:line="162"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with respect to each Lender, an administrative questionnaire in the form prepared by the Administrative Agent and submitted to the Administrative Agent (with a copy to the Borrower) duly completed by such Lender.</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as applied to any Person, means any other Person that directly or indirectly Controls, is Controlled by, or is under common Control with, that Person.</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Commitments</w:t>
      </w:r>
      <w:r>
        <w:rPr>
          <w:rFonts w:ascii="Times New Roman" w:cs="Times New Roman" w:eastAsia="Times New Roman" w:hAnsi="Times New Roman"/>
          <w:sz w:val="18"/>
          <w:szCs w:val="18"/>
          <w:color w:val="auto"/>
        </w:rPr>
        <w:t>” means at any time, the aggregate amount of the Commitments of all the Lenders then in effect. On the Closing Date, the Aggregate Commitments are $300,000,000.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Deficit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Excess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w:t>
      </w:r>
    </w:p>
    <w:p>
      <w:pPr>
        <w:sectPr>
          <w:pgSz w:w="11900" w:h="16838" w:orient="portrait"/>
          <w:cols w:equalWidth="0" w:num="1">
            <w:col w:w="11460"/>
          </w:cols>
          <w:pgMar w:left="240" w:top="121" w:right="199" w:bottom="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Credit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laws, rules and regulations of any jurisdiction applicable to the Borrower or any of its Subsidiaries from time to time concerning or relating to bribery or corruption.</w:t>
      </w:r>
    </w:p>
    <w:p>
      <w:pPr>
        <w:spacing w:after="0" w:line="16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means any and all laws, judgments, executive orders, regulations, statutes or treaties applicable to a Loan Party or its Subsidiaries, related to terrorism financing or money laundering including any applicable provision of Title III of the Uniting and Strengthening America by Providing Appropriate Tools Required to Intercept and Obstruct Terrorism Act (USA PATRIOT Act) of 2001 (Title III of Pub. L. 107-56) and The Currency and Foreign Transactions Reporting Act (also known as the “Bank Secrecy Act”, 31 U.S.C. §§ 5311-5330 and 12 U.S.C. §§ 1818(s), 1820(b) and 1951-1959).</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Advance Rate</w:t>
      </w:r>
      <w:r>
        <w:rPr>
          <w:rFonts w:ascii="Times New Roman" w:cs="Times New Roman" w:eastAsia="Times New Roman" w:hAnsi="Times New Roman"/>
          <w:sz w:val="18"/>
          <w:szCs w:val="18"/>
          <w:color w:val="auto"/>
        </w:rPr>
        <w:t>” means (a) with respect to an Eligible Ground Net Lease Asset, 67% and (b) with respect to an Eligible Loan Asset, 60%.</w:t>
      </w:r>
    </w:p>
    <w:p>
      <w:pPr>
        <w:spacing w:after="0" w:line="22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Fee Rate</w:t>
      </w:r>
      <w:r>
        <w:rPr>
          <w:rFonts w:ascii="Times New Roman" w:cs="Times New Roman" w:eastAsia="Times New Roman" w:hAnsi="Times New Roman"/>
          <w:sz w:val="18"/>
          <w:szCs w:val="18"/>
          <w:color w:val="auto"/>
        </w:rPr>
        <w:t>” means, with respect to any day, the per annum fee rate set forth opposite the Revolver Usage for such day in the following pricing grid:</w:t>
      </w:r>
    </w:p>
    <w:p>
      <w:pPr>
        <w:spacing w:after="0" w:line="155" w:lineRule="exact"/>
        <w:rPr>
          <w:sz w:val="20"/>
          <w:szCs w:val="20"/>
          <w:color w:val="auto"/>
        </w:rPr>
      </w:pPr>
    </w:p>
    <w:tbl>
      <w:tblPr>
        <w:tblLayout w:type="fixed"/>
        <w:tblInd w:w="2600" w:type="dxa"/>
        <w:tblCellMar>
          <w:top w:w="0" w:type="dxa"/>
          <w:left w:w="0" w:type="dxa"/>
          <w:bottom w:w="0" w:type="dxa"/>
          <w:right w:w="0" w:type="dxa"/>
        </w:tblCellMar>
      </w:tblPr>
      <w:tr>
        <w:trPr>
          <w:trHeight w:val="173"/>
        </w:trPr>
        <w:tc>
          <w:tcPr>
            <w:tcW w:w="280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Revolver Usage</w:t>
            </w:r>
          </w:p>
        </w:tc>
        <w:tc>
          <w:tcPr>
            <w:tcW w:w="2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Applicable Fee Rate</w:t>
            </w:r>
          </w:p>
        </w:tc>
      </w:tr>
      <w:tr>
        <w:trPr>
          <w:trHeight w:val="169"/>
        </w:trPr>
        <w:tc>
          <w:tcPr>
            <w:tcW w:w="96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gridSpan w:val="2"/>
            <w:shd w:val="clear" w:color="auto" w:fill="CCEEFF"/>
          </w:tcPr>
          <w:p>
            <w:pPr>
              <w:jc w:val="center"/>
              <w:ind w:right="960"/>
              <w:spacing w:after="0" w:line="170" w:lineRule="exact"/>
              <w:rPr>
                <w:sz w:val="20"/>
                <w:szCs w:val="20"/>
                <w:color w:val="auto"/>
              </w:rPr>
            </w:pPr>
            <w:r>
              <w:rPr>
                <w:rFonts w:ascii="Times New Roman" w:cs="Times New Roman" w:eastAsia="Times New Roman" w:hAnsi="Times New Roman"/>
                <w:sz w:val="18"/>
                <w:szCs w:val="18"/>
                <w:b w:val="1"/>
                <w:bCs w:val="1"/>
                <w:color w:val="auto"/>
              </w:rPr>
              <w:t>&lt; 50%</w:t>
            </w:r>
          </w:p>
        </w:tc>
        <w:tc>
          <w:tcPr>
            <w:tcW w:w="360" w:type="dxa"/>
            <w:vAlign w:val="bottom"/>
            <w:tcBorders>
              <w:top w:val="single" w:sz="8" w:color="CCEEFF"/>
            </w:tcBorders>
            <w:shd w:val="clear" w:color="auto" w:fill="CCEEFF"/>
          </w:tcPr>
          <w:p>
            <w:pPr>
              <w:spacing w:after="0"/>
              <w:rPr>
                <w:sz w:val="14"/>
                <w:szCs w:val="14"/>
                <w:color w:val="auto"/>
              </w:rPr>
            </w:pPr>
          </w:p>
        </w:tc>
        <w:tc>
          <w:tcPr>
            <w:tcW w:w="2100" w:type="dxa"/>
            <w:vAlign w:val="bottom"/>
            <w:tcBorders>
              <w:top w:val="single" w:sz="8" w:color="auto"/>
            </w:tcBorders>
            <w:shd w:val="clear" w:color="auto" w:fill="CCEEFF"/>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rPr>
              <w:t>0.25%</w:t>
            </w:r>
          </w:p>
        </w:tc>
        <w:tc>
          <w:tcPr>
            <w:tcW w:w="340" w:type="dxa"/>
            <w:vAlign w:val="bottom"/>
            <w:tcBorders>
              <w:top w:val="single" w:sz="8" w:color="CCEEFF"/>
            </w:tcBorders>
            <w:shd w:val="clear" w:color="auto" w:fill="CCEEFF"/>
          </w:tcPr>
          <w:p>
            <w:pPr>
              <w:spacing w:after="0"/>
              <w:rPr>
                <w:sz w:val="14"/>
                <w:szCs w:val="14"/>
                <w:color w:val="auto"/>
              </w:rPr>
            </w:pPr>
          </w:p>
        </w:tc>
      </w:tr>
      <w:tr>
        <w:trPr>
          <w:trHeight w:val="21"/>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238"/>
        </w:trPr>
        <w:tc>
          <w:tcPr>
            <w:tcW w:w="960" w:type="dxa"/>
            <w:vAlign w:val="bottom"/>
          </w:tcPr>
          <w:p>
            <w:pPr>
              <w:spacing w:after="0"/>
              <w:rPr>
                <w:sz w:val="20"/>
                <w:szCs w:val="20"/>
                <w:color w:val="auto"/>
              </w:rPr>
            </w:pPr>
          </w:p>
        </w:tc>
        <w:tc>
          <w:tcPr>
            <w:tcW w:w="14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8"/>
              </w:rPr>
              <w:t xml:space="preserve">&gt; </w:t>
            </w:r>
            <w:r>
              <w:rPr>
                <w:rFonts w:ascii="Times New Roman" w:cs="Times New Roman" w:eastAsia="Times New Roman" w:hAnsi="Times New Roman"/>
                <w:sz w:val="18"/>
                <w:szCs w:val="18"/>
                <w:b w:val="1"/>
                <w:bCs w:val="1"/>
                <w:color w:val="auto"/>
                <w:w w:val="98"/>
              </w:rPr>
              <w:t>50%</w:t>
            </w:r>
          </w:p>
        </w:tc>
        <w:tc>
          <w:tcPr>
            <w:tcW w:w="36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0.15%</w:t>
            </w:r>
          </w:p>
        </w:tc>
        <w:tc>
          <w:tcPr>
            <w:tcW w:w="340" w:type="dxa"/>
            <w:vAlign w:val="bottom"/>
          </w:tcPr>
          <w:p>
            <w:pPr>
              <w:spacing w:after="0"/>
              <w:rPr>
                <w:sz w:val="20"/>
                <w:szCs w:val="20"/>
                <w:color w:val="auto"/>
              </w:rPr>
            </w:pPr>
          </w:p>
        </w:tc>
      </w:tr>
    </w:tbl>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purposes hereof, “Revolver Usage” means, with respect to any day, the ratio (expressed as a percentage) of (a) the sum of (i) the Outstanding Amount of Loans on such day and (ii) the Outstanding Amount of L/C Obligations on such day to (b) the Aggregate Commitments in effect on such day.</w:t>
      </w:r>
    </w:p>
    <w:p>
      <w:pPr>
        <w:spacing w:after="0" w:line="16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with respect to any Lender at any time, the percentage (carried out to the ninth decimal place) of the Aggregate Commitments represented by such Lender’s Commitment at such time, subject to adjustment as provided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If the commitment of each Lender to make Loans and the obligation of the L/C Issuer to make L/C Credit Extensions have been terminated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if the Aggregate Commitments have expired, then the Applicable Percentage of each Lender shall be determined based on the Applicable Percentage of such Lender most recently in effect, giving effect to any subsequent assignments. The initial Applicable Percentage of each Lender is set forth opposite the name of such Lender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or in the Assignment and Assumption or New Lender Joinder Agreement pursuant to which such Lender becomes a party hereto, as applicable.</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 for any day, with respect to any Eurodollar Rate Loan, Base Rate Loan, Letter of Credit Fee and Facility Fee, as the case may be (a) until the Investment Grade Pricing Effective Date, (i) 1.35% for Eurodollar Rate Loan and Letter of Credit Fees, (ii) 0.35% for Base Rate Loans and (iii) 0.00% for the Facility Fee and (b) on and after the Investment Grade Pricing Effective Date, from time to time, the following percentages per annum, based upon the Debt Rating as set forth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Applicable Rate for</w:t>
            </w:r>
          </w:p>
        </w:tc>
        <w:tc>
          <w:tcPr>
            <w:tcW w:w="1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Applicable Rate</w:t>
            </w:r>
          </w:p>
        </w:tc>
        <w:tc>
          <w:tcPr>
            <w:tcW w:w="0" w:type="dxa"/>
            <w:vAlign w:val="bottom"/>
          </w:tcPr>
          <w:p>
            <w:pPr>
              <w:spacing w:after="0"/>
              <w:rPr>
                <w:sz w:val="1"/>
                <w:szCs w:val="1"/>
                <w:color w:val="auto"/>
              </w:rPr>
            </w:pPr>
          </w:p>
        </w:tc>
      </w:tr>
      <w:tr>
        <w:trPr>
          <w:trHeight w:val="149"/>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Pricing</w:t>
            </w:r>
          </w:p>
        </w:tc>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Eurodollar Rate</w:t>
            </w:r>
          </w:p>
        </w:tc>
        <w:tc>
          <w:tcPr>
            <w:tcW w:w="1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vMerge w:val="continue"/>
          </w:tcPr>
          <w:p>
            <w:pPr>
              <w:spacing w:after="0"/>
              <w:rPr>
                <w:sz w:val="12"/>
                <w:szCs w:val="12"/>
                <w:color w:val="auto"/>
              </w:rPr>
            </w:pPr>
          </w:p>
        </w:tc>
        <w:tc>
          <w:tcPr>
            <w:tcW w:w="2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Debt Ratings</w:t>
            </w:r>
          </w:p>
        </w:tc>
        <w:tc>
          <w:tcPr>
            <w:tcW w:w="280" w:type="dxa"/>
            <w:vAlign w:val="bottom"/>
            <w:vMerge w:val="restart"/>
          </w:tcPr>
          <w:p>
            <w:pPr>
              <w:spacing w:after="0"/>
              <w:rPr>
                <w:sz w:val="12"/>
                <w:szCs w:val="12"/>
                <w:color w:val="auto"/>
              </w:rPr>
            </w:pPr>
          </w:p>
        </w:tc>
        <w:tc>
          <w:tcPr>
            <w:tcW w:w="13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Facility Fee</w:t>
            </w:r>
          </w:p>
        </w:tc>
        <w:tc>
          <w:tcPr>
            <w:tcW w:w="280" w:type="dxa"/>
            <w:vAlign w:val="bottom"/>
            <w:vMerge w:val="restart"/>
          </w:tcPr>
          <w:p>
            <w:pPr>
              <w:spacing w:after="0"/>
              <w:rPr>
                <w:sz w:val="12"/>
                <w:szCs w:val="12"/>
                <w:color w:val="auto"/>
              </w:rPr>
            </w:pPr>
          </w:p>
        </w:tc>
        <w:tc>
          <w:tcPr>
            <w:tcW w:w="2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Loans and Letter of</w:t>
            </w:r>
          </w:p>
        </w:tc>
        <w:tc>
          <w:tcPr>
            <w:tcW w:w="1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for Base Rate</w:t>
            </w:r>
          </w:p>
        </w:tc>
        <w:tc>
          <w:tcPr>
            <w:tcW w:w="0" w:type="dxa"/>
            <w:vAlign w:val="bottom"/>
          </w:tcPr>
          <w:p>
            <w:pPr>
              <w:spacing w:after="0"/>
              <w:rPr>
                <w:sz w:val="1"/>
                <w:szCs w:val="1"/>
                <w:color w:val="auto"/>
              </w:rPr>
            </w:pPr>
          </w:p>
        </w:tc>
      </w:tr>
      <w:tr>
        <w:trPr>
          <w:trHeight w:val="173"/>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80" w:type="dxa"/>
            <w:vAlign w:val="bottom"/>
            <w:tcBorders>
              <w:bottom w:val="single" w:sz="8" w:color="CCEEFF"/>
            </w:tcBorders>
          </w:tcPr>
          <w:p>
            <w:pPr>
              <w:spacing w:after="0"/>
              <w:rPr>
                <w:sz w:val="15"/>
                <w:szCs w:val="15"/>
                <w:color w:val="auto"/>
              </w:rPr>
            </w:pPr>
          </w:p>
        </w:tc>
        <w:tc>
          <w:tcPr>
            <w:tcW w:w="286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CEEFF"/>
            </w:tcBorders>
            <w:vMerge w:val="continue"/>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CEEFF"/>
            </w:tcBorders>
            <w:vMerge w:val="continue"/>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Credit Fees</w:t>
            </w:r>
          </w:p>
        </w:tc>
        <w:tc>
          <w:tcPr>
            <w:tcW w:w="280" w:type="dxa"/>
            <w:vAlign w:val="bottom"/>
            <w:tcBorders>
              <w:bottom w:val="single" w:sz="8" w:color="CCEEFF"/>
            </w:tcBorders>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A-/A3 or better</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0.125%</w:t>
            </w:r>
          </w:p>
        </w:tc>
        <w:tc>
          <w:tcPr>
            <w:tcW w:w="2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0.850%</w:t>
            </w:r>
          </w:p>
        </w:tc>
        <w:tc>
          <w:tcPr>
            <w:tcW w:w="1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r>
        <w:trPr>
          <w:trHeight w:val="216"/>
        </w:trPr>
        <w:tc>
          <w:tcPr>
            <w:tcW w:w="2260" w:type="dxa"/>
            <w:vAlign w:val="bottom"/>
          </w:tcPr>
          <w:p>
            <w:pPr>
              <w:jc w:val="right"/>
              <w:ind w:right="995"/>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3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BBB+/Baa1</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0.150%</w:t>
            </w:r>
          </w:p>
        </w:tc>
        <w:tc>
          <w:tcPr>
            <w:tcW w:w="2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0.900%</w:t>
            </w: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BBB/Baa2</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0.200%</w:t>
            </w:r>
          </w:p>
        </w:tc>
        <w:tc>
          <w:tcPr>
            <w:tcW w:w="2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r>
        <w:trPr>
          <w:trHeight w:val="216"/>
        </w:trPr>
        <w:tc>
          <w:tcPr>
            <w:tcW w:w="2260" w:type="dxa"/>
            <w:vAlign w:val="bottom"/>
          </w:tcPr>
          <w:p>
            <w:pPr>
              <w:jc w:val="right"/>
              <w:ind w:right="995"/>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3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BBB-/Baa3</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0.250%</w:t>
            </w:r>
          </w:p>
        </w:tc>
        <w:tc>
          <w:tcPr>
            <w:tcW w:w="2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1.200%</w:t>
            </w: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0.200%</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Below BBB-/Baa3 (or unrated)</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0.300%</w:t>
            </w:r>
          </w:p>
        </w:tc>
        <w:tc>
          <w:tcPr>
            <w:tcW w:w="2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1.550%</w:t>
            </w:r>
          </w:p>
        </w:tc>
        <w:tc>
          <w:tcPr>
            <w:tcW w:w="1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0.550%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Rating</w:t>
      </w:r>
      <w:r>
        <w:rPr>
          <w:rFonts w:ascii="Times New Roman" w:cs="Times New Roman" w:eastAsia="Times New Roman" w:hAnsi="Times New Roman"/>
          <w:sz w:val="18"/>
          <w:szCs w:val="18"/>
          <w:color w:val="auto"/>
        </w:rPr>
        <w:t>” means, as of any date of determination, the rating as determined by S&amp;P, Moody’s or Fitch (collectively, the “</w:t>
      </w:r>
      <w:r>
        <w:rPr>
          <w:rFonts w:ascii="Times New Roman" w:cs="Times New Roman" w:eastAsia="Times New Roman" w:hAnsi="Times New Roman"/>
          <w:sz w:val="18"/>
          <w:szCs w:val="18"/>
          <w:u w:val="single" w:color="auto"/>
          <w:color w:val="auto"/>
        </w:rPr>
        <w:t>Debt Ratings</w:t>
      </w:r>
      <w:r>
        <w:rPr>
          <w:rFonts w:ascii="Times New Roman" w:cs="Times New Roman" w:eastAsia="Times New Roman" w:hAnsi="Times New Roman"/>
          <w:sz w:val="18"/>
          <w:szCs w:val="18"/>
          <w:color w:val="auto"/>
        </w:rPr>
        <w:t xml:space="preserve">”) of the Borrower’s non-credit-enhanced, senior unsecured long-term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any time (x) the Borrower has three (3) Debt Ratings and such Debt Ratings are not equivalent, then (A) if the difference between the highest and the lowest of such Debt Ratings is one ratings category (e.g. Baa2 by Moody’s and BBB- by S&amp;P or Fitch), the Applicable Rate shall be determined based on the highest of the Debt Ratings, and (B) if the difference between such Debt Ratings is two ratings categories (e.g. Baa1 by Moody’s and BBB- by S&amp;P or Fitch) or more, the Applicable Rate shall be determined based on the average of the two (2) highest Debt Ratings,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average is not a recognized rating category, then the Applicable Rate shall be determined based on the second highest of the Debt Ratings; (y) the Borrower has only two (2) Debt Ratings and such Debt Ratings are not equivalent, then: (A) if the difference between such Debt Ratings is one ratings category (e.g. Baa2 by Moody’s and BBB- by S&amp;P or Fitch), the Applicable Rate shall be determined based on the higher of the Debt Ratings, and (B) if the difference between such Debt Ratings is two ratings categories (e.g., Baa1 by Moody’s and BBB- by S&amp;P or Fitch) or more, the Applicable Rate shall be determined based on the Debt Rating that is one higher than the lower of the applicable Debt Ratings; (c) the Borrower has only one Debt Rating, then: (A) if such Debt Rating is issued by S&amp;P or Moody’s, the Pricing Level that is one level lower than that of such Debt Rating shall apply and (B) if such Debt Rating is issued by Fitch, Pricing Level 5 shall apply; and (d) the Borrower does not have any Debt Rating, Pricing Level 5 shall apply.</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On the Investment Grade Pricing Effective Date, the Applicable Rate shall be determined based upon the Debt Rating(s) specified in the certificate delivered pursuant to clause (ii) of the definition of “Investment Grade Pricing Effective Date.” Thereafter, each change in the Applicable Rate resulting from a publicly announced change in a Debt Rating shall be effective, in the case of an upgrade, during the period commencing on the date of delivery by the Borrower to the Administrative Agent of notice thereof pursuant to </w:t>
      </w:r>
      <w:r>
        <w:rPr>
          <w:rFonts w:ascii="Times New Roman" w:cs="Times New Roman" w:eastAsia="Times New Roman" w:hAnsi="Times New Roman"/>
          <w:sz w:val="18"/>
          <w:szCs w:val="18"/>
          <w:u w:val="single" w:color="auto"/>
          <w:color w:val="auto"/>
        </w:rPr>
        <w:t>Section 6.03(g)</w:t>
      </w:r>
      <w:r>
        <w:rPr>
          <w:rFonts w:ascii="Times New Roman" w:cs="Times New Roman" w:eastAsia="Times New Roman" w:hAnsi="Times New Roman"/>
          <w:sz w:val="18"/>
          <w:szCs w:val="18"/>
          <w:color w:val="auto"/>
        </w:rPr>
        <w:t xml:space="preserve"> and ending on the date immediately preceding the effective date of the next such change and, in the case of a downgrade, during the period commencing on the date of the public announcement thereof and ending on the date immediately preceding the effective date of the next such change.</w:t>
      </w:r>
    </w:p>
    <w:p>
      <w:pPr>
        <w:spacing w:after="0" w:line="18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Appraisal</w:t>
      </w:r>
      <w:r>
        <w:rPr>
          <w:rFonts w:ascii="Times New Roman" w:cs="Times New Roman" w:eastAsia="Times New Roman" w:hAnsi="Times New Roman"/>
          <w:sz w:val="18"/>
          <w:szCs w:val="18"/>
          <w:color w:val="auto"/>
        </w:rPr>
        <w:t>” means, an “as-is” appraisal of the market value of a Real Property Asset (on an individual, as opposed to portfolio value, basis) that is satisfactory as to value and otherwise</w:t>
      </w:r>
    </w:p>
    <w:p>
      <w:pPr>
        <w:sectPr>
          <w:pgSz w:w="11900" w:h="16839" w:orient="portrait"/>
          <w:cols w:equalWidth="0" w:num="1">
            <w:col w:w="11420"/>
          </w:cols>
          <w:pgMar w:left="240" w:top="121" w:right="239" w:bottom="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40"/>
        <w:spacing w:after="0" w:line="282" w:lineRule="auto"/>
        <w:rPr>
          <w:sz w:val="20"/>
          <w:szCs w:val="20"/>
          <w:color w:val="auto"/>
        </w:rPr>
      </w:pPr>
      <w:r>
        <w:rPr>
          <w:rFonts w:ascii="Times New Roman" w:cs="Times New Roman" w:eastAsia="Times New Roman" w:hAnsi="Times New Roman"/>
          <w:sz w:val="18"/>
          <w:szCs w:val="18"/>
          <w:color w:val="auto"/>
        </w:rPr>
        <w:t>satisfactory to Administrative Agent (including satisfaction of applicable regulatory requirements) prepared by an MAI appraiser satisfactory to Administrative Agent and engaged directly by Administrative Agent.</w:t>
      </w:r>
    </w:p>
    <w:p>
      <w:pPr>
        <w:spacing w:after="0" w:line="1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Appraised Value</w:t>
      </w:r>
      <w:r>
        <w:rPr>
          <w:rFonts w:ascii="Times New Roman" w:cs="Times New Roman" w:eastAsia="Times New Roman" w:hAnsi="Times New Roman"/>
          <w:sz w:val="18"/>
          <w:szCs w:val="18"/>
          <w:color w:val="auto"/>
        </w:rPr>
        <w:t>” means, with respect to the Real Property Asset underlying any Borrowing Base Asset, the appraised value of such Real Property Asset as reflected in the Current Appraisal thereof most recently received and approved by the Administrative Agent on or prior to the Closing Date or pursuant to any provision of this Agreement. For the avoidance of doubt, the Appraised Value of the Real Property Asset underlying any Borrowing Base Asset for which there is no Current Appraisal shall be zero ($0).</w:t>
      </w:r>
    </w:p>
    <w:p>
      <w:pPr>
        <w:spacing w:after="0" w:line="18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Fund that is administered or managed by (a) a Lender, (b) an Affiliate of a Lender or (c) an entity or an Affiliate of an entity that administers or manages a Lender.</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means Merrill Lynch, Pierce, Fenner &amp; Smith Incorporated (or any other registered broker-dealer wholly-owned by Bank of America Corporation to which all or substantially all of Bank of America Corporation’s or any of its subsidiaries’ investment banking, commercial lending services or related businesses may be transferred following the date of this Agreement), JPMorgan Chase Bank, N.A. and Barclays Bank PLC, each in its capacity as a joint lead arranger.</w:t>
      </w:r>
    </w:p>
    <w:p>
      <w:pPr>
        <w:spacing w:after="0" w:line="180"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 xml:space="preserve">), and accepted by the Administrative Agent, in substantially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or any other form (including electronic documentation generated by use of an electronic platform) approved by the Administrative Agent.</w:t>
      </w:r>
    </w:p>
    <w:p>
      <w:pPr>
        <w:spacing w:after="0" w:line="1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Indebtedness</w:t>
      </w:r>
      <w:r>
        <w:rPr>
          <w:rFonts w:ascii="Times New Roman" w:cs="Times New Roman" w:eastAsia="Times New Roman" w:hAnsi="Times New Roman"/>
          <w:sz w:val="18"/>
          <w:szCs w:val="18"/>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80"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means the selected historical combined balance sheet information as of December 31, 2016 and 2015 of the Borrower’s predecessor and the selected historical combined statements of operations information for the years ended December 31, 2016 and 2015 of the Borrower’s predecessor derived from the audited historical combined financial statements of the Borrower’s predecessor, in each case as set forth in the Form S-11.</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w:t>
      </w:r>
      <w:r>
        <w:rPr>
          <w:rFonts w:ascii="Times New Roman" w:cs="Times New Roman" w:eastAsia="Times New Roman" w:hAnsi="Times New Roman"/>
          <w:sz w:val="18"/>
          <w:szCs w:val="18"/>
          <w:color w:val="auto"/>
        </w:rPr>
        <w:t xml:space="preserve">” means, at any time, the lesser of (a) the Aggregate Commitments at such time and (b) an amount equal to the Borrowing Base Amount at such time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Total Outstandings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(without duplication) the then outstanding amount of Total Unsecured Debt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(without duplication) the then outstanding amount of Secured Pari Passu Obligations.</w:t>
      </w:r>
    </w:p>
    <w:p>
      <w:pPr>
        <w:spacing w:after="0" w:line="17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means the period from and including the Closing Date to the earliest of (a) the Maturity Date, (b) the date of termination of the Aggregate Commitments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and (c) the date of termination of the commitment of each Lender to make Loans and of the obligation of the L/C Issuers to make L/C Credit Extensions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EEA Resolution Authority in respect of any liability of an EEA Financial Institution.</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means Bank of America, N.A. and its successors.</w:t>
      </w:r>
    </w:p>
    <w:p>
      <w:pPr>
        <w:spacing w:after="0" w:line="22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means for any day a fluctuating rate per annum equal to the highest of (a) the Federal Funds Rate plus 1/2 of 1%, (b) the rate of interest in effect for such day as publicly announced from time to time by Bank of America as its “prime rate,” and (c) the Eurodollar Rate plus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Committed Loan</w:t>
      </w:r>
      <w:r>
        <w:rPr>
          <w:rFonts w:ascii="Times New Roman" w:cs="Times New Roman" w:eastAsia="Times New Roman" w:hAnsi="Times New Roman"/>
          <w:sz w:val="18"/>
          <w:szCs w:val="18"/>
          <w:color w:val="auto"/>
        </w:rPr>
        <w:t>” means a Committed Loan that is a Base Rate Loan.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means a Loan that bears interest based on the Base Rate.</w:t>
      </w:r>
    </w:p>
    <w:p>
      <w:pPr>
        <w:spacing w:after="0" w:line="225"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Bookrunner</w:t>
      </w:r>
      <w:r>
        <w:rPr>
          <w:rFonts w:ascii="Times New Roman" w:cs="Times New Roman" w:eastAsia="Times New Roman" w:hAnsi="Times New Roman"/>
          <w:sz w:val="18"/>
          <w:szCs w:val="18"/>
          <w:color w:val="auto"/>
        </w:rPr>
        <w:t>” means Merrill Lynch, Pierce, Fenner &amp; Smith Incorporated (or any other registered broker-dealer wholly-owned by Bank of America Corporation to which all or substantially all of Bank of America Corporation’s or any of its subsidiaries’ investment banking, commercial lending services or related businesses may be transferred following the date of this Agreement), in its capacity as sole bookrunner.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ectPr>
          <w:pgSz w:w="11900" w:h="16838" w:orient="portrait"/>
          <w:cols w:equalWidth="0" w:num="1">
            <w:col w:w="11400"/>
          </w:cols>
          <w:pgMar w:left="240" w:top="337" w:right="259" w:bottom="63" w:gutter="0" w:footer="0" w:header="0"/>
        </w:sectPr>
      </w:pPr>
    </w:p>
    <w:bookmarkStart w:id="45" w:name="page46"/>
    <w:bookmarkEnd w:id="45"/>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xml:space="preserve">” means a borrowing consisting of simultaneous Loans of the same Type and, in the case of Eurodollar Rate Loans, having the same Interest Period made by each of the Lenders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Base Amount</w:t>
      </w:r>
      <w:r>
        <w:rPr>
          <w:rFonts w:ascii="Times New Roman" w:cs="Times New Roman" w:eastAsia="Times New Roman" w:hAnsi="Times New Roman"/>
          <w:sz w:val="18"/>
          <w:szCs w:val="18"/>
          <w:color w:val="auto"/>
        </w:rPr>
        <w:t>” means, on any date, the lesser of:</w:t>
      </w:r>
    </w:p>
    <w:p>
      <w:pPr>
        <w:spacing w:after="0" w:line="225" w:lineRule="exact"/>
        <w:rPr>
          <w:sz w:val="20"/>
          <w:szCs w:val="20"/>
          <w:color w:val="auto"/>
        </w:rPr>
      </w:pPr>
    </w:p>
    <w:p>
      <w:pPr>
        <w:jc w:val="center"/>
        <w:ind w:left="5660" w:right="2220" w:hanging="4274"/>
        <w:spacing w:after="0" w:line="532" w:lineRule="auto"/>
        <w:tabs>
          <w:tab w:leader="none" w:pos="194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Individual Borrowing Base Amounts for all Borrowing Base Assets on such date; and 5</w:t>
      </w: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740" w:right="120" w:firstLine="646"/>
        <w:spacing w:after="0" w:line="266" w:lineRule="auto"/>
        <w:tabs>
          <w:tab w:leader="none" w:pos="196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maximum amount of Unsecured Debt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Secured Pari Passu Obligations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Indebtedness under the Loan Documents that can be supported by the Borrowing Base Cash Flow for all Borrowing Base Assets assuming (i) an interest rate equal to the interest rate (including any Applicable Rate) applicable to Eurodollar Rate Loans on such date and (ii) interest coverage of 1.70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Borrowing Base Amount shall be subject to the following adjustments:</w:t>
      </w:r>
    </w:p>
    <w:p>
      <w:pPr>
        <w:spacing w:after="0" w:line="225" w:lineRule="exact"/>
        <w:rPr>
          <w:sz w:val="20"/>
          <w:szCs w:val="20"/>
          <w:color w:val="auto"/>
        </w:rPr>
      </w:pPr>
    </w:p>
    <w:p>
      <w:pPr>
        <w:ind w:left="660" w:right="20" w:firstLine="645"/>
        <w:spacing w:after="0" w:line="258" w:lineRule="auto"/>
        <w:tabs>
          <w:tab w:leader="none" w:pos="197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Individual Borrowing Base Amounts of all Eligible Ground Net Lease Assets with respect to unimproved land and property under ground-up development by a ground lessee (only for so long as such land or property is unimproved or under ground-up development and expressly excluding construction activities that are not ground-up constructions, including, without limitation, restoration and repair of casualty loss, tenant improvements and other repairs, renovations and maintenance) shall not exceed 10% of the Borrowing Base Amount at any one time (and any such excess shall be disregarded for purposes of determining the Borrowing Base Amount); and</w:t>
      </w:r>
    </w:p>
    <w:p>
      <w:pPr>
        <w:spacing w:after="0" w:line="183" w:lineRule="exact"/>
        <w:rPr>
          <w:rFonts w:ascii="Times New Roman" w:cs="Times New Roman" w:eastAsia="Times New Roman" w:hAnsi="Times New Roman"/>
          <w:sz w:val="18"/>
          <w:szCs w:val="18"/>
          <w:color w:val="auto"/>
        </w:rPr>
      </w:pPr>
    </w:p>
    <w:p>
      <w:pPr>
        <w:ind w:left="660" w:right="540" w:firstLine="645"/>
        <w:spacing w:after="0" w:line="282" w:lineRule="auto"/>
        <w:tabs>
          <w:tab w:leader="none" w:pos="198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Individual Borrowing Base Amounts of all Eligible Loan Assets shall not exceed 10% of the Borrowing Base Amount at any one time (and any such excess shall be disregarded for purposes of determining the Borrowing Base Amount).</w:t>
      </w:r>
    </w:p>
    <w:p>
      <w:pPr>
        <w:spacing w:after="0" w:line="162"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Base Assets</w:t>
      </w:r>
      <w:r>
        <w:rPr>
          <w:rFonts w:ascii="Times New Roman" w:cs="Times New Roman" w:eastAsia="Times New Roman" w:hAnsi="Times New Roman"/>
          <w:sz w:val="18"/>
          <w:szCs w:val="18"/>
          <w:color w:val="auto"/>
        </w:rPr>
        <w:t>” means, as of any date, the Eligible Loan Assets and the Eligible Ground Net Lease Assets properly included in the calculation of the Borrowing Base Amount on such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Base Assets List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2.18(a)</w:t>
      </w:r>
      <w:r>
        <w:rPr>
          <w:rFonts w:ascii="Times New Roman" w:cs="Times New Roman" w:eastAsia="Times New Roman" w:hAnsi="Times New Roman"/>
          <w:sz w:val="18"/>
          <w:szCs w:val="18"/>
          <w:color w:val="auto"/>
        </w:rPr>
        <w:t xml:space="preserve"> as such list may be modified from time to time.</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Base Cash Flow</w:t>
      </w:r>
      <w:r>
        <w:rPr>
          <w:rFonts w:ascii="Times New Roman" w:cs="Times New Roman" w:eastAsia="Times New Roman" w:hAnsi="Times New Roman"/>
          <w:sz w:val="18"/>
          <w:szCs w:val="18"/>
          <w:color w:val="auto"/>
        </w:rPr>
        <w:t xml:space="preserve">” means, as of any date of determination, for (subject to the last sentence of this definition) the period of four full fiscal quarters ended on such date (if such date is the last day of a fiscal quarter) or the then more recently ended period of four fiscal quarters (if such date is not the last day of a fiscal quarter), the sum, without duplication of (i) interest payable by the Loan Asset Borrowers and actually received by the applicable mortgagee with respect to the Eligible Loan Assets included in the Borrowing Base Amount for such period and (ii) cash flows from the Eligible Ground Net Lease Assets included in the Borrowing Base Amount for such period consisting of base rent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Percentage Rent payable by the lessee thereunder and actually received by the lessor,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any expenses incurred during such period by any Consolidated Party in respect of such Eligible Ground Net Lease Asset, including cash management fees in an amount equal to the greater of (x) the actual aggregate amount of cash management fees paid in respect of such Eligible Ground Net Lease Assets and (y) an amount equal to 1.00% of the aggregate rent (including base rent, Percentage Rent and any other form of cash rent) payable by lessees under such Eligible Ground Net Lease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any time a Material Event has occurred and is continuing, such Eligible Ground Net Lease Asset or Eligible Loan Asset, as the case may be, shall be excluded for all purposes of the calculation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the event that a Material Event that has occurred is no longer continuing, any adjustment made to the Borrowing Base Cash Flow in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connection therewith shall be readjusted accordingly and the subject Eligible Ground Net Lease Asset(s) or Eligible Loan Asset(s) shall be included for all purposes of the calculation of the foregoing.</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For purposes of determining clause (b) of the definition of Borrowing Base Amount and the Springing Fixed Charge Coverage Ratio as of any date, the Borrowing Base Cash Flow attributable to a Borrowing Base Asset that has been owned by a Consolidated Party (A) for less than one full fiscal quarter as of such date shall be mutually agreed upon by the Administrative Agent and the Borrower, (B) for not more than one full fiscal quarter as of such date shall be the Borrowing Base Cash Flow attributable to such Borrowing Base Asset for such fiscal quarter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4, (C) for not more than two full fiscal quarters as of such date shall be the Borrowing Base Cash Flow attributable to such Borrowing Base Asset for such two fiscal quarter period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2, and (D) for not more than three full fiscal quarters shall be the Borrowing Base Cash Flow attributable to such Borrowing Base Asset for such three fiscal quarter period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4/3.</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Base Certificate</w:t>
      </w:r>
      <w:r>
        <w:rPr>
          <w:rFonts w:ascii="Times New Roman" w:cs="Times New Roman" w:eastAsia="Times New Roman" w:hAnsi="Times New Roman"/>
          <w:sz w:val="18"/>
          <w:szCs w:val="18"/>
          <w:color w:val="auto"/>
        </w:rPr>
        <w:t xml:space="preserve">” means a certificate, signed and certified as accurate and complete by a senior financial officer of the Borrower,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another form acceptable to the Administrative Agent) setting forth the calculation of the Borrowing Base Amount. All calculations of the Borrowing Base Amount in connection with the preparation of any Borrowing Base Certificate shall originally be made by the Borrower and certified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Administrative Agent shall have the right to review and make reasonable adjustments to any such calculation to the extent the Administrative Agent reasonably determines that such calculation contains errors or is not otherwise in accordance with this Agreement and notifies the Borrower of such adjustment.</w:t>
      </w:r>
    </w:p>
    <w:p>
      <w:pPr>
        <w:spacing w:after="0" w:line="18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are authorized to close under the Laws of, or are in fact closed in, the state where the Administrative Agent’s Office is located and, if such day relates to any Eurodollar Rate Loan, means any such day that is also a London Banking Day.</w:t>
      </w:r>
    </w:p>
    <w:p>
      <w:pPr>
        <w:spacing w:after="0" w:line="176"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Leases</w:t>
      </w:r>
      <w:r>
        <w:rPr>
          <w:rFonts w:ascii="Times New Roman" w:cs="Times New Roman" w:eastAsia="Times New Roman" w:hAnsi="Times New Roman"/>
          <w:sz w:val="18"/>
          <w:szCs w:val="18"/>
          <w:color w:val="auto"/>
        </w:rPr>
        <w:t>” as applied to any Person, means any lease of any property (whether real, personal or mixed) by that Person as lessee which, in conformity with GAAP, is or should be accounted for as a capital lease on the balance sheet of that Person.</w:t>
      </w:r>
    </w:p>
    <w:p>
      <w:pPr>
        <w:spacing w:after="0" w:line="162" w:lineRule="exact"/>
        <w:rPr>
          <w:sz w:val="20"/>
          <w:szCs w:val="20"/>
          <w:color w:val="auto"/>
        </w:rPr>
      </w:pPr>
    </w:p>
    <w:p>
      <w:pPr>
        <w:jc w:val="both"/>
        <w:ind w:right="100" w:firstLine="64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Cash Collateralize</w:t>
      </w:r>
      <w:r>
        <w:rPr>
          <w:rFonts w:ascii="Times New Roman" w:cs="Times New Roman" w:eastAsia="Times New Roman" w:hAnsi="Times New Roman"/>
          <w:sz w:val="17"/>
          <w:szCs w:val="17"/>
          <w:color w:val="auto"/>
        </w:rPr>
        <w:t>” means to pledge and deposit with or deliver to the Administrative Agent, for the benefit of one or more of the L/C Issuer or the Lenders, as collateral for L/C Obligations or obligations of the Lenders to fund participations in respect of L/C Obligations, cash or deposit account balances or, if the Administrative Agent and the L/C Issuer(s) shall agree in their sole discretion, other credit support, in each case pursuant to documentation in form</w:t>
      </w:r>
    </w:p>
    <w:p>
      <w:pPr>
        <w:sectPr>
          <w:pgSz w:w="11900" w:h="16838" w:orient="portrait"/>
          <w:cols w:equalWidth="0" w:num="1">
            <w:col w:w="11420"/>
          </w:cols>
          <w:pgMar w:left="240" w:top="121" w:right="239" w:bottom="0" w:gutter="0" w:footer="0" w:header="0"/>
        </w:sectPr>
      </w:pPr>
    </w:p>
    <w:bookmarkStart w:id="46" w:name="page47"/>
    <w:bookmarkEnd w:id="46"/>
    <w:p>
      <w:pPr>
        <w:spacing w:after="0" w:line="9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and substance satisfactory to the Administrative Agent and the L/C Issuer(s). “</w:t>
      </w: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shall have a meaning correlative to the foregoing and shall include the proceeds of such cash collateral and other credit support.</w:t>
      </w:r>
    </w:p>
    <w:p>
      <w:pPr>
        <w:spacing w:after="0" w:line="16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 (a) cash; (b) marketable direct obligations issued or unconditionally guaranteed by the United States Government or issued by an agency thereof and backed by the full faith and credit of the United States, in each case maturing within one (1) year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after the date of acquisition thereof; (c) marketable direct obligations issued by any state of the United States of America or any political subdivision of any such state or any public instrumentality thereof maturing within ninety (90) days after the date of acquisition thereof and, at the time of acquisition, having one of the two highest ratings obtainable from any two of S&amp;P, Moody’s or Fitch (or, if at any time no two of the foregoing shall be rating such obligations, then from such other nationally recognized rating services acceptable to the Administrative Agent); (d) commercial paper (foreign and domestic) or master notes, other than commercial paper or master notes issued by the Borrower or any of its Affiliates, and, at the time of acquisition, having a long-term rating of at least A or the equivalent from S&amp;P, Moody’s or Fitch and having a short-term rating of at least A-1, P-1 and F-1 from S&amp;P, Moody’s and Fitch, respectively (or, if at any time neither S&amp;P nor Moody’s nor Fitch shall be rating such obligations, then the highest rating from such other nationally recognized rating services acceptable to the Administrative Agent); (e) domestic and foreign certificates of deposit or domestic time deposits or foreign deposits or bankers’ acceptances (foreign or domestic) in Dollars that are issued by a bank (I) which has, at the time of acquisition, a long-term rating of at least A or the equivalent from S&amp;P, Moody’s or Fitch and (II) if a domestic bank, which is a member of the Federal Deposit Insurance Corporation;</w:t>
      </w:r>
    </w:p>
    <w:p>
      <w:pPr>
        <w:spacing w:after="0" w:line="6" w:lineRule="exact"/>
        <w:rPr>
          <w:sz w:val="20"/>
          <w:szCs w:val="20"/>
          <w:color w:val="auto"/>
        </w:rPr>
      </w:pPr>
    </w:p>
    <w:p>
      <w:pPr>
        <w:ind w:right="40" w:firstLine="8"/>
        <w:spacing w:after="0" w:line="265" w:lineRule="auto"/>
        <w:tabs>
          <w:tab w:leader="none" w:pos="225"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overnight securities repurchase agreements, or reverse repurchase agreements secured by any of the foregoing types of securities or debt instruments, provided that the collateral supporting such repurchase agreements shall have a value not less than 101% of the principal amount of the repurchase agreement plus accrued interest; and (g) money market funds invested in investments substantially all of which consist of the items described in the foregoing clauses</w:t>
      </w:r>
    </w:p>
    <w:p>
      <w:pPr>
        <w:ind w:left="260" w:hanging="252"/>
        <w:spacing w:after="0"/>
        <w:tabs>
          <w:tab w:leader="none" w:pos="2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(f).</w:t>
      </w:r>
    </w:p>
    <w:p>
      <w:pPr>
        <w:spacing w:after="0" w:line="20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an event or series of events by which:</w:t>
      </w:r>
    </w:p>
    <w:p>
      <w:pPr>
        <w:spacing w:after="0" w:line="225" w:lineRule="exact"/>
        <w:rPr>
          <w:sz w:val="20"/>
          <w:szCs w:val="20"/>
          <w:color w:val="auto"/>
        </w:rPr>
      </w:pPr>
    </w:p>
    <w:p>
      <w:pPr>
        <w:ind w:left="740" w:right="80" w:firstLine="646"/>
        <w:spacing w:after="0" w:line="266" w:lineRule="auto"/>
        <w:tabs>
          <w:tab w:leader="none" w:pos="195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(as such term is defined in applicable federal securities laws and regulations), other than iStar Inc. or an Affiliate of iStar Inc., shall become the owner, directly or indirectly, beneficially or of record, of shares representing more than forty percent (40%) of the aggregate ordinary voting power represented by the issued and outstanding common shares of the Borrower;</w:t>
      </w:r>
    </w:p>
    <w:p>
      <w:pPr>
        <w:spacing w:after="0" w:line="176" w:lineRule="exact"/>
        <w:rPr>
          <w:rFonts w:ascii="Times New Roman" w:cs="Times New Roman" w:eastAsia="Times New Roman" w:hAnsi="Times New Roman"/>
          <w:sz w:val="18"/>
          <w:szCs w:val="18"/>
          <w:color w:val="auto"/>
        </w:rPr>
      </w:pPr>
    </w:p>
    <w:p>
      <w:pPr>
        <w:ind w:left="740" w:right="180" w:firstLine="646"/>
        <w:spacing w:after="0" w:line="282" w:lineRule="auto"/>
        <w:tabs>
          <w:tab w:leader="none" w:pos="196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of Directors of the Borrower over a consecutive one-year period shall not consist of (i) the directors who constituted the Board of Directors of the Borrower at the beginning of such period or (ii) directors whose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740" w:right="140"/>
        <w:spacing w:after="0" w:line="266" w:lineRule="auto"/>
        <w:rPr>
          <w:sz w:val="20"/>
          <w:szCs w:val="20"/>
          <w:color w:val="auto"/>
        </w:rPr>
      </w:pPr>
      <w:r>
        <w:rPr>
          <w:rFonts w:ascii="Times New Roman" w:cs="Times New Roman" w:eastAsia="Times New Roman" w:hAnsi="Times New Roman"/>
          <w:sz w:val="18"/>
          <w:szCs w:val="18"/>
          <w:color w:val="auto"/>
        </w:rPr>
        <w:t>nomination or election was approved by a vote of at least a majority of the Board of Directors of the Borrower then still in office who were either members of such Board of Directors at the beginning of such period or whose nomination or election as a member of such Board of Directors was previously so approved;</w:t>
      </w:r>
    </w:p>
    <w:p>
      <w:pPr>
        <w:spacing w:after="0" w:line="176" w:lineRule="exact"/>
        <w:rPr>
          <w:sz w:val="20"/>
          <w:szCs w:val="20"/>
          <w:color w:val="auto"/>
        </w:rPr>
      </w:pPr>
    </w:p>
    <w:p>
      <w:pPr>
        <w:ind w:left="740" w:right="380" w:firstLine="646"/>
        <w:spacing w:after="0" w:line="282" w:lineRule="auto"/>
        <w:tabs>
          <w:tab w:leader="none" w:pos="196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cease to be the sole general partner of the Operating Partnership or the Borrower shall cease to Control the Operating Partnership; or</w:t>
      </w:r>
    </w:p>
    <w:p>
      <w:pPr>
        <w:spacing w:after="0" w:line="161" w:lineRule="exact"/>
        <w:rPr>
          <w:rFonts w:ascii="Times New Roman" w:cs="Times New Roman" w:eastAsia="Times New Roman" w:hAnsi="Times New Roman"/>
          <w:sz w:val="18"/>
          <w:szCs w:val="18"/>
          <w:color w:val="auto"/>
        </w:rPr>
      </w:pPr>
    </w:p>
    <w:p>
      <w:pPr>
        <w:ind w:left="1960" w:hanging="574"/>
        <w:spacing w:after="0"/>
        <w:tabs>
          <w:tab w:leader="none" w:pos="1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cease to be managed by iStar Inc. or a Wholly-Owned Subsidiary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means the first date all the conditions precedent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CMBS Financing</w:t>
      </w:r>
      <w:r>
        <w:rPr>
          <w:rFonts w:ascii="Times New Roman" w:cs="Times New Roman" w:eastAsia="Times New Roman" w:hAnsi="Times New Roman"/>
          <w:sz w:val="18"/>
          <w:szCs w:val="18"/>
          <w:color w:val="auto"/>
        </w:rPr>
        <w:t>” means (i) the $227 million Loan Agreement, dated March 30, 2017, among certain Subsidiaries of the Borrower and Barclays Bank PLC, JPMorgan Chase Bank, National Association and Bank of America, N.A., as the same may be amended from time to time, together with the related “Loan Documents,” as such term is defined in such Loan Agreement and (ii) other similar financings of the Borrower that are secured by commercial real property and loan interests and securitized by the lenders thereof.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w:t>
      </w:r>
    </w:p>
    <w:p>
      <w:pPr>
        <w:spacing w:after="0" w:line="22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all of the “Collateral” and “Mortgaged Property” or “Trust Property” or other similar term referred to in the Collateral Documents that is required under the terms of the Loan Documents to be subject to Liens in favor of the Administrative Agent for the benefit of the Secured Parties.</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xml:space="preserve">” means the Pledge Agreement, each of the Mortgages, pledge agreement supplements or other similar agreements delivered to the Administrative Agent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and each of the other agreements, instruments or documents that creates or perfects or purports to create or perfect a Lien in the Collateral in favor of the Administrative Agent for the benefit of the Secured Parties to secure the obligations and liabilities of the Borrower or any other Loan Party under any Loan Document or providing rights and remedies in respect of the Collateral.</w:t>
      </w:r>
    </w:p>
    <w:p>
      <w:pPr>
        <w:spacing w:after="0" w:line="18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as to each Lender, its obligation to (a) make Loans to the Borrower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and (b) purchase participations in L/C Obligations, in an aggregate principal amount at any one time outstanding not to exceed the amount set forth opposite such Lender’s name on</w:t>
      </w:r>
    </w:p>
    <w:p>
      <w:pPr>
        <w:sectPr>
          <w:pgSz w:w="11900" w:h="16933" w:orient="portrait"/>
          <w:cols w:equalWidth="0" w:num="1">
            <w:col w:w="11400"/>
          </w:cols>
          <w:pgMar w:left="240" w:top="121" w:right="259" w:bottom="0" w:gutter="0" w:footer="0" w:header="0"/>
        </w:sectPr>
      </w:pPr>
    </w:p>
    <w:bookmarkStart w:id="47" w:name="page48"/>
    <w:bookmarkEnd w:id="47"/>
    <w:p>
      <w:pPr>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or in the Assignment and Assumption or New Lender Joinder Agreement pursuant to which such Lender becomes a party hereto, as applicable, as such amount may be adjusted from time to time in accordance with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Committed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Committed Loan Notice</w:t>
      </w:r>
      <w:r>
        <w:rPr>
          <w:rFonts w:ascii="Times New Roman" w:cs="Times New Roman" w:eastAsia="Times New Roman" w:hAnsi="Times New Roman"/>
          <w:sz w:val="18"/>
          <w:szCs w:val="18"/>
          <w:color w:val="auto"/>
        </w:rPr>
        <w:t xml:space="preserve">” means a notice of (a) a Borrowing, (b) a conversion of Loans from one Type to the other, or (c) a continuation of Eurodollar Rate Loans, pursuant to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such other form as may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62"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duly executed by the chief executive officer, chief financial officer, treasurer or controller of the Borrower.</w:t>
      </w:r>
    </w:p>
    <w:p>
      <w:pPr>
        <w:spacing w:after="0" w:line="16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means, for the Consolidated Group and for any period, an amount equal to Consolidated Net Income for such period </w:t>
      </w:r>
      <w:r>
        <w:rPr>
          <w:rFonts w:ascii="Times New Roman" w:cs="Times New Roman" w:eastAsia="Times New Roman" w:hAnsi="Times New Roman"/>
          <w:sz w:val="18"/>
          <w:szCs w:val="18"/>
          <w:u w:val="single" w:color="auto"/>
          <w:color w:val="auto"/>
        </w:rPr>
        <w:t>plus</w:t>
      </w:r>
    </w:p>
    <w:p>
      <w:pPr>
        <w:spacing w:after="0" w:line="27" w:lineRule="exact"/>
        <w:rPr>
          <w:sz w:val="20"/>
          <w:szCs w:val="20"/>
          <w:color w:val="auto"/>
        </w:rPr>
      </w:pPr>
    </w:p>
    <w:p>
      <w:pPr>
        <w:ind w:right="80" w:firstLine="8"/>
        <w:spacing w:after="0" w:line="252" w:lineRule="auto"/>
        <w:tabs>
          <w:tab w:leader="none" w:pos="24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to the extent deducted in calculating Consolidated Net Income: (i) Interest Expense for such period, (ii) the provision for federal, state, local and foreign income taxes payable by the Consolidated Group for such period, (iii) depreciation and amortization expense incurred during such period, (iv) all non-cash items decreasing Consolidated Net Income for such period and (v) other non-recurring expenses of the Borrower and its Subsidiaries reducing such Consolidated Net Income (including straight line rent adjustments) which do not represent a cash item in such period or any future period and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following to the extent included in calculating such Consolidated Net Income: (i) federal, state, local and foreign income tax credits of the Consolidated Group for such period and (ii) all non-cash items increasing Consolidated Net Income for such period.</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Group</w:t>
      </w:r>
      <w:r>
        <w:rPr>
          <w:rFonts w:ascii="Times New Roman" w:cs="Times New Roman" w:eastAsia="Times New Roman" w:hAnsi="Times New Roman"/>
          <w:sz w:val="18"/>
          <w:szCs w:val="18"/>
          <w:color w:val="auto"/>
        </w:rPr>
        <w:t>” means the Borrower and its Consolidated Subsidiaries.</w:t>
      </w:r>
    </w:p>
    <w:p>
      <w:pPr>
        <w:spacing w:after="0" w:line="22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means, for any period, for the Consolidated Group, the net income (or loss) of the Borrower and its Subsidiaries on a consolidated basis for such period (excluding extraordinary gains and extraordinary losses for that period).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Party</w:t>
      </w:r>
      <w:r>
        <w:rPr>
          <w:rFonts w:ascii="Times New Roman" w:cs="Times New Roman" w:eastAsia="Times New Roman" w:hAnsi="Times New Roman"/>
          <w:sz w:val="18"/>
          <w:szCs w:val="18"/>
          <w:color w:val="auto"/>
        </w:rPr>
        <w:t>” means a member of the Consolidated Group.</w:t>
      </w:r>
    </w:p>
    <w:p>
      <w:pPr>
        <w:spacing w:after="0" w:line="22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Subsidiary</w:t>
      </w:r>
      <w:r>
        <w:rPr>
          <w:rFonts w:ascii="Times New Roman" w:cs="Times New Roman" w:eastAsia="Times New Roman" w:hAnsi="Times New Roman"/>
          <w:sz w:val="18"/>
          <w:szCs w:val="18"/>
          <w:color w:val="auto"/>
        </w:rPr>
        <w:t>” means at any date any Subsidiary or other entity which is consolidated with the Borrower in accordance with GAAP or which is required under GAAP to be consolidated with the Borrower.</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Tangible Net Worth</w:t>
      </w:r>
      <w:r>
        <w:rPr>
          <w:rFonts w:ascii="Times New Roman" w:cs="Times New Roman" w:eastAsia="Times New Roman" w:hAnsi="Times New Roman"/>
          <w:sz w:val="18"/>
          <w:szCs w:val="18"/>
          <w:color w:val="auto"/>
        </w:rPr>
        <w:t xml:space="preserve">” means, as of any date of determination, Shareholders’ Equity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Intangible Assets of the Borrower and its Subsidiaries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accumulated depreciation of real property and amortization (excluding, to the extent included when determining Shareholders’ Equity) of the Borrower and its Subsidiaries, in each case, determined on a consolidated basis in accordance with GAAP.</w:t>
      </w:r>
    </w:p>
    <w:p>
      <w:pPr>
        <w:spacing w:after="0" w:line="176" w:lineRule="exact"/>
        <w:rPr>
          <w:sz w:val="20"/>
          <w:szCs w:val="20"/>
          <w:color w:val="auto"/>
        </w:rPr>
      </w:pPr>
    </w:p>
    <w:p>
      <w:pPr>
        <w:jc w:val="both"/>
        <w:ind w:right="3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Contingent Obligation</w:t>
      </w:r>
      <w:r>
        <w:rPr>
          <w:rFonts w:ascii="Times New Roman" w:cs="Times New Roman" w:eastAsia="Times New Roman" w:hAnsi="Times New Roman"/>
          <w:sz w:val="18"/>
          <w:szCs w:val="18"/>
          <w:color w:val="auto"/>
        </w:rPr>
        <w:t xml:space="preserve">” as to any Person means, without duplication, (i) any contingent obligation of such Person required to be shown on such Person’s balance sheet in accordance with GAAP which is not otherwise Indebtedness and (ii) any obligation required to be disclosed in accordance with GAAP in the footnotes to such Person’s financial statements, guaranteeing partially or in whole any Non-Recourse Indebtedness, lease, dividend or other obligation including guarantees of completion and guarantees of representations and warranties;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however, Contingent Obligations shall not include title or contractual indemnities (including, any indemnity or price-adjustment provision relating to the purchase or sale of securities or other assets) and guarantees of non-monetary obligations (other than as described above) which have not yet been called on or quantified, of such Person or of any other Person. The amount of any Contingent Obligation described in clause (ii) shall be deemed to be (a) with respect to a guaranty of interest or interest and principal, or operating income guaranty, the Net Present Value of the sum of all payments required to be made thereunder (which in the case of an operating income guaranty shall be deemed to be equal to the debt service for the note secured thereby), through (i) in the case of an interest or interest and principal guaranty, the stated date of maturity of the obligation (and commencing on the date interest could first be payable thereunder), or (ii) in the case of an operating income guaranty, the date through which such guaranty will remain in effect, and (b) with respect to all guarantees not covered by the preceding clause (a), an amount equal to the stated or determinable amount of the primary obligation in respect of which such guaranty is made or, if not stated or determinable, the maximum reasonably anticipated liability in respect thereof (assuming such Person is required to perform thereunder) as recorded on the balance sheet and on the footnotes to the most recent financial statements of the Borrower required to be furnished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Notwithstanding anything contained herein to the contrary, guarantees of completion and guarantees of Customary Recourse Carveouts shall not be deemed to be Contingent Obligations unless and until a claim for payment or performance has been made thereunder, at which time any such guaranty of completion or guaranty of Customary Recourse Carveouts shall be deemed to be a Contingent Obligation in an amount equal to any such claim. All matters constituting “Contingent Obligations” shall be calculated without duplication.</w:t>
      </w:r>
    </w:p>
    <w:p>
      <w:pPr>
        <w:spacing w:after="0" w:line="19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ind w:right="560" w:firstLine="648"/>
        <w:spacing w:after="0" w:line="31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Control</w:t>
      </w:r>
      <w:r>
        <w:rPr>
          <w:rFonts w:ascii="Times New Roman" w:cs="Times New Roman" w:eastAsia="Times New Roman" w:hAnsi="Times New Roman"/>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7"/>
          <w:szCs w:val="17"/>
          <w:u w:val="single" w:color="auto"/>
          <w:color w:val="auto"/>
        </w:rPr>
        <w:t>Controlling</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Controlled</w:t>
      </w:r>
      <w:r>
        <w:rPr>
          <w:rFonts w:ascii="Times New Roman" w:cs="Times New Roman" w:eastAsia="Times New Roman" w:hAnsi="Times New Roman"/>
          <w:sz w:val="17"/>
          <w:szCs w:val="17"/>
          <w:color w:val="auto"/>
        </w:rPr>
        <w:t>” have meanings correlative thereto.</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Extension</w:t>
      </w:r>
      <w:r>
        <w:rPr>
          <w:rFonts w:ascii="Times New Roman" w:cs="Times New Roman" w:eastAsia="Times New Roman" w:hAnsi="Times New Roman"/>
          <w:sz w:val="18"/>
          <w:szCs w:val="18"/>
          <w:color w:val="auto"/>
        </w:rPr>
        <w:t>” means each of the following: (a) a Borrowing and (b) an L/C Credit Extension.</w:t>
      </w:r>
    </w:p>
    <w:p>
      <w:pPr>
        <w:sectPr>
          <w:pgSz w:w="11900" w:h="16838" w:orient="portrait"/>
          <w:cols w:equalWidth="0" w:num="1">
            <w:col w:w="11420"/>
          </w:cols>
          <w:pgMar w:left="240" w:top="121" w:right="239" w:bottom="36" w:gutter="0" w:footer="0" w:header="0"/>
        </w:sectPr>
      </w:pPr>
    </w:p>
    <w:bookmarkStart w:id="48" w:name="page49"/>
    <w:bookmarkEnd w:id="48"/>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Appraisal</w:t>
      </w:r>
      <w:r>
        <w:rPr>
          <w:rFonts w:ascii="Times New Roman" w:cs="Times New Roman" w:eastAsia="Times New Roman" w:hAnsi="Times New Roman"/>
          <w:sz w:val="18"/>
          <w:szCs w:val="18"/>
          <w:color w:val="auto"/>
        </w:rPr>
        <w:t>” means, on any date, an Appraisal that is dated not more than one year prior to such date (or such longer period, in no event to exceed 410 days, as the Administrative Agent may agree in writing).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Customary Recourse Carveouts</w:t>
      </w:r>
      <w:r>
        <w:rPr>
          <w:rFonts w:ascii="Times New Roman" w:cs="Times New Roman" w:eastAsia="Times New Roman" w:hAnsi="Times New Roman"/>
          <w:sz w:val="18"/>
          <w:szCs w:val="18"/>
          <w:color w:val="auto"/>
        </w:rPr>
        <w:t>” has the meaning specified in the definition of “Non-Recourse Indebtedness.”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Rating</w:t>
      </w:r>
      <w:r>
        <w:rPr>
          <w:rFonts w:ascii="Times New Roman" w:cs="Times New Roman" w:eastAsia="Times New Roman" w:hAnsi="Times New Roman"/>
          <w:sz w:val="18"/>
          <w:szCs w:val="18"/>
          <w:color w:val="auto"/>
        </w:rPr>
        <w:t>” has the meaning specified in the definition of “Applicable Rate.”</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that, with the giving of any notice, the passage of time, or both, would be an Event of Default.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means (a) when used with respect to Obligations other than Letter of Credit Fees, an interest rate equal to (i) the Base Rate plus</w:t>
      </w:r>
    </w:p>
    <w:p>
      <w:pPr>
        <w:spacing w:after="0" w:line="27" w:lineRule="exact"/>
        <w:rPr>
          <w:sz w:val="20"/>
          <w:szCs w:val="20"/>
          <w:color w:val="auto"/>
        </w:rPr>
      </w:pPr>
    </w:p>
    <w:p>
      <w:pPr>
        <w:ind w:right="260" w:firstLine="8"/>
        <w:spacing w:after="0" w:line="265" w:lineRule="auto"/>
        <w:tabs>
          <w:tab w:leader="none" w:pos="265"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Applicable Rate, if any, applicable to Base Rate Loans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(iii) 2% per annum;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with respect to a Eurodollar Rate Loan, the Default Rate shall be an interest rate equal to the interest rate (including any Applicable Rate) otherwise applicable to such Loan plus 2% per annum, and</w:t>
      </w:r>
    </w:p>
    <w:p>
      <w:pPr>
        <w:ind w:left="260" w:hanging="252"/>
        <w:spacing w:after="0"/>
        <w:tabs>
          <w:tab w:leader="none" w:pos="2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used with respect to Letter of Credit Fees, a rate equal to the Applicable Rate plus 2% per annum.</w:t>
      </w:r>
    </w:p>
    <w:p>
      <w:pPr>
        <w:spacing w:after="0" w:line="20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2.17(b)</w:t>
      </w:r>
      <w:r>
        <w:rPr>
          <w:rFonts w:ascii="Times New Roman" w:cs="Times New Roman" w:eastAsia="Times New Roman" w:hAnsi="Times New Roman"/>
          <w:sz w:val="18"/>
          <w:szCs w:val="18"/>
          <w:color w:val="auto"/>
        </w:rPr>
        <w:t xml:space="preserve">,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L/C Issuer or any other Lender any other amount required to be paid by it hereunder (including in respect of its participation in Letters of Credit) within two Business Days of the date when due, (b) has notified the Borrower, the Administrative Agent or any L/C Issuer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 2.17(b)</w:t>
      </w:r>
      <w:r>
        <w:rPr>
          <w:rFonts w:ascii="Times New Roman" w:cs="Times New Roman" w:eastAsia="Times New Roman" w:hAnsi="Times New Roman"/>
          <w:sz w:val="18"/>
          <w:szCs w:val="18"/>
          <w:color w:val="auto"/>
        </w:rPr>
        <w:t>) as of the date established therefor by the Administrative Agent in 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written notice of such determination, which shall be delivered by the Administrative Agent to the Borrower, the L/C Issuers and each other Lender promptly following such determination.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 Owner</w:t>
      </w:r>
      <w:r>
        <w:rPr>
          <w:rFonts w:ascii="Times New Roman" w:cs="Times New Roman" w:eastAsia="Times New Roman" w:hAnsi="Times New Roman"/>
          <w:sz w:val="18"/>
          <w:szCs w:val="18"/>
          <w:color w:val="auto"/>
        </w:rPr>
        <w:t>” means each Subsidiary of the Operating Partnership that directly owns any Borrowing Base Asset.</w:t>
      </w:r>
    </w:p>
    <w:p>
      <w:pPr>
        <w:spacing w:after="0" w:line="22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means the sale, transfer, license, lease or other disposition (including any sale and leaseback transaction) of any property by any Person, including any sale, assignment, transfer or other disposal, with or without recourse, of any notes or accounts receivable or any rights and claims associated therewith.</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lawful money of the United States.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any Subsidiary that is organized under the laws of any political subdivision of the United States.</w:t>
      </w:r>
    </w:p>
    <w:p>
      <w:pPr>
        <w:spacing w:after="0" w:line="225" w:lineRule="exact"/>
        <w:rPr>
          <w:sz w:val="20"/>
          <w:szCs w:val="20"/>
          <w:color w:val="auto"/>
        </w:rPr>
      </w:pPr>
    </w:p>
    <w:p>
      <w:pPr>
        <w:ind w:right="360" w:firstLine="648"/>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EEA Financial Institution</w:t>
      </w:r>
      <w:r>
        <w:rPr>
          <w:rFonts w:ascii="Times New Roman" w:cs="Times New Roman" w:eastAsia="Times New Roman" w:hAnsi="Times New Roman"/>
          <w:sz w:val="17"/>
          <w:szCs w:val="17"/>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w:t>
      </w:r>
    </w:p>
    <w:p>
      <w:pPr>
        <w:spacing w:after="0" w:line="1" w:lineRule="exact"/>
        <w:rPr>
          <w:sz w:val="20"/>
          <w:szCs w:val="20"/>
          <w:color w:val="auto"/>
        </w:rPr>
      </w:pPr>
    </w:p>
    <w:p>
      <w:pPr>
        <w:ind w:left="260" w:hanging="252"/>
        <w:spacing w:after="0"/>
        <w:tabs>
          <w:tab w:leader="none" w:pos="2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definition, or (c) any financial institution established in an EEA Member Country which is a Subsidiary of an institution described in clauses (a) or</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definition and is subject to consolidated supervision with its parent.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any Person that meets the requirements to be an assignee under </w:t>
      </w:r>
      <w:r>
        <w:rPr>
          <w:rFonts w:ascii="Times New Roman" w:cs="Times New Roman" w:eastAsia="Times New Roman" w:hAnsi="Times New Roman"/>
          <w:sz w:val="18"/>
          <w:szCs w:val="18"/>
          <w:u w:val="single" w:color="auto"/>
          <w:color w:val="auto"/>
        </w:rPr>
        <w:t>Section 10.06(b)(iii)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(subject to such consents, if any, as may be required under </w:t>
      </w:r>
      <w:r>
        <w:rPr>
          <w:rFonts w:ascii="Times New Roman" w:cs="Times New Roman" w:eastAsia="Times New Roman" w:hAnsi="Times New Roman"/>
          <w:sz w:val="18"/>
          <w:szCs w:val="18"/>
          <w:u w:val="single" w:color="auto"/>
          <w:color w:val="auto"/>
        </w:rPr>
        <w:t>Section 10.06(b)(iii)</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121" w:right="239" w:bottom="0" w:gutter="0" w:footer="0" w:header="0"/>
        </w:sectPr>
      </w:pPr>
    </w:p>
    <w:bookmarkStart w:id="49" w:name="page50"/>
    <w:bookmarkEnd w:id="49"/>
    <w:p>
      <w:pPr>
        <w:spacing w:after="0" w:line="54"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Ground Net Lease Assets</w:t>
      </w:r>
      <w:r>
        <w:rPr>
          <w:rFonts w:ascii="Times New Roman" w:cs="Times New Roman" w:eastAsia="Times New Roman" w:hAnsi="Times New Roman"/>
          <w:sz w:val="18"/>
          <w:szCs w:val="18"/>
          <w:color w:val="auto"/>
        </w:rPr>
        <w:t xml:space="preserve">” means the Ground Net Lease Assets set forth on </w:t>
      </w:r>
      <w:r>
        <w:rPr>
          <w:rFonts w:ascii="Times New Roman" w:cs="Times New Roman" w:eastAsia="Times New Roman" w:hAnsi="Times New Roman"/>
          <w:sz w:val="18"/>
          <w:szCs w:val="18"/>
          <w:u w:val="single" w:color="auto"/>
          <w:color w:val="auto"/>
        </w:rPr>
        <w:t>Schedule 2.18</w:t>
      </w:r>
      <w:r>
        <w:rPr>
          <w:rFonts w:ascii="Times New Roman" w:cs="Times New Roman" w:eastAsia="Times New Roman" w:hAnsi="Times New Roman"/>
          <w:sz w:val="18"/>
          <w:szCs w:val="18"/>
          <w:color w:val="auto"/>
        </w:rPr>
        <w:t xml:space="preserve"> on the Closing Date and each other Ground Net Lease Asset offered by the Borrower and approved for inclusion as a Borrowing Base Asset pursuant to </w:t>
      </w:r>
      <w:r>
        <w:rPr>
          <w:rFonts w:ascii="Times New Roman" w:cs="Times New Roman" w:eastAsia="Times New Roman" w:hAnsi="Times New Roman"/>
          <w:sz w:val="18"/>
          <w:szCs w:val="18"/>
          <w:u w:val="single" w:color="auto"/>
          <w:color w:val="auto"/>
        </w:rPr>
        <w:t>Section 2.18(a)</w:t>
      </w:r>
      <w:r>
        <w:rPr>
          <w:rFonts w:ascii="Times New Roman" w:cs="Times New Roman" w:eastAsia="Times New Roman" w:hAnsi="Times New Roman"/>
          <w:sz w:val="18"/>
          <w:szCs w:val="18"/>
          <w:color w:val="auto"/>
        </w:rPr>
        <w:t xml:space="preserve">, in each case, as in effect on the Closing Date or the date that such Ground Net Lease Asset is included as a Borrowing Base Asset and as thereafter amended, supplemented or otherwise modified to the extent permitted under this Agreement, as applicable, and in each case, that (i) has not been excluded pursuant to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or removed pursuant to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and (ii) unless otherwise agreed by the Administrative Agent and the Super Majority Lenders, at all times satisfies each of the following criteria:</w:t>
      </w:r>
    </w:p>
    <w:p>
      <w:pPr>
        <w:spacing w:after="0" w:line="188" w:lineRule="exact"/>
        <w:rPr>
          <w:sz w:val="20"/>
          <w:szCs w:val="20"/>
          <w:color w:val="auto"/>
        </w:rPr>
      </w:pPr>
    </w:p>
    <w:p>
      <w:pPr>
        <w:ind w:left="740" w:right="100" w:firstLine="646"/>
        <w:spacing w:after="0" w:line="266" w:lineRule="auto"/>
        <w:tabs>
          <w:tab w:leader="none" w:pos="195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prior to the Investment Grade Release, each Subsidiary that is the Direct Owner of such Ground Net Lease Asset or an Indirect Owner of such Direct Owner is a Guarantor and (ii) following the Investment Grade Release, each Subsidiary that is the Direct Owner of such Ground Net Lease Asset, or an Indirect Owner of such</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40" w:right="280"/>
        <w:spacing w:after="0" w:line="282" w:lineRule="auto"/>
        <w:rPr>
          <w:sz w:val="20"/>
          <w:szCs w:val="20"/>
          <w:color w:val="auto"/>
        </w:rPr>
      </w:pPr>
      <w:r>
        <w:rPr>
          <w:rFonts w:ascii="Times New Roman" w:cs="Times New Roman" w:eastAsia="Times New Roman" w:hAnsi="Times New Roman"/>
          <w:sz w:val="18"/>
          <w:szCs w:val="18"/>
          <w:color w:val="auto"/>
        </w:rPr>
        <w:t>Direct Owner, and is a borrower or guarantor of, or otherwise has a payment obligation in respect of, any Unsecured Debt or Secured Pari Passu Obligations is a Guarantor;</w:t>
      </w:r>
    </w:p>
    <w:p>
      <w:pPr>
        <w:spacing w:after="0" w:line="162" w:lineRule="exact"/>
        <w:rPr>
          <w:sz w:val="20"/>
          <w:szCs w:val="20"/>
          <w:color w:val="auto"/>
        </w:rPr>
      </w:pPr>
    </w:p>
    <w:p>
      <w:pPr>
        <w:ind w:left="740" w:right="120" w:firstLine="646"/>
        <w:spacing w:after="0" w:line="261" w:lineRule="auto"/>
        <w:tabs>
          <w:tab w:leader="none" w:pos="196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Ground Net Lease Asset (and the right to any income therefrom or proceeds thereof) shall not be subject to any Lien or Negative Pledge or any other encumbrance or restriction on the ability of the Direct Owner thereof or any Indirect Owner of such Direct Owner to transfer, finance or encumber such Ground Net Lease or income therefrom or proceeds thereof (in each case, other than Permitted Property Encumbrances);</w:t>
      </w:r>
    </w:p>
    <w:p>
      <w:pPr>
        <w:spacing w:after="0" w:line="180" w:lineRule="exact"/>
        <w:rPr>
          <w:rFonts w:ascii="Times New Roman" w:cs="Times New Roman" w:eastAsia="Times New Roman" w:hAnsi="Times New Roman"/>
          <w:sz w:val="18"/>
          <w:szCs w:val="18"/>
          <w:color w:val="auto"/>
        </w:rPr>
      </w:pPr>
    </w:p>
    <w:p>
      <w:pPr>
        <w:jc w:val="both"/>
        <w:ind w:left="740" w:right="180" w:firstLine="646"/>
        <w:spacing w:after="0" w:line="282" w:lineRule="auto"/>
        <w:tabs>
          <w:tab w:leader="none" w:pos="196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Ground Net Lease Asset (and the right to any income therefrom or proceeds thereof) is not subject to any subordination by contract or otherwise (excluding any subordination that may be deemed to occur by virtue of the existence of Permitted Property Encumbrances);</w:t>
      </w:r>
    </w:p>
    <w:p>
      <w:pPr>
        <w:spacing w:after="0" w:line="161" w:lineRule="exact"/>
        <w:rPr>
          <w:rFonts w:ascii="Times New Roman" w:cs="Times New Roman" w:eastAsia="Times New Roman" w:hAnsi="Times New Roman"/>
          <w:sz w:val="18"/>
          <w:szCs w:val="18"/>
          <w:color w:val="auto"/>
        </w:rPr>
      </w:pPr>
    </w:p>
    <w:p>
      <w:pPr>
        <w:ind w:left="1960" w:hanging="574"/>
        <w:spacing w:after="0"/>
        <w:tabs>
          <w:tab w:leader="none" w:pos="1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Ground Net Lease Asset is not an Other Net Lease and is located in a state within the United States or in the District of</w:t>
      </w:r>
    </w:p>
    <w:p>
      <w:pPr>
        <w:spacing w:after="0" w:line="27"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Columbia;</w:t>
      </w:r>
    </w:p>
    <w:p>
      <w:pPr>
        <w:spacing w:after="0" w:line="206" w:lineRule="exact"/>
        <w:rPr>
          <w:rFonts w:ascii="Times New Roman" w:cs="Times New Roman" w:eastAsia="Times New Roman" w:hAnsi="Times New Roman"/>
          <w:sz w:val="18"/>
          <w:szCs w:val="18"/>
          <w:color w:val="auto"/>
        </w:rPr>
      </w:pPr>
    </w:p>
    <w:p>
      <w:pPr>
        <w:ind w:left="740" w:right="220" w:firstLine="646"/>
        <w:spacing w:after="0" w:line="282" w:lineRule="auto"/>
        <w:tabs>
          <w:tab w:leader="none" w:pos="196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Ground Net Lease Asset has a remaining lease term of at least ten years (inclusive of any unexercised extension options that are available to the ground lessee thereof);</w:t>
      </w:r>
    </w:p>
    <w:p>
      <w:pPr>
        <w:spacing w:after="0" w:line="161" w:lineRule="exact"/>
        <w:rPr>
          <w:rFonts w:ascii="Times New Roman" w:cs="Times New Roman" w:eastAsia="Times New Roman" w:hAnsi="Times New Roman"/>
          <w:sz w:val="18"/>
          <w:szCs w:val="18"/>
          <w:color w:val="auto"/>
        </w:rPr>
      </w:pPr>
    </w:p>
    <w:p>
      <w:pPr>
        <w:ind w:left="1960" w:hanging="574"/>
        <w:spacing w:after="0"/>
        <w:tabs>
          <w:tab w:leader="none" w:pos="1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Event shall be continuing with respect to such Ground Net Lease Asset;</w:t>
      </w:r>
    </w:p>
    <w:p>
      <w:pPr>
        <w:spacing w:after="0" w:line="225" w:lineRule="exact"/>
        <w:rPr>
          <w:rFonts w:ascii="Times New Roman" w:cs="Times New Roman" w:eastAsia="Times New Roman" w:hAnsi="Times New Roman"/>
          <w:sz w:val="18"/>
          <w:szCs w:val="18"/>
          <w:color w:val="auto"/>
        </w:rPr>
      </w:pPr>
    </w:p>
    <w:p>
      <w:pPr>
        <w:ind w:left="1980" w:hanging="594"/>
        <w:spacing w:after="0"/>
        <w:tabs>
          <w:tab w:leader="none" w:pos="1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Ground Net Lease Asset generates income to the Wholly-Owned Subsidiary that is the Direct Owner thereof;</w:t>
      </w:r>
    </w:p>
    <w:p>
      <w:pPr>
        <w:spacing w:after="0" w:line="225" w:lineRule="exact"/>
        <w:rPr>
          <w:rFonts w:ascii="Times New Roman" w:cs="Times New Roman" w:eastAsia="Times New Roman" w:hAnsi="Times New Roman"/>
          <w:sz w:val="18"/>
          <w:szCs w:val="18"/>
          <w:color w:val="auto"/>
        </w:rPr>
      </w:pPr>
    </w:p>
    <w:p>
      <w:pPr>
        <w:ind w:left="740" w:right="200" w:firstLine="646"/>
        <w:spacing w:after="0" w:line="266" w:lineRule="auto"/>
        <w:tabs>
          <w:tab w:leader="none" w:pos="196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Equity Interests (or the right to any income therefrom or proceeds thereof) of the Direct Owner of such Ground Net Lease Asset or any Indirect Owner of such Direct Owner are subject to any Lien or Negative Pledge or any restriction on the ability to transfer or encumber such Equity Interests or any income therefrom or proceeds thereof (in each case, other than Permitted Equity Encumbrances);</w:t>
      </w:r>
    </w:p>
    <w:p>
      <w:pPr>
        <w:spacing w:after="0" w:line="176" w:lineRule="exact"/>
        <w:rPr>
          <w:rFonts w:ascii="Times New Roman" w:cs="Times New Roman" w:eastAsia="Times New Roman" w:hAnsi="Times New Roman"/>
          <w:sz w:val="18"/>
          <w:szCs w:val="18"/>
          <w:color w:val="auto"/>
        </w:rPr>
      </w:pPr>
    </w:p>
    <w:p>
      <w:pPr>
        <w:ind w:left="740" w:firstLine="646"/>
        <w:spacing w:after="0" w:line="258" w:lineRule="auto"/>
        <w:tabs>
          <w:tab w:leader="none" w:pos="197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Direct Owner of such Ground Net Lease Asset nor any Indirect Owner of such Direct Owner is a borrower or guarantor of, or otherwise obligated in respect of, any Indebtedness other than (i) the Obligations, (ii) following the Investment Grade Release, (x) Unsecured Debt, so long as such Direct Owner and Indirect Owner is also a Guarantor and (y) Secured Pari Passu Obligations and (iii) in the case of an Indirect Owner, unsecured guarantees of Non-Recourse Indebtedness of a Subsidiary thereof for which recourse to such Indirect Owner is contractually limited to liability for Customary Recourse Carveouts;</w:t>
      </w:r>
    </w:p>
    <w:p>
      <w:pPr>
        <w:spacing w:after="0" w:line="183" w:lineRule="exact"/>
        <w:rPr>
          <w:rFonts w:ascii="Times New Roman" w:cs="Times New Roman" w:eastAsia="Times New Roman" w:hAnsi="Times New Roman"/>
          <w:sz w:val="18"/>
          <w:szCs w:val="18"/>
          <w:color w:val="auto"/>
        </w:rPr>
      </w:pPr>
    </w:p>
    <w:p>
      <w:pPr>
        <w:ind w:left="740" w:right="380" w:firstLine="646"/>
        <w:spacing w:after="0" w:line="313" w:lineRule="auto"/>
        <w:tabs>
          <w:tab w:leader="none" w:pos="1963"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Ground Net Lease Asset does not have any title, survey, environmental, structural, or other defects that would materially impair the profitable operation of such Ground Net Lease Asset and is not subject to any material condemnation or similar proceeding; and</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740" w:right="720" w:firstLine="646"/>
        <w:spacing w:after="0" w:line="282" w:lineRule="auto"/>
        <w:tabs>
          <w:tab w:leader="none" w:pos="196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Direct Owner of such Ground Net Lease Asset nor any Indirect Owner of such Direct Owner is subject to any proceedings under any Debtor Relief Law.</w:t>
      </w:r>
    </w:p>
    <w:p>
      <w:pPr>
        <w:spacing w:after="0" w:line="1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Loan Assets</w:t>
      </w:r>
      <w:r>
        <w:rPr>
          <w:rFonts w:ascii="Times New Roman" w:cs="Times New Roman" w:eastAsia="Times New Roman" w:hAnsi="Times New Roman"/>
          <w:sz w:val="18"/>
          <w:szCs w:val="18"/>
          <w:color w:val="auto"/>
        </w:rPr>
        <w:t xml:space="preserve">” means the Loan Assets set forth on </w:t>
      </w:r>
      <w:r>
        <w:rPr>
          <w:rFonts w:ascii="Times New Roman" w:cs="Times New Roman" w:eastAsia="Times New Roman" w:hAnsi="Times New Roman"/>
          <w:sz w:val="18"/>
          <w:szCs w:val="18"/>
          <w:u w:val="single" w:color="auto"/>
          <w:color w:val="auto"/>
        </w:rPr>
        <w:t>Schedule 2.18</w:t>
      </w:r>
      <w:r>
        <w:rPr>
          <w:rFonts w:ascii="Times New Roman" w:cs="Times New Roman" w:eastAsia="Times New Roman" w:hAnsi="Times New Roman"/>
          <w:sz w:val="18"/>
          <w:szCs w:val="18"/>
          <w:color w:val="auto"/>
        </w:rPr>
        <w:t xml:space="preserve"> on the Closing Date and each other Loan Asset offered by the Borrower and approved for inclusion as a Borrowing Base Asset pursuant to </w:t>
      </w:r>
      <w:r>
        <w:rPr>
          <w:rFonts w:ascii="Times New Roman" w:cs="Times New Roman" w:eastAsia="Times New Roman" w:hAnsi="Times New Roman"/>
          <w:sz w:val="18"/>
          <w:szCs w:val="18"/>
          <w:u w:val="single" w:color="auto"/>
          <w:color w:val="auto"/>
        </w:rPr>
        <w:t>Section 2.18(a)</w:t>
      </w:r>
      <w:r>
        <w:rPr>
          <w:rFonts w:ascii="Times New Roman" w:cs="Times New Roman" w:eastAsia="Times New Roman" w:hAnsi="Times New Roman"/>
          <w:sz w:val="18"/>
          <w:szCs w:val="18"/>
          <w:color w:val="auto"/>
        </w:rPr>
        <w:t xml:space="preserve">, in each case, that (i) has not been excluded pursuant to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or removed pursuant to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and (ii) unless otherwise agreed by the Administrative Agent and the Super Majority Lenders, at all times satisfies each of the following criteria:</w:t>
      </w:r>
    </w:p>
    <w:p>
      <w:pPr>
        <w:spacing w:after="0" w:line="180" w:lineRule="exact"/>
        <w:rPr>
          <w:sz w:val="20"/>
          <w:szCs w:val="20"/>
          <w:color w:val="auto"/>
        </w:rPr>
      </w:pPr>
    </w:p>
    <w:p>
      <w:pPr>
        <w:ind w:left="1940" w:hanging="554"/>
        <w:spacing w:after="0"/>
        <w:tabs>
          <w:tab w:leader="none" w:pos="19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Loan Asset is wholly-owned by a Wholly-Owned Domestic Subsidiary as mortgagee;</w:t>
      </w:r>
    </w:p>
    <w:p>
      <w:pPr>
        <w:spacing w:after="0" w:line="225" w:lineRule="exact"/>
        <w:rPr>
          <w:rFonts w:ascii="Times New Roman" w:cs="Times New Roman" w:eastAsia="Times New Roman" w:hAnsi="Times New Roman"/>
          <w:sz w:val="18"/>
          <w:szCs w:val="18"/>
          <w:color w:val="auto"/>
        </w:rPr>
      </w:pPr>
    </w:p>
    <w:p>
      <w:pPr>
        <w:ind w:left="740" w:right="40" w:firstLine="646"/>
        <w:spacing w:after="0" w:line="261" w:lineRule="auto"/>
        <w:tabs>
          <w:tab w:leader="none" w:pos="196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prior to the Investment Grade Release, each Subsidiary that is the Direct Owner of such Loan Asset or an Indirect Owner of such Direct Owner is a Guarantor and (ii) following the Investment Grade Release, each Subsidiary that is the Direct Owner of such Loan Asset, or an Indirect Owner of such Direct Owner, and is a borrower or guarantor of, or otherwise has a payment obligation in respect of, any Unsecured Debt or Secured Pari Passu Obligations is a Guarantor;</w:t>
      </w:r>
    </w:p>
    <w:p>
      <w:pPr>
        <w:spacing w:after="0" w:line="180" w:lineRule="exact"/>
        <w:rPr>
          <w:rFonts w:ascii="Times New Roman" w:cs="Times New Roman" w:eastAsia="Times New Roman" w:hAnsi="Times New Roman"/>
          <w:sz w:val="18"/>
          <w:szCs w:val="18"/>
          <w:color w:val="auto"/>
        </w:rPr>
      </w:pPr>
    </w:p>
    <w:p>
      <w:pPr>
        <w:ind w:left="1960" w:hanging="574"/>
        <w:spacing w:after="0"/>
        <w:tabs>
          <w:tab w:leader="none" w:pos="19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Loan Asset is denominated in U.S. dollars;</w:t>
      </w:r>
    </w:p>
    <w:p>
      <w:pPr>
        <w:spacing w:after="0" w:line="225" w:lineRule="exact"/>
        <w:rPr>
          <w:rFonts w:ascii="Times New Roman" w:cs="Times New Roman" w:eastAsia="Times New Roman" w:hAnsi="Times New Roman"/>
          <w:sz w:val="18"/>
          <w:szCs w:val="18"/>
          <w:color w:val="auto"/>
        </w:rPr>
      </w:pPr>
    </w:p>
    <w:p>
      <w:pPr>
        <w:jc w:val="both"/>
        <w:ind w:left="740" w:firstLine="646"/>
        <w:spacing w:after="0" w:line="266" w:lineRule="auto"/>
        <w:tabs>
          <w:tab w:leader="none" w:pos="196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with respect to such Loan Asset (each a “</w:t>
      </w:r>
      <w:r>
        <w:rPr>
          <w:rFonts w:ascii="Times New Roman" w:cs="Times New Roman" w:eastAsia="Times New Roman" w:hAnsi="Times New Roman"/>
          <w:sz w:val="18"/>
          <w:szCs w:val="18"/>
          <w:u w:val="single" w:color="auto"/>
          <w:color w:val="auto"/>
        </w:rPr>
        <w:t>Loan Asset Borrower</w:t>
      </w:r>
      <w:r>
        <w:rPr>
          <w:rFonts w:ascii="Times New Roman" w:cs="Times New Roman" w:eastAsia="Times New Roman" w:hAnsi="Times New Roman"/>
          <w:sz w:val="18"/>
          <w:szCs w:val="18"/>
          <w:color w:val="auto"/>
        </w:rPr>
        <w:t>”) is the owner and ground lessor of the Real Property Asset subject to the mortgage securing such Loan Asset, is not an Affiliate of the Borrower, and is organized in a state within the United States or in the District of Columbia;</w:t>
      </w:r>
    </w:p>
    <w:p>
      <w:pPr>
        <w:spacing w:after="0" w:line="176" w:lineRule="exact"/>
        <w:rPr>
          <w:rFonts w:ascii="Times New Roman" w:cs="Times New Roman" w:eastAsia="Times New Roman" w:hAnsi="Times New Roman"/>
          <w:sz w:val="18"/>
          <w:szCs w:val="18"/>
          <w:color w:val="auto"/>
        </w:rPr>
      </w:pPr>
    </w:p>
    <w:p>
      <w:pPr>
        <w:jc w:val="both"/>
        <w:ind w:left="740" w:right="80" w:firstLine="646"/>
        <w:spacing w:after="0" w:line="266" w:lineRule="auto"/>
        <w:tabs>
          <w:tab w:leader="none" w:pos="196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Loan Asset is secured by a first mortgage, deed of trust or analogous document on a Ground Net Lease (excluding any Other Net Lease) located in a state within the United States or in the District of Columbia with a remaining lease term of at least ten (10) years (inclusive of any unexercised extension options that are available to the relevant Loan Asset Borrower);</w:t>
      </w:r>
    </w:p>
    <w:p>
      <w:pPr>
        <w:sectPr>
          <w:pgSz w:w="11900" w:h="16892" w:orient="portrait"/>
          <w:cols w:equalWidth="0" w:num="1">
            <w:col w:w="11400"/>
          </w:cols>
          <w:pgMar w:left="240" w:top="121" w:right="259" w:bottom="0" w:gutter="0" w:footer="0" w:header="0"/>
        </w:sectPr>
      </w:pPr>
    </w:p>
    <w:bookmarkStart w:id="50" w:name="page51"/>
    <w:bookmarkEnd w:id="50"/>
    <w:p>
      <w:pPr>
        <w:ind w:left="740" w:firstLine="646"/>
        <w:spacing w:after="0" w:line="261" w:lineRule="auto"/>
        <w:tabs>
          <w:tab w:leader="none" w:pos="19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Loan Asset and mortgaged Real Property Asset (and, in each case, the right to any income therefrom or proceeds thereof) shall not be subject to any Lien or Negative Pledge or any other encumbrance or restriction on the ability of the Direct Owner of such Loan Asset or any Indirect Owner of such Direct Owner to transfer, finance or encumber such Loan Asset or income therefrom or proceeds thereof (in each case, other than under the documentation for the Loan Asset and the related mortgage and any Permitted Property Encumbrances);</w:t>
      </w:r>
    </w:p>
    <w:p>
      <w:pPr>
        <w:spacing w:after="0" w:line="180" w:lineRule="exact"/>
        <w:rPr>
          <w:rFonts w:ascii="Times New Roman" w:cs="Times New Roman" w:eastAsia="Times New Roman" w:hAnsi="Times New Roman"/>
          <w:sz w:val="18"/>
          <w:szCs w:val="18"/>
          <w:color w:val="auto"/>
        </w:rPr>
      </w:pPr>
    </w:p>
    <w:p>
      <w:pPr>
        <w:ind w:left="740" w:right="40" w:firstLine="646"/>
        <w:spacing w:after="0" w:line="261" w:lineRule="auto"/>
        <w:tabs>
          <w:tab w:leader="none" w:pos="197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Direct Owner of such Loan Asset nor any Indirect Owner of such Direct Owner is a borrower or guarantor of, or otherwise obligated in respect of, any Indebtedness other than (i) the Obligations, (ii) following the Investment Grade Release, (x) Unsecured Debt, so long as such Direct Owner and Indirect Owner is also a Guarantor and (y) Secured Pari Passu Obligations and (iii) in the case of an Indirect Owner, unsecured guarantees of Non-Recourse Indebtedness of a Subsidiary thereof for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which recourse to such Indirect Owner is contractually limited to liability for Customary Recourse Carveouts;</w:t>
      </w:r>
    </w:p>
    <w:p>
      <w:pPr>
        <w:spacing w:after="0" w:line="225" w:lineRule="exact"/>
        <w:rPr>
          <w:sz w:val="20"/>
          <w:szCs w:val="20"/>
          <w:color w:val="auto"/>
        </w:rPr>
      </w:pPr>
    </w:p>
    <w:p>
      <w:pPr>
        <w:ind w:left="740" w:right="120" w:firstLine="646"/>
        <w:spacing w:after="0" w:line="282" w:lineRule="auto"/>
        <w:tabs>
          <w:tab w:leader="none" w:pos="196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Loan Asset shall not be contractually or structurally junior to or pari passu with any other loans, or secured by Liens that are junior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Liens securing other loans encumbering shared collateral;</w:t>
      </w:r>
    </w:p>
    <w:p>
      <w:pPr>
        <w:spacing w:after="0" w:line="161" w:lineRule="exact"/>
        <w:rPr>
          <w:rFonts w:ascii="Times New Roman" w:cs="Times New Roman" w:eastAsia="Times New Roman" w:hAnsi="Times New Roman"/>
          <w:sz w:val="18"/>
          <w:szCs w:val="18"/>
          <w:color w:val="auto"/>
        </w:rPr>
      </w:pPr>
    </w:p>
    <w:p>
      <w:pPr>
        <w:ind w:left="1980" w:hanging="594"/>
        <w:spacing w:after="0"/>
        <w:tabs>
          <w:tab w:leader="none" w:pos="1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Event shall be continuing with respect to such Loan Asset;</w:t>
      </w:r>
    </w:p>
    <w:p>
      <w:pPr>
        <w:spacing w:after="0" w:line="225" w:lineRule="exact"/>
        <w:rPr>
          <w:rFonts w:ascii="Times New Roman" w:cs="Times New Roman" w:eastAsia="Times New Roman" w:hAnsi="Times New Roman"/>
          <w:sz w:val="18"/>
          <w:szCs w:val="18"/>
          <w:color w:val="auto"/>
        </w:rPr>
      </w:pPr>
    </w:p>
    <w:p>
      <w:pPr>
        <w:ind w:left="740" w:right="20" w:firstLine="646"/>
        <w:spacing w:after="0" w:line="282" w:lineRule="auto"/>
        <w:tabs>
          <w:tab w:leader="none" w:pos="196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Loan Asset generates income to the Wholly-Owned Subsidiary that is the Direct Owner thereof and has not been classified as a Non-Performing Loan Asset;</w:t>
      </w:r>
    </w:p>
    <w:p>
      <w:pPr>
        <w:spacing w:after="0" w:line="161" w:lineRule="exact"/>
        <w:rPr>
          <w:rFonts w:ascii="Times New Roman" w:cs="Times New Roman" w:eastAsia="Times New Roman" w:hAnsi="Times New Roman"/>
          <w:sz w:val="18"/>
          <w:szCs w:val="18"/>
          <w:color w:val="auto"/>
        </w:rPr>
      </w:pPr>
    </w:p>
    <w:p>
      <w:pPr>
        <w:ind w:left="1960" w:hanging="574"/>
        <w:spacing w:after="0"/>
        <w:tabs>
          <w:tab w:leader="none" w:pos="19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Loan Asset does not constitute a construction or development loan and is fully disbursed;</w:t>
      </w:r>
    </w:p>
    <w:p>
      <w:pPr>
        <w:spacing w:after="0" w:line="225" w:lineRule="exact"/>
        <w:rPr>
          <w:rFonts w:ascii="Times New Roman" w:cs="Times New Roman" w:eastAsia="Times New Roman" w:hAnsi="Times New Roman"/>
          <w:sz w:val="18"/>
          <w:szCs w:val="18"/>
          <w:color w:val="auto"/>
        </w:rPr>
      </w:pPr>
    </w:p>
    <w:p>
      <w:pPr>
        <w:ind w:left="1980" w:hanging="594"/>
        <w:spacing w:after="0"/>
        <w:tabs>
          <w:tab w:leader="none" w:pos="1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Look-Through LTV of such Loan Asset does not exceed eighty percent (80%);</w:t>
      </w:r>
    </w:p>
    <w:p>
      <w:pPr>
        <w:spacing w:after="0" w:line="225" w:lineRule="exact"/>
        <w:rPr>
          <w:rFonts w:ascii="Times New Roman" w:cs="Times New Roman" w:eastAsia="Times New Roman" w:hAnsi="Times New Roman"/>
          <w:sz w:val="18"/>
          <w:szCs w:val="18"/>
          <w:color w:val="auto"/>
        </w:rPr>
      </w:pPr>
    </w:p>
    <w:p>
      <w:pPr>
        <w:jc w:val="both"/>
        <w:ind w:left="740" w:right="120" w:firstLine="646"/>
        <w:spacing w:after="0" w:line="266" w:lineRule="auto"/>
        <w:tabs>
          <w:tab w:leader="none" w:pos="195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Equity Interests (or the right to any income therefrom or proceeds thereof) of the Direct Owner of such Loan Asset or any Indirect Owner of such Direct Owner are subject to any Lien or Negative Pledge or any restriction on the ability to transfer or encumber such Equity Interests or any income therefrom or proceeds thereof (other than Permitted Equity Encumbrances); and</w:t>
      </w:r>
    </w:p>
    <w:p>
      <w:pPr>
        <w:spacing w:after="0" w:line="176" w:lineRule="exact"/>
        <w:rPr>
          <w:rFonts w:ascii="Times New Roman" w:cs="Times New Roman" w:eastAsia="Times New Roman" w:hAnsi="Times New Roman"/>
          <w:sz w:val="18"/>
          <w:szCs w:val="18"/>
          <w:color w:val="auto"/>
        </w:rPr>
      </w:pPr>
    </w:p>
    <w:p>
      <w:pPr>
        <w:ind w:left="1960" w:hanging="574"/>
        <w:spacing w:after="0"/>
        <w:tabs>
          <w:tab w:leader="none" w:pos="196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Direct Owner nor any Indirect Owner of such Direct Owner is subject to any proceedings under any Debtor Relief Law.</w:t>
      </w:r>
    </w:p>
    <w:p>
      <w:pPr>
        <w:spacing w:after="0" w:line="237"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Affiliate</w:t>
      </w:r>
      <w:r>
        <w:rPr>
          <w:rFonts w:ascii="Times New Roman" w:cs="Times New Roman" w:eastAsia="Times New Roman" w:hAnsi="Times New Roman"/>
          <w:sz w:val="18"/>
          <w:szCs w:val="18"/>
          <w:color w:val="auto"/>
        </w:rPr>
        <w:t>” means any partnership, joint venture, trust or corporation in which an Equity Interest is owned directly or indirectly by any Consolidated Party and, as a result of the ownership of such Equity Interest, a Consolidated Party may become subject to liability for Environmental Claims against such partnership, joint venture, trust or corporation (or the property thereof).</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Claim</w:t>
      </w:r>
      <w:r>
        <w:rPr>
          <w:rFonts w:ascii="Times New Roman" w:cs="Times New Roman" w:eastAsia="Times New Roman" w:hAnsi="Times New Roman"/>
          <w:sz w:val="18"/>
          <w:szCs w:val="18"/>
          <w:color w:val="auto"/>
        </w:rPr>
        <w:t>” means, with respect to any Person, any liability (contingent or otherwise) or any notice, claim, demand or similar communication (written or oral) by any other Person alleging potential liability of such Person for investigatory costs, cleanup costs, governmental response costs, natural resources damage, property damages, personal injuries, fines or penalties arising out of, based on or resulting, directly or indirectly, from (a) the presence, release or threatened release into the environment, of any Hazardous Materials at any location, whether or not owned by such Person, (b) the generation, use, handling, transportation, storage, treatment or disposal of any Hazardous Materials, (c) exposure to any Hazardous Materials, or (d) circumstances forming the basis of any violation of any Environmental Law.</w:t>
      </w:r>
    </w:p>
    <w:p>
      <w:pPr>
        <w:spacing w:after="0" w:line="188"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Federal, state, local, and foreign statutes, laws (including common law), judicial decisions, regulations, ordinances, rules, judgments, orders, decrees, plans, injunctions, permits, concessions, grants, franchises, licenses, agreements and other governmental restrictions relating to pollution and the protection of the environment or of human health or safety (as affected by exposure to harmful or deleterious substances).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Issuance</w:t>
      </w:r>
      <w:r>
        <w:rPr>
          <w:rFonts w:ascii="Times New Roman" w:cs="Times New Roman" w:eastAsia="Times New Roman" w:hAnsi="Times New Roman"/>
          <w:sz w:val="18"/>
          <w:szCs w:val="18"/>
          <w:color w:val="auto"/>
        </w:rPr>
        <w:t>” means any issuance by a Consolidated Party to any Person which is not a Consolidated Party of (a) shares of its Equity Interests,</w:t>
      </w:r>
    </w:p>
    <w:p>
      <w:pPr>
        <w:spacing w:after="0" w:line="27" w:lineRule="exact"/>
        <w:rPr>
          <w:sz w:val="20"/>
          <w:szCs w:val="20"/>
          <w:color w:val="auto"/>
        </w:rPr>
      </w:pPr>
    </w:p>
    <w:p>
      <w:pPr>
        <w:ind w:right="140" w:firstLine="8"/>
        <w:spacing w:after="0" w:line="261" w:lineRule="auto"/>
        <w:tabs>
          <w:tab w:leader="none" w:pos="2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its Equity Interests pursuant to the exercise of options or warrants or (c) any shares of its Equity Interests pursuant to the conversion of any debt securities to equity.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Group</w:t>
      </w:r>
      <w:r>
        <w:rPr>
          <w:rFonts w:ascii="Times New Roman" w:cs="Times New Roman" w:eastAsia="Times New Roman" w:hAnsi="Times New Roman"/>
          <w:sz w:val="18"/>
          <w:szCs w:val="18"/>
          <w:color w:val="auto"/>
        </w:rPr>
        <w:t>” means the Borrower, any Subsidiary, and all members of a controlled group of corporations and all trades or businesses (whether or not incorporated) under common control and all members of an “affiliated service group” which, together with the Borrower, or any Subsidiary, are treated as a single employer under Section 414 of the Code or Section 4001(b)(1) of ERISA. Any former member of the ERISA Group shall continue to be considered a member of the ERISA Group within the meaning of this definition with respect to the period such entity was a member of the ERISA Group. The term “ERISA Group” shall also include any entity or trade or business as to which the Borrower or any Subsidiary may have, either directly or indirectly, any liability under Title IV of ERISA.</w:t>
      </w:r>
    </w:p>
    <w:p>
      <w:pPr>
        <w:sectPr>
          <w:pgSz w:w="11900" w:h="16838" w:orient="portrait"/>
          <w:cols w:equalWidth="0" w:num="1">
            <w:col w:w="11400"/>
          </w:cols>
          <w:pgMar w:left="240" w:top="337" w:right="259" w:bottom="0" w:gutter="0" w:footer="0" w:header="0"/>
        </w:sectPr>
      </w:pPr>
    </w:p>
    <w:bookmarkStart w:id="51" w:name="page52"/>
    <w:bookmarkEnd w:id="51"/>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Agreement</w:t>
      </w:r>
      <w:r>
        <w:rPr>
          <w:rFonts w:ascii="Times New Roman" w:cs="Times New Roman" w:eastAsia="Times New Roman" w:hAnsi="Times New Roman"/>
          <w:sz w:val="18"/>
          <w:szCs w:val="18"/>
          <w:color w:val="auto"/>
        </w:rPr>
        <w:t>” means that certain Escrow Agreement dated as of the Closing Date, among the Borrower, the Lenders, the Administrative Agent, the L/C Issuers and Arnold &amp; Porter Kaye Scholer LLP, as escrow agent.</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Eurodollar Rate</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right="100" w:firstLine="656"/>
        <w:spacing w:after="0" w:line="258" w:lineRule="auto"/>
        <w:tabs>
          <w:tab w:leader="none" w:pos="129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Period with respect to a Eurodollar Rate Loan, the rate per annum equal to the London Interbank Offered Rate (“</w:t>
      </w:r>
      <w:r>
        <w:rPr>
          <w:rFonts w:ascii="Times New Roman" w:cs="Times New Roman" w:eastAsia="Times New Roman" w:hAnsi="Times New Roman"/>
          <w:sz w:val="18"/>
          <w:szCs w:val="18"/>
          <w:u w:val="single" w:color="auto"/>
          <w:color w:val="auto"/>
        </w:rPr>
        <w:t>LIBOR</w:t>
      </w:r>
      <w:r>
        <w:rPr>
          <w:rFonts w:ascii="Times New Roman" w:cs="Times New Roman" w:eastAsia="Times New Roman" w:hAnsi="Times New Roman"/>
          <w:sz w:val="18"/>
          <w:szCs w:val="18"/>
          <w:color w:val="auto"/>
        </w:rPr>
        <w:t>”) or, solely to the extent LIBOR is not available, a comparable or successor rate, which comparable or successor rate is approved by the Administrative Agent, as published on the applicable Bloomberg screen page (or such other commercially available source providing such quotations as may be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 and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firstLine="656"/>
        <w:spacing w:after="0" w:line="282" w:lineRule="auto"/>
        <w:tabs>
          <w:tab w:leader="none" w:pos="130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calculation with respect to a Base Rate Loan on any date, the rate per annum equal to LIBOR, at or about 11:00 a.m., London time determined two Business Days prior to such date for Dollar deposits with a term of one month commencing that day; and</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Eurodollar Rate shall be less than zero, such rate shall be deemed zero for purposes of this Agreement;</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a comparable or successor rate is approved by the Administrative Agent in connection herewith, the approved rate shall be applied in a manner consistent with market practice; provided, further that to the extent such market practice is not administratively feasible for the Administrative Agent, such approved rate shall be applied in a manner as otherwise reasonably determined by the Administrative Agent.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Eurodollar Rate Loan</w:t>
      </w:r>
      <w:r>
        <w:rPr>
          <w:rFonts w:ascii="Times New Roman" w:cs="Times New Roman" w:eastAsia="Times New Roman" w:hAnsi="Times New Roman"/>
          <w:sz w:val="18"/>
          <w:szCs w:val="18"/>
          <w:color w:val="auto"/>
        </w:rPr>
        <w:t>” means a Loan that bears interest at a rate based on clause (a) of the definition of “Eurodollar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648"/>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Excluded Taxes</w:t>
      </w:r>
      <w:r>
        <w:rPr>
          <w:rFonts w:ascii="Times New Roman" w:cs="Times New Roman" w:eastAsia="Times New Roman" w:hAnsi="Times New Roman"/>
          <w:sz w:val="17"/>
          <w:szCs w:val="17"/>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w:t>
      </w:r>
    </w:p>
    <w:p>
      <w:pPr>
        <w:spacing w:after="0" w:line="1" w:lineRule="exact"/>
        <w:rPr>
          <w:sz w:val="20"/>
          <w:szCs w:val="20"/>
          <w:color w:val="auto"/>
        </w:rPr>
      </w:pPr>
    </w:p>
    <w:p>
      <w:pPr>
        <w:ind w:right="160" w:firstLine="8"/>
        <w:spacing w:after="0" w:line="250" w:lineRule="auto"/>
        <w:tabs>
          <w:tab w:leader="none" w:pos="21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or (ii) such Lender changes its Lending Office, except in each case to the extent that, pursuant to</w:t>
      </w:r>
    </w:p>
    <w:p>
      <w:pPr>
        <w:spacing w:after="0" w:line="2" w:lineRule="exact"/>
        <w:rPr>
          <w:rFonts w:ascii="Times New Roman" w:cs="Times New Roman" w:eastAsia="Times New Roman" w:hAnsi="Times New Roman"/>
          <w:sz w:val="18"/>
          <w:szCs w:val="18"/>
          <w:color w:val="auto"/>
        </w:rPr>
      </w:pPr>
    </w:p>
    <w:p>
      <w:pPr>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3.01(a)(ii)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amounts with respect to such Taxes were payable either to such Lender’s assignor immediately before such Lender became a party hereto or to such Lender immediately before it changed its Lending Office, (c) Taxes attributable to such Recipient’s failure to comply 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and (d) any U.S. federal withholding Taxes imposed pursuant to FATCA.</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Fee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FASB ASC</w:t>
      </w:r>
      <w:r>
        <w:rPr>
          <w:rFonts w:ascii="Times New Roman" w:cs="Times New Roman" w:eastAsia="Times New Roman" w:hAnsi="Times New Roman"/>
          <w:sz w:val="18"/>
          <w:szCs w:val="18"/>
          <w:color w:val="auto"/>
        </w:rPr>
        <w:t>” means the Accounting Standards Codification of the Financial Accounting Standards Board.</w:t>
      </w:r>
    </w:p>
    <w:p>
      <w:pPr>
        <w:spacing w:after="0" w:line="225"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 (b) (1) of the Code, any U.S. or non-U.S. fiscal or regulatory Law, legislation, rules, guidance, notes or practices adopted pursuant to any intergovernmental agreement entered into in connection with implementation of such Sections of the Code.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FDPA</w:t>
      </w:r>
      <w:r>
        <w:rPr>
          <w:rFonts w:ascii="Times New Roman" w:cs="Times New Roman" w:eastAsia="Times New Roman" w:hAnsi="Times New Roman"/>
          <w:sz w:val="18"/>
          <w:szCs w:val="18"/>
          <w:color w:val="auto"/>
        </w:rPr>
        <w:t>” means the Flood Disaster Protection Act of 1973, as it may be amended from time to time.</w:t>
      </w:r>
    </w:p>
    <w:p>
      <w:pPr>
        <w:spacing w:after="0" w:line="22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means the letter agreement, dated April 4, 2017, among the Borrower, the Administrative Agent and the Bookrunner.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FIRREA</w:t>
      </w:r>
      <w:r>
        <w:rPr>
          <w:rFonts w:ascii="Times New Roman" w:cs="Times New Roman" w:eastAsia="Times New Roman" w:hAnsi="Times New Roman"/>
          <w:sz w:val="18"/>
          <w:szCs w:val="18"/>
          <w:color w:val="auto"/>
        </w:rPr>
        <w:t>” means the Financial Institutions Reform, Recovery and Enforcement Act of 1989 (FIRREA),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Inc. and any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Charges</w:t>
      </w:r>
      <w:r>
        <w:rPr>
          <w:rFonts w:ascii="Times New Roman" w:cs="Times New Roman" w:eastAsia="Times New Roman" w:hAnsi="Times New Roman"/>
          <w:sz w:val="18"/>
          <w:szCs w:val="18"/>
          <w:color w:val="auto"/>
        </w:rPr>
        <w:t xml:space="preserve">” means, for the Consolidated Group and for any period, without duplication, the sum of (a) Interest Expense for such period, </w:t>
      </w:r>
      <w:r>
        <w:rPr>
          <w:rFonts w:ascii="Times New Roman" w:cs="Times New Roman" w:eastAsia="Times New Roman" w:hAnsi="Times New Roman"/>
          <w:sz w:val="18"/>
          <w:szCs w:val="18"/>
          <w:u w:val="single" w:color="auto"/>
          <w:color w:val="auto"/>
        </w:rPr>
        <w:t>plus</w:t>
      </w:r>
    </w:p>
    <w:p>
      <w:pPr>
        <w:spacing w:after="0" w:line="27" w:lineRule="exact"/>
        <w:rPr>
          <w:sz w:val="20"/>
          <w:szCs w:val="20"/>
          <w:color w:val="auto"/>
        </w:rPr>
      </w:pPr>
    </w:p>
    <w:p>
      <w:pPr>
        <w:ind w:right="40" w:firstLine="8"/>
        <w:spacing w:after="0" w:line="254" w:lineRule="auto"/>
        <w:tabs>
          <w:tab w:leader="none" w:pos="25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regularly scheduled principal payments made or required to be made with respect to Indebtedness of the Consolidated Parties during such period, other than any balloon or bullet payments necessary to repay maturing Indebtedness in full,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Restricted Payments made with respect to preferred Equity Interests of any Consolidated Party that are paid in cash during such period to a Person that is not a Wholly-Owned Subsidiary of the Borrower, in each case for such period.</w:t>
      </w:r>
    </w:p>
    <w:p>
      <w:pPr>
        <w:sectPr>
          <w:pgSz w:w="11900" w:h="16838" w:orient="portrait"/>
          <w:cols w:equalWidth="0" w:num="1">
            <w:col w:w="11400"/>
          </w:cols>
          <w:pgMar w:left="240" w:top="121" w:right="259" w:bottom="0" w:gutter="0" w:footer="0" w:header="0"/>
        </w:sectPr>
      </w:pPr>
    </w:p>
    <w:bookmarkStart w:id="52" w:name="page53"/>
    <w:bookmarkEnd w:id="52"/>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if the Borrower is a U.S. Person, a Lender that is not a U.S. Person, and (b) if the Borrower is not a U.S. Person, a Lender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spacing w:after="0" w:line="17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S-11</w:t>
      </w:r>
      <w:r>
        <w:rPr>
          <w:rFonts w:ascii="Times New Roman" w:cs="Times New Roman" w:eastAsia="Times New Roman" w:hAnsi="Times New Roman"/>
          <w:sz w:val="18"/>
          <w:szCs w:val="18"/>
          <w:color w:val="auto"/>
        </w:rPr>
        <w:t>” means [the Registration Statement on Form S-11 filed by the Borrower on February 10, 2017, as amended as on April 10, 2017 and May 8, 2017].</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FRB</w:t>
      </w:r>
      <w:r>
        <w:rPr>
          <w:rFonts w:ascii="Times New Roman" w:cs="Times New Roman" w:eastAsia="Times New Roman" w:hAnsi="Times New Roman"/>
          <w:sz w:val="18"/>
          <w:szCs w:val="18"/>
          <w:color w:val="auto"/>
        </w:rPr>
        <w:t>” means the Board of Governors of the Federal Reserve System of the United States.</w:t>
      </w:r>
    </w:p>
    <w:p>
      <w:pPr>
        <w:spacing w:after="0" w:line="22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Fronting Exposure</w:t>
      </w:r>
      <w:r>
        <w:rPr>
          <w:rFonts w:ascii="Times New Roman" w:cs="Times New Roman" w:eastAsia="Times New Roman" w:hAnsi="Times New Roman"/>
          <w:sz w:val="18"/>
          <w:szCs w:val="18"/>
          <w:color w:val="auto"/>
        </w:rPr>
        <w:t>” means, at any time there is a Defaulting Lender, with respect to the L/C Issuers, such Defaulting Lender’s Applicable Percentage of the outstanding L/C Obligations other than L/C Obligations as to which such Defaulting Lender’s participation obligation has been reallocated to other Lenders or Cash Collateralized in accordance with the terms hereof.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revenues, expenses, gains and losses that are included in results of discontinued operations because of the application of SFAS No. 144 will be treated as revenues, expenses, gains and losses from continuing operations.</w:t>
      </w:r>
    </w:p>
    <w:p>
      <w:pPr>
        <w:spacing w:after="0" w:line="184"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any securities exchange and any self-regulatory organization (including the National Association of Insurance Commissioners).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Grantor</w:t>
      </w:r>
      <w:r>
        <w:rPr>
          <w:rFonts w:ascii="Times New Roman" w:cs="Times New Roman" w:eastAsia="Times New Roman" w:hAnsi="Times New Roman"/>
          <w:sz w:val="18"/>
          <w:szCs w:val="18"/>
          <w:color w:val="auto"/>
        </w:rPr>
        <w:t>” means the applicable Loan Party that is party to a Collateral Document.</w:t>
      </w:r>
    </w:p>
    <w:p>
      <w:pPr>
        <w:spacing w:after="0" w:line="225"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Ground Net Lease</w:t>
      </w:r>
      <w:r>
        <w:rPr>
          <w:rFonts w:ascii="Times New Roman" w:cs="Times New Roman" w:eastAsia="Times New Roman" w:hAnsi="Times New Roman"/>
          <w:sz w:val="18"/>
          <w:szCs w:val="18"/>
          <w:color w:val="auto"/>
        </w:rPr>
        <w:t>” means a Real Property Asset consisting of (i) a ground net lease of the land underlying a commercial real estate project that is net leased by the fee owner of the land to the owners/operators of the real estate projects built or to be built thereon that is a “triple net” lease, such that the tenant is responsible for development costs, capital expenditures and all property operating expense, including maintenance, real estate taxes and insurance, containing contractual base rent increases (either at a specified percentage or CPI-based, or both) or (ii) an Other Net Lease.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Ground Net Lease Asset</w:t>
      </w:r>
      <w:r>
        <w:rPr>
          <w:rFonts w:ascii="Times New Roman" w:cs="Times New Roman" w:eastAsia="Times New Roman" w:hAnsi="Times New Roman"/>
          <w:sz w:val="18"/>
          <w:szCs w:val="18"/>
          <w:color w:val="auto"/>
        </w:rPr>
        <w:t>” means a Ground Net Lease wholly-owned directly by a Wholly-Owned Domestic Subsidiary as ground lessor.</w:t>
      </w:r>
    </w:p>
    <w:p>
      <w:pPr>
        <w:spacing w:after="0" w:line="225"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means, as to any Person, (a) any obligation, contingent or otherwise, of such Person guaranteeing or having the economic effect of guaranteeing any Indebtedness or other obligation payable or performable by another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as a verb has a corresponding meaning.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collectively, the Operating Partnership and each Subsidiary Guarantor.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 means the guaranty of the Obligations by the Guarantors pursuant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(i) all explosive or radioactive substances or wastes and all hazardous or toxic substances, wastes or other pollutants, including petroleum or petroleum distillates, asbestos or asbestos-containing materials, polychlorinated biphenyls, radon gas, infectious, medical wastes, mold, mildew and (ii) all other substances or wastes of any nature regulated pursuant to, or that could give rise to liability under, any Environmental Law.</w:t>
      </w:r>
    </w:p>
    <w:p>
      <w:pPr>
        <w:spacing w:after="0" w:line="176"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Improvements</w:t>
      </w:r>
      <w:r>
        <w:rPr>
          <w:rFonts w:ascii="Times New Roman" w:cs="Times New Roman" w:eastAsia="Times New Roman" w:hAnsi="Times New Roman"/>
          <w:sz w:val="18"/>
          <w:szCs w:val="18"/>
          <w:color w:val="auto"/>
        </w:rPr>
        <w:t>” means, with respect to any Real Property Asset, all onsite and offsite improvements thereto, together with all fixtures, tenant improvements, and appurtenances now or later to be located on or in the real property and/or in such improvements.</w:t>
      </w:r>
    </w:p>
    <w:p>
      <w:pPr>
        <w:spacing w:after="0" w:line="16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as to any Person at a particular time, without duplication, all of the following, whether or not included as indebtedness or liabilities in accordance with GAAP:</w:t>
      </w:r>
    </w:p>
    <w:p>
      <w:pPr>
        <w:spacing w:after="0" w:line="162" w:lineRule="exact"/>
        <w:rPr>
          <w:sz w:val="20"/>
          <w:szCs w:val="20"/>
          <w:color w:val="auto"/>
        </w:rPr>
      </w:pPr>
    </w:p>
    <w:p>
      <w:pPr>
        <w:ind w:left="740" w:right="100" w:firstLine="646"/>
        <w:spacing w:after="0" w:line="282" w:lineRule="auto"/>
        <w:tabs>
          <w:tab w:leader="none" w:pos="195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for borrowed money and all obligations of such Person evidenced by bonds, debentures, notes, loan agreements or other similar instruments;</w:t>
      </w:r>
    </w:p>
    <w:p>
      <w:pPr>
        <w:sectPr>
          <w:pgSz w:w="11900" w:h="16838" w:orient="portrait"/>
          <w:cols w:equalWidth="0" w:num="1">
            <w:col w:w="11400"/>
          </w:cols>
          <w:pgMar w:left="240" w:top="121" w:right="259" w:bottom="0" w:gutter="0" w:footer="0" w:header="0"/>
        </w:sectPr>
      </w:pPr>
    </w:p>
    <w:bookmarkStart w:id="53" w:name="page54"/>
    <w:bookmarkEnd w:id="53"/>
    <w:p>
      <w:pPr>
        <w:ind w:left="740" w:right="900" w:firstLine="646"/>
        <w:spacing w:after="0" w:line="282" w:lineRule="auto"/>
        <w:tabs>
          <w:tab w:leader="none" w:pos="196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 or contingent reimbursement obligations of such Person arising under letters of credit (including standby and commercial), bankers’ acceptances, bank guaranties, surety bonds and similar instruments;</w:t>
      </w:r>
    </w:p>
    <w:p>
      <w:pPr>
        <w:spacing w:after="0" w:line="161" w:lineRule="exact"/>
        <w:rPr>
          <w:rFonts w:ascii="Times New Roman" w:cs="Times New Roman" w:eastAsia="Times New Roman" w:hAnsi="Times New Roman"/>
          <w:sz w:val="18"/>
          <w:szCs w:val="18"/>
          <w:color w:val="auto"/>
        </w:rPr>
      </w:pPr>
    </w:p>
    <w:p>
      <w:pPr>
        <w:ind w:left="1960" w:hanging="574"/>
        <w:spacing w:after="0"/>
        <w:tabs>
          <w:tab w:leader="none" w:pos="19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obligations of such Person under any Swap Contract;</w:t>
      </w:r>
    </w:p>
    <w:p>
      <w:pPr>
        <w:spacing w:after="0" w:line="225" w:lineRule="exact"/>
        <w:rPr>
          <w:rFonts w:ascii="Times New Roman" w:cs="Times New Roman" w:eastAsia="Times New Roman" w:hAnsi="Times New Roman"/>
          <w:sz w:val="18"/>
          <w:szCs w:val="18"/>
          <w:color w:val="auto"/>
        </w:rPr>
      </w:pPr>
    </w:p>
    <w:p>
      <w:pPr>
        <w:ind w:left="740" w:right="160" w:firstLine="646"/>
        <w:spacing w:after="0" w:line="282" w:lineRule="auto"/>
        <w:tabs>
          <w:tab w:leader="none" w:pos="196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to pay the deferred purchase price of property or services (other than trade accounts payable in the ordinary course of business);</w:t>
      </w:r>
    </w:p>
    <w:p>
      <w:pPr>
        <w:spacing w:after="0" w:line="161" w:lineRule="exact"/>
        <w:rPr>
          <w:rFonts w:ascii="Times New Roman" w:cs="Times New Roman" w:eastAsia="Times New Roman" w:hAnsi="Times New Roman"/>
          <w:sz w:val="18"/>
          <w:szCs w:val="18"/>
          <w:color w:val="auto"/>
        </w:rPr>
      </w:pPr>
    </w:p>
    <w:p>
      <w:pPr>
        <w:ind w:left="740" w:right="500" w:firstLine="646"/>
        <w:spacing w:after="0" w:line="266" w:lineRule="auto"/>
        <w:tabs>
          <w:tab w:leader="none" w:pos="196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76" w:lineRule="exact"/>
        <w:rPr>
          <w:rFonts w:ascii="Times New Roman" w:cs="Times New Roman" w:eastAsia="Times New Roman" w:hAnsi="Times New Roman"/>
          <w:sz w:val="18"/>
          <w:szCs w:val="18"/>
          <w:color w:val="auto"/>
        </w:rPr>
      </w:pPr>
    </w:p>
    <w:p>
      <w:pPr>
        <w:ind w:left="1960" w:hanging="574"/>
        <w:spacing w:after="0"/>
        <w:tabs>
          <w:tab w:leader="none" w:pos="19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Leases and Synthetic Lease Obligations;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40" w:firstLine="646"/>
        <w:spacing w:after="0" w:line="266" w:lineRule="auto"/>
        <w:tabs>
          <w:tab w:leader="none" w:pos="197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obligations of such Person to purchase, redeem, retire, defease or otherwise make any payment in respect of any Equity Interest in such Person or any other Person, valued, in the case of a redeemable preferred interest, at the greater of its voluntary or involuntary liquidation preference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accrued and unpaid dividends; and</w:t>
      </w:r>
    </w:p>
    <w:p>
      <w:pPr>
        <w:spacing w:after="0" w:line="176" w:lineRule="exact"/>
        <w:rPr>
          <w:rFonts w:ascii="Times New Roman" w:cs="Times New Roman" w:eastAsia="Times New Roman" w:hAnsi="Times New Roman"/>
          <w:sz w:val="18"/>
          <w:szCs w:val="18"/>
          <w:color w:val="auto"/>
        </w:rPr>
      </w:pPr>
    </w:p>
    <w:p>
      <w:pPr>
        <w:ind w:left="740" w:right="200" w:firstLine="646"/>
        <w:spacing w:after="0" w:line="282" w:lineRule="auto"/>
        <w:tabs>
          <w:tab w:leader="none" w:pos="196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Guarantees of such Person in respect of any of the foregoing (excluding guarantees of Non-Recourse Indebtedness for which recourse is limited to liability for Customary Recourse Carveouts), and all other Contingent Obligations.</w:t>
      </w:r>
    </w:p>
    <w:p>
      <w:pPr>
        <w:spacing w:after="0" w:line="16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(without duplication of any other Indebtedness, including intercompany Indebtedness), unless such Indebtedness is expressly made non-recourse to such Person, other than with respect to Customary Recourse Carveouts. The amount of any net obligation under any Swap Contract on any date shall be deemed to be the Swap Termination Value thereof as of such date. The amount of any Capital Lease or Synthetic Lease Obligation as of any date shall be deemed to be the amount of Attributable Indebtedness in respect thereof as of such date.</w:t>
      </w:r>
    </w:p>
    <w:p>
      <w:pPr>
        <w:spacing w:after="0" w:line="188"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Indirect Owner</w:t>
      </w:r>
      <w:r>
        <w:rPr>
          <w:rFonts w:ascii="Times New Roman" w:cs="Times New Roman" w:eastAsia="Times New Roman" w:hAnsi="Times New Roman"/>
          <w:sz w:val="18"/>
          <w:szCs w:val="18"/>
          <w:color w:val="auto"/>
        </w:rPr>
        <w:t>” means each Subsidiary of the Operating Partnership that directly or indirectly owns an Equity Interest in the Direct Owner of any Borrowing Base Asset.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Individual Borrowing Base Amount</w:t>
      </w:r>
      <w:r>
        <w:rPr>
          <w:rFonts w:ascii="Times New Roman" w:cs="Times New Roman" w:eastAsia="Times New Roman" w:hAnsi="Times New Roman"/>
          <w:sz w:val="18"/>
          <w:szCs w:val="18"/>
          <w:color w:val="auto"/>
        </w:rPr>
        <w:t>” means, with respect to any Borrowing Base Asset on any date, the lesser of:</w:t>
      </w:r>
    </w:p>
    <w:p>
      <w:pPr>
        <w:spacing w:after="0" w:line="225" w:lineRule="exact"/>
        <w:rPr>
          <w:sz w:val="20"/>
          <w:szCs w:val="20"/>
          <w:color w:val="auto"/>
        </w:rPr>
      </w:pPr>
    </w:p>
    <w:p>
      <w:pPr>
        <w:ind w:left="740" w:right="100" w:firstLine="646"/>
        <w:spacing w:after="0" w:line="261" w:lineRule="auto"/>
        <w:tabs>
          <w:tab w:leader="none" w:pos="195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obtained by dividing (i) the Net Operating Income attributable to such Borrowing Base Asset for (subject to the last sentence of this definition) the period of four fiscal quarters ended on such date (if such date is the last day of a fiscal quarter) or the then most recently ended period of four full fiscal quarters (if such date is not the last day of a fiscal quarter), by (ii) 6.0% (or, with respect to any Borrowing Base Asset, such lower percentage as the Administrative Agent and the Required Lenders may agree in writing); and</w:t>
      </w:r>
    </w:p>
    <w:p>
      <w:pPr>
        <w:spacing w:after="0" w:line="180" w:lineRule="exact"/>
        <w:rPr>
          <w:rFonts w:ascii="Times New Roman" w:cs="Times New Roman" w:eastAsia="Times New Roman" w:hAnsi="Times New Roman"/>
          <w:sz w:val="18"/>
          <w:szCs w:val="18"/>
          <w:color w:val="auto"/>
        </w:rPr>
      </w:pPr>
    </w:p>
    <w:p>
      <w:pPr>
        <w:ind w:left="740" w:right="160" w:firstLine="646"/>
        <w:spacing w:after="0" w:line="266" w:lineRule="auto"/>
        <w:tabs>
          <w:tab w:leader="none" w:pos="196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obtained by multiplying (i) in the case of an Eligible Ground Net Lease Asset, the Appraised Value of the underlying Real Property Asset, by the Applicable Advance Rate and (ii) in the case of an Eligible Loan Asset, the Loan Asset Value of such Eligible Loan Asset, by the Applicable Advance Rate;</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Individual Borrowing Base Amount of any Eligible Loan Asset shall be recalculated upon a material amendment or extension of the underlying loan of such Eligible Loan Asset, or the execution of a new loan with respect thereto and reflected in a subsequent Borrowing Base Certificate, in each case delivered pursuant to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For purposes of determining Individual Borrowing Base Amount as of any date, the Net Operating Income attributable to a Borrowing Base Asset that has been owned by a Consolidated Party (A) for less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 xml:space="preserve">than one full fiscal quarter as of such date shall be mutually agreed upon by the Administrative Agent and the Borrower, (B) for only one full fiscal quarter as of such date shall be the Net Operating Income attributable to such Borrowing Base Asset for such fiscal quarter </w:t>
      </w:r>
      <w:r>
        <w:rPr>
          <w:rFonts w:ascii="Times New Roman" w:cs="Times New Roman" w:eastAsia="Times New Roman" w:hAnsi="Times New Roman"/>
          <w:sz w:val="17"/>
          <w:szCs w:val="17"/>
          <w:u w:val="single" w:color="auto"/>
          <w:color w:val="auto"/>
        </w:rPr>
        <w:t>multiplied by</w:t>
      </w:r>
      <w:r>
        <w:rPr>
          <w:rFonts w:ascii="Times New Roman" w:cs="Times New Roman" w:eastAsia="Times New Roman" w:hAnsi="Times New Roman"/>
          <w:sz w:val="17"/>
          <w:szCs w:val="17"/>
          <w:color w:val="auto"/>
        </w:rPr>
        <w:t xml:space="preserve"> 4, (C) for only two full fiscal quarters as of such date shall be the Net Operating Income attributable to such Borrowing Base Asset for such two fiscal quarter period </w:t>
      </w:r>
      <w:r>
        <w:rPr>
          <w:rFonts w:ascii="Times New Roman" w:cs="Times New Roman" w:eastAsia="Times New Roman" w:hAnsi="Times New Roman"/>
          <w:sz w:val="17"/>
          <w:szCs w:val="17"/>
          <w:u w:val="single" w:color="auto"/>
          <w:color w:val="auto"/>
        </w:rPr>
        <w:t>multiplied by</w:t>
      </w:r>
      <w:r>
        <w:rPr>
          <w:rFonts w:ascii="Times New Roman" w:cs="Times New Roman" w:eastAsia="Times New Roman" w:hAnsi="Times New Roman"/>
          <w:sz w:val="17"/>
          <w:szCs w:val="17"/>
          <w:color w:val="auto"/>
        </w:rPr>
        <w:t xml:space="preserve"> 2, and</w:t>
      </w:r>
    </w:p>
    <w:p>
      <w:pPr>
        <w:spacing w:after="0" w:line="2" w:lineRule="exact"/>
        <w:rPr>
          <w:sz w:val="20"/>
          <w:szCs w:val="20"/>
          <w:color w:val="auto"/>
        </w:rPr>
      </w:pPr>
    </w:p>
    <w:p>
      <w:pPr>
        <w:ind w:right="600" w:firstLine="8"/>
        <w:spacing w:after="0" w:line="261" w:lineRule="auto"/>
        <w:tabs>
          <w:tab w:leader="none" w:pos="2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only three full fiscal quarters shall be the Net Operating Income attributable to such Borrowing Base Asset for such three fiscal quarter period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4/3.</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Maturity Date</w:t>
      </w:r>
      <w:r>
        <w:rPr>
          <w:rFonts w:ascii="Times New Roman" w:cs="Times New Roman" w:eastAsia="Times New Roman" w:hAnsi="Times New Roman"/>
          <w:sz w:val="18"/>
          <w:szCs w:val="18"/>
          <w:color w:val="auto"/>
        </w:rPr>
        <w:t>” has the meaning set forth in the definition of “Maturity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Insolvency</w:t>
      </w:r>
      <w:r>
        <w:rPr>
          <w:rFonts w:ascii="Times New Roman" w:cs="Times New Roman" w:eastAsia="Times New Roman" w:hAnsi="Times New Roman"/>
          <w:sz w:val="17"/>
          <w:szCs w:val="17"/>
          <w:color w:val="auto"/>
        </w:rPr>
        <w:t>” means with respect to any Multiemployer Plan, the condition that such plan is insolvent within the meaning of Section 4245 of ERISA.</w:t>
      </w:r>
    </w:p>
    <w:p>
      <w:pPr>
        <w:spacing w:after="0" w:line="23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 Proceeds</w:t>
      </w:r>
      <w:r>
        <w:rPr>
          <w:rFonts w:ascii="Times New Roman" w:cs="Times New Roman" w:eastAsia="Times New Roman" w:hAnsi="Times New Roman"/>
          <w:sz w:val="18"/>
          <w:szCs w:val="18"/>
          <w:color w:val="auto"/>
        </w:rPr>
        <w:t>” means all insurance proceeds, damages, claims and rights of action and the right thereto under any insurance policies relating to the Collateral.</w:t>
      </w:r>
    </w:p>
    <w:p>
      <w:pPr>
        <w:sectPr>
          <w:pgSz w:w="11900" w:h="16838" w:orient="portrait"/>
          <w:cols w:equalWidth="0" w:num="1">
            <w:col w:w="11380"/>
          </w:cols>
          <w:pgMar w:left="240" w:top="121" w:right="279" w:bottom="0" w:gutter="0" w:footer="0" w:header="0"/>
        </w:sectPr>
      </w:pPr>
    </w:p>
    <w:bookmarkStart w:id="54" w:name="page55"/>
    <w:bookmarkEnd w:id="54"/>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Intangible Assets</w:t>
      </w:r>
      <w:r>
        <w:rPr>
          <w:rFonts w:ascii="Times New Roman" w:cs="Times New Roman" w:eastAsia="Times New Roman" w:hAnsi="Times New Roman"/>
          <w:sz w:val="18"/>
          <w:szCs w:val="18"/>
          <w:color w:val="auto"/>
        </w:rPr>
        <w:t>” means assets that are considered to be intangible assets under GAAP, excluding lease intangibles but including customer lists, goodwill, computer software, copyrights, trade names, trademarks, patents, franchises, licenses, unamortized deferred charges, unamortized debt discount and capitalized research and development costs.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Intercreditor Agreements</w:t>
      </w:r>
      <w:r>
        <w:rPr>
          <w:rFonts w:ascii="Times New Roman" w:cs="Times New Roman" w:eastAsia="Times New Roman" w:hAnsi="Times New Roman"/>
          <w:sz w:val="18"/>
          <w:szCs w:val="18"/>
          <w:color w:val="auto"/>
        </w:rPr>
        <w:t>” has the meaning specified in the definition of “Pari Passu Obligations.”</w:t>
      </w:r>
    </w:p>
    <w:p>
      <w:pPr>
        <w:spacing w:after="0" w:line="225"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Expense</w:t>
      </w:r>
      <w:r>
        <w:rPr>
          <w:rFonts w:ascii="Times New Roman" w:cs="Times New Roman" w:eastAsia="Times New Roman" w:hAnsi="Times New Roman"/>
          <w:sz w:val="18"/>
          <w:szCs w:val="18"/>
          <w:color w:val="auto"/>
        </w:rPr>
        <w:t>” means as of any date, for the period of four fiscal quarters ended on such date (if such date is the last day of a fiscal quarter) or for the then most recently ended period of four full fiscal quarters (if such date is not the last day of a fiscal quarter) the total cash interest expense of the Consolidated Group in respect of Total Unsecured Debt plus Secured Pari Passu Obligations plus Indebtedness arising under the Loan Documents for such period determined in accordance with GAAP.</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means, (a) as to any Loan other than a Base Rate Loan, the last day of each Interest Period applicable to such Loan and the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Interest Period for a Eurodollar Rate Loan exceeds three months, the respective dates that fall every three months after the beginning of such Interest Period shall also be Interest Payment Dates; and (b) as to any Base Rate Loan, the last Business Day of each March, June, September and December and the Maturity Date.</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as to each Eurodollar Rate Loan, the period commencing on the date such Eurodollar Rate Loan is disbursed or converted to or continued as a Eurodollar Rate Loan and ending on the date one, two, three or six months thereafter (in each case, subject to availability), as selected by the Borrower in its Committed Loan Notice, or such other period that is twelve months or less requested by the Borrower and consented to by all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firstLine="645"/>
        <w:spacing w:after="0" w:line="266" w:lineRule="auto"/>
        <w:tabs>
          <w:tab w:leader="none" w:pos="197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would otherwise end on a day that is not a Business Day shall be extended to the next succeeding Business Day unless, in the case of a Eurodollar Rate Loan, such Business Day falls in another calendar month, in which case such Interest Period shall end on the next preceding Business Day;</w:t>
      </w:r>
    </w:p>
    <w:p>
      <w:pPr>
        <w:spacing w:after="0" w:line="176" w:lineRule="exact"/>
        <w:rPr>
          <w:rFonts w:ascii="Times New Roman" w:cs="Times New Roman" w:eastAsia="Times New Roman" w:hAnsi="Times New Roman"/>
          <w:sz w:val="18"/>
          <w:szCs w:val="18"/>
          <w:color w:val="auto"/>
        </w:rPr>
      </w:pPr>
    </w:p>
    <w:p>
      <w:pPr>
        <w:ind w:left="660" w:right="100" w:firstLine="645"/>
        <w:spacing w:after="0" w:line="266" w:lineRule="auto"/>
        <w:tabs>
          <w:tab w:leader="none" w:pos="198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pertaining to a Eurodollar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6"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shall extend beyond the Maturity Date.</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as to any Person, (a) the purchase or other acquisition of capital stock or other securities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guaranties Indebtedness of such other Person, (c) the purchase or other acquisition (in one transaction or a series of transactions) of assets of another Person that constitute a business unit or (d) the purchase, acquisition or other investment in any real property or real property-related assets (including mortgage loans and other real estate-related debt investments, investments in land holdings, and costs to construct real property assets under development). For purposes of covenant compliance, the amount of any Investment shall be the amount actually invested, without adjustment for subsequent increases or decreases in the value of such Investment.</w:t>
      </w:r>
    </w:p>
    <w:p>
      <w:pPr>
        <w:spacing w:after="0" w:line="18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Affiliate</w:t>
      </w:r>
      <w:r>
        <w:rPr>
          <w:rFonts w:ascii="Times New Roman" w:cs="Times New Roman" w:eastAsia="Times New Roman" w:hAnsi="Times New Roman"/>
          <w:sz w:val="18"/>
          <w:szCs w:val="18"/>
          <w:color w:val="auto"/>
        </w:rPr>
        <w:t>” means any Person or Subsidiary, whose financial results are not consolidated under GAAP with the financial results of the Borrower on the consolidated financial statements of the Borrower.</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Grade Pricing Effective Date</w:t>
      </w:r>
      <w:r>
        <w:rPr>
          <w:rFonts w:ascii="Times New Roman" w:cs="Times New Roman" w:eastAsia="Times New Roman" w:hAnsi="Times New Roman"/>
          <w:sz w:val="18"/>
          <w:szCs w:val="18"/>
          <w:color w:val="auto"/>
        </w:rPr>
        <w:t>” means the first Business Day following the date on which (a) the Investment Grade Ratings Criteria have been satisfied and (b) the Borrower has delivered to the Administrative Agent a certificate signed by a Responsible Officer (i) certifying that the Investment Grade Ratings Criteria have been satisfied (which certification shall also set forth the Debt Rating(s) as in effect, if any, from each of S&amp;P, Moody’s and Fitch as of such date) and (ii) notifying the Administrative Agent that the Borrower has irrevocably elected to have the Applicable Rate determined based on the Borrower’s Debt Rating(s).</w:t>
      </w:r>
    </w:p>
    <w:p>
      <w:pPr>
        <w:spacing w:after="0" w:line="184"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Grade Ratings Criteria</w:t>
      </w:r>
      <w:r>
        <w:rPr>
          <w:rFonts w:ascii="Times New Roman" w:cs="Times New Roman" w:eastAsia="Times New Roman" w:hAnsi="Times New Roman"/>
          <w:sz w:val="18"/>
          <w:szCs w:val="18"/>
          <w:color w:val="auto"/>
        </w:rPr>
        <w:t xml:space="preserve">” means receipt by the Borrower of a Debt Rating of BBB- or better from S&amp;P, Baa3 or better from Moody’s or BBB- or better from Fitch;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event that the Borrower has a Debt Rating from Fitch of BBB- or better it must also have a Debt Rating of BBB-/Baa3 or better from S&amp;P or Moody’s in order to satisfy the Investment Grade Ratings Criteria.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Grade Release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4.01(a)(x)</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w:t>
      </w:r>
      <w:r>
        <w:rPr>
          <w:rFonts w:ascii="Times New Roman" w:cs="Times New Roman" w:eastAsia="Times New Roman" w:hAnsi="Times New Roman"/>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Documents</w:t>
      </w:r>
      <w:r>
        <w:rPr>
          <w:rFonts w:ascii="Times New Roman" w:cs="Times New Roman" w:eastAsia="Times New Roman" w:hAnsi="Times New Roman"/>
          <w:sz w:val="18"/>
          <w:szCs w:val="18"/>
          <w:color w:val="auto"/>
        </w:rPr>
        <w:t>” means with respect to any Letter of Credit, the Letter of Credit Application, and any other document, agreement and instrument entered into by an L/C Issuer and the Borrower (or any Subsidiary) or in favor of such L/C Issuer and relating to such Letter of Credit.</w:t>
      </w:r>
    </w:p>
    <w:p>
      <w:pPr>
        <w:spacing w:after="0" w:line="16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ectPr>
          <w:pgSz w:w="11900" w:h="16838" w:orient="portrait"/>
          <w:cols w:equalWidth="0" w:num="1">
            <w:col w:w="11420"/>
          </w:cols>
          <w:pgMar w:left="240" w:top="121" w:right="239" w:bottom="0" w:gutter="0" w:footer="0" w:header="0"/>
        </w:sectPr>
      </w:pPr>
    </w:p>
    <w:bookmarkStart w:id="55" w:name="page56"/>
    <w:bookmarkEnd w:id="55"/>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Advance</w:t>
      </w:r>
      <w:r>
        <w:rPr>
          <w:rFonts w:ascii="Times New Roman" w:cs="Times New Roman" w:eastAsia="Times New Roman" w:hAnsi="Times New Roman"/>
          <w:sz w:val="18"/>
          <w:szCs w:val="18"/>
          <w:color w:val="auto"/>
        </w:rPr>
        <w:t>” means, with respect to each Lender, such Lender’s funding of its participation in any L/C Borrowing in accordance with its Applicable Percentage.</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Borrowing</w:t>
      </w:r>
      <w:r>
        <w:rPr>
          <w:rFonts w:ascii="Times New Roman" w:cs="Times New Roman" w:eastAsia="Times New Roman" w:hAnsi="Times New Roman"/>
          <w:sz w:val="18"/>
          <w:szCs w:val="18"/>
          <w:color w:val="auto"/>
        </w:rPr>
        <w:t>” means an extension of credit resulting from a drawing under any Letter of Credit which has not been reimbursed on the date when made or refinanced as a Committed Loan.</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Credit Extension</w:t>
      </w:r>
      <w:r>
        <w:rPr>
          <w:rFonts w:ascii="Times New Roman" w:cs="Times New Roman" w:eastAsia="Times New Roman" w:hAnsi="Times New Roman"/>
          <w:sz w:val="18"/>
          <w:szCs w:val="18"/>
          <w:color w:val="auto"/>
        </w:rPr>
        <w:t>” means, with respect to any Letter of Credit, the issuance thereof or extension of the expiry date thereof, or the increase of the amount thereof.</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Issuer</w:t>
      </w:r>
      <w:r>
        <w:rPr>
          <w:rFonts w:ascii="Times New Roman" w:cs="Times New Roman" w:eastAsia="Times New Roman" w:hAnsi="Times New Roman"/>
          <w:sz w:val="18"/>
          <w:szCs w:val="18"/>
          <w:color w:val="auto"/>
        </w:rPr>
        <w:t>” means, collectively, (i) Bank of America, (ii) JPMorgan Chase Bank, N.A., and (iii) Barclays Bank PLC, in each case in its capacity as issuer of Letters of Credit hereunder, or any successor issuer of Letters of Credit hereunder.</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Obligations</w:t>
      </w:r>
      <w:r>
        <w:rPr>
          <w:rFonts w:ascii="Times New Roman" w:cs="Times New Roman" w:eastAsia="Times New Roman" w:hAnsi="Times New Roman"/>
          <w:sz w:val="18"/>
          <w:szCs w:val="18"/>
          <w:color w:val="auto"/>
        </w:rPr>
        <w:t xml:space="preserve">” means, as at any date of determination, the aggregate amount available to be drawn under all outstanding Letters of Credit plus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standby letter of credit issued hereunder providing for the payment of cash upon the honoring of a presentation thereunder.</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means an application and agreement for the issuance or amendment of a Letter of Credit in the form from time to time in use by the applicable L/C Issuer.</w:t>
      </w:r>
    </w:p>
    <w:p>
      <w:pPr>
        <w:spacing w:after="0" w:line="16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Expiration Date</w:t>
      </w:r>
      <w:r>
        <w:rPr>
          <w:rFonts w:ascii="Times New Roman" w:cs="Times New Roman" w:eastAsia="Times New Roman" w:hAnsi="Times New Roman"/>
          <w:sz w:val="18"/>
          <w:szCs w:val="18"/>
          <w:color w:val="auto"/>
        </w:rPr>
        <w:t>” means the day that is seven days prior to the Maturity Date then in effect (or, if such day is not a Business Day, the next preceding Business Day).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Fee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Sublimit</w:t>
      </w:r>
      <w:r>
        <w:rPr>
          <w:rFonts w:ascii="Times New Roman" w:cs="Times New Roman" w:eastAsia="Times New Roman" w:hAnsi="Times New Roman"/>
          <w:sz w:val="18"/>
          <w:szCs w:val="18"/>
          <w:color w:val="auto"/>
        </w:rPr>
        <w:t>” means an amount equal to $20,000,000. The Letter of Credit Sublimit is part of, and not in addition to, the Aggregate Commitments.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LIBOR</w:t>
      </w:r>
      <w:r>
        <w:rPr>
          <w:rFonts w:ascii="Times New Roman" w:cs="Times New Roman" w:eastAsia="Times New Roman" w:hAnsi="Times New Roman"/>
          <w:sz w:val="18"/>
          <w:szCs w:val="18"/>
          <w:color w:val="auto"/>
        </w:rPr>
        <w:t>” has the meaning specified in the definition of “Eurodollar Rate.”</w:t>
      </w:r>
    </w:p>
    <w:p>
      <w:pPr>
        <w:spacing w:after="0" w:line="22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means an extension of credit by a Lender to the Borrower under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 the form of a Committed Loan.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Asset Borrower</w:t>
      </w:r>
      <w:r>
        <w:rPr>
          <w:rFonts w:ascii="Times New Roman" w:cs="Times New Roman" w:eastAsia="Times New Roman" w:hAnsi="Times New Roman"/>
          <w:sz w:val="18"/>
          <w:szCs w:val="18"/>
          <w:color w:val="auto"/>
        </w:rPr>
        <w:t>” has the meaning specified in the definition of “Eligible Loan Assets.”</w:t>
      </w:r>
    </w:p>
    <w:p>
      <w:pPr>
        <w:spacing w:after="0" w:line="225" w:lineRule="exact"/>
        <w:rPr>
          <w:sz w:val="20"/>
          <w:szCs w:val="20"/>
          <w:color w:val="auto"/>
        </w:rPr>
      </w:pPr>
    </w:p>
    <w:p>
      <w:pPr>
        <w:ind w:firstLine="68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Asset Value</w:t>
      </w:r>
      <w:r>
        <w:rPr>
          <w:rFonts w:ascii="Times New Roman" w:cs="Times New Roman" w:eastAsia="Times New Roman" w:hAnsi="Times New Roman"/>
          <w:sz w:val="18"/>
          <w:szCs w:val="18"/>
          <w:color w:val="auto"/>
        </w:rPr>
        <w:t xml:space="preserve">” means, with respect to any Loan Asset, the face amount of such Loan Asset at the time of its origination by a Consolidated Party,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sum of (a) the aggregate amount of all payments on account of principal on such Loan Asset (whether by virtue of an amortization payment, a prepayment, a release of collateral, an enforcement or otherwise) received by any Consolidated Party and (b) the amount, if any, by which the Borrower has reduced the value of such Loan Asset on its books and records subsequent to the origination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any time the Appraised Value of the Real Property Asset underlying such Loan Asset is zero ($0) then the Loan Asset Value of such Loan Asset shall also be zero ($0).</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Assets</w:t>
      </w:r>
      <w:r>
        <w:rPr>
          <w:rFonts w:ascii="Times New Roman" w:cs="Times New Roman" w:eastAsia="Times New Roman" w:hAnsi="Times New Roman"/>
          <w:sz w:val="18"/>
          <w:szCs w:val="18"/>
          <w:color w:val="auto"/>
        </w:rPr>
        <w:t>” means commercial mortgage loans originated or acquired by a Subsidiary.</w:t>
      </w:r>
    </w:p>
    <w:p>
      <w:pPr>
        <w:spacing w:after="0" w:line="225"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means this Agreement (including the Guaranty), each Note, each Issuer Document, each Perfection Certificate, each Perfection Certificate Supplement, any agreement creating or perfecting rights in Cash Collateral pursuant to the provisions of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of this Agreement, the Fee Letter, the Escrow Agreement, the Intercreditor Agreements (if any) and the Collateral Documents.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collectively, (a) the Borrower, (b) the Operating Partnership, (c) each Grantor, (d) at all times prior to the Investment Grade Release, each Subsidiary Guarantor and (e) upon and at all times following the Investment Grade Release, the Direct Owner of a Borrowing Base Asset and each Indirect Owner of such Direct Owner that is a borrower or a guarantor of, or otherwise incurs a payment obligation in respect of, any Unsecured Debt or Secured Pari Passu Obligations.</w:t>
      </w:r>
    </w:p>
    <w:p>
      <w:pPr>
        <w:sectPr>
          <w:pgSz w:w="11900" w:h="16838" w:orient="portrait"/>
          <w:cols w:equalWidth="0" w:num="1">
            <w:col w:w="11420"/>
          </w:cols>
          <w:pgMar w:left="240" w:top="121" w:right="239" w:bottom="0" w:gutter="0" w:footer="0" w:header="0"/>
        </w:sectPr>
      </w:pPr>
    </w:p>
    <w:bookmarkStart w:id="56" w:name="page57"/>
    <w:bookmarkEnd w:id="56"/>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Look-Through LTV</w:t>
      </w:r>
      <w:r>
        <w:rPr>
          <w:rFonts w:ascii="Times New Roman" w:cs="Times New Roman" w:eastAsia="Times New Roman" w:hAnsi="Times New Roman"/>
          <w:sz w:val="18"/>
          <w:szCs w:val="18"/>
          <w:color w:val="auto"/>
        </w:rPr>
        <w:t>” means, as of any date of determination with respect to any Loan Asset, the ratio (expressed as a percentage) of (a) the aggregate outstanding principal amount of such Loan Asset (including all capitalized interest) on such date of determination to (b) the Appraised Value of the underlying mortgaged Real Property Asset.</w:t>
      </w:r>
    </w:p>
    <w:p>
      <w:pPr>
        <w:spacing w:after="0" w:line="176"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London Banking Day</w:t>
      </w:r>
      <w:r>
        <w:rPr>
          <w:rFonts w:ascii="Times New Roman" w:cs="Times New Roman" w:eastAsia="Times New Roman" w:hAnsi="Times New Roman"/>
          <w:sz w:val="18"/>
          <w:szCs w:val="18"/>
          <w:color w:val="auto"/>
        </w:rPr>
        <w:t>” means any day on which dealings in Dollar deposits are conducted by and between banks in the London interbank eurodollar market.</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Agreement</w:t>
      </w:r>
      <w:r>
        <w:rPr>
          <w:rFonts w:ascii="Times New Roman" w:cs="Times New Roman" w:eastAsia="Times New Roman" w:hAnsi="Times New Roman"/>
          <w:sz w:val="18"/>
          <w:szCs w:val="18"/>
          <w:color w:val="auto"/>
        </w:rPr>
        <w:t>” means the Management Agreement, dated as of [•], 2017, by and among the Borrower, the Operating Partnership, SFTY Manager LLC and iStar Inc., as the same may be amended from time to time.</w:t>
      </w:r>
    </w:p>
    <w:p>
      <w:pPr>
        <w:spacing w:after="0" w:line="16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 effect resulting from any circumstance or event or series of circumstances or events, of whatever nature (but excluding general economic conditions), which does or would reasonably be expected to, materially and adversely impair (a) the ability of the Loan Parties, taken as a whole, to perform their respective obligations under the Loan Documents, or (b) the ability of the Administrative Agent or the Lenders to enforce the Loan Documents (other than as a result of circumstances related solely to the Administrative Agent or such Lender).</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Event</w:t>
      </w:r>
      <w:r>
        <w:rPr>
          <w:rFonts w:ascii="Times New Roman" w:cs="Times New Roman" w:eastAsia="Times New Roman" w:hAnsi="Times New Roman"/>
          <w:sz w:val="18"/>
          <w:szCs w:val="18"/>
          <w:color w:val="auto"/>
        </w:rPr>
        <w:t>” means, (a) as to any Ground Net Lease Asset, (i) the lessee of such Ground Net Lease Asset becomes a debtor in a proceeding under any Debtor Relief Law and such lessee is not continuing to perform its obligation to pay rent pursuant to the applicable ground net lease documentation, (ii) the lessee of such Ground Net Lease Asset defaults on its obligation to pay rent pursuant to the applicable ground net lease documentation for a period of more than ninety (90) days (exclusive of any period of grace with respect to such payment), (iii) any event resulting from material physical damage to the Improvements related to such Ground Net Lease Asset in respect of which the lessee of such Ground Net Lease Asset has no obligation to and otherwise elects not to, restore and repair such physical damage or (iv) any material write-down or reserve established by any Consolidated Party in respect of such Ground Net Lease Asset in accordance with GAAP, and (b) as to any Loan Asset, (i) the Loan Asset Borrower becomes a debtor in a proceeding under any Debtor Relief Law and is not continuing to perform its obligation to pay principal and interest pursuant to the applicable loan documentation, (ii) the Loan Asset Borrower defaults on its obligation to make any payment pursuant to the applicable loan documentation for a period of more than ninety (90) days (exclusive of any period of grace with respect to such payment), (iii) any event resulting from material physical damage to the Improvements related to the Real Property Asset underlying such Loan Asset in respect of which the mortgagor of such Real Property Asset has no obligation to and otherwise elects not to, restore and repair such physical damage or (iv) any material write-down or reserve in respect of such Loan Asset in accordance with GAAP.</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means June [ ], 2020 (the “</w:t>
      </w:r>
      <w:r>
        <w:rPr>
          <w:rFonts w:ascii="Times New Roman" w:cs="Times New Roman" w:eastAsia="Times New Roman" w:hAnsi="Times New Roman"/>
          <w:sz w:val="18"/>
          <w:szCs w:val="18"/>
          <w:u w:val="single" w:color="auto"/>
          <w:color w:val="auto"/>
        </w:rPr>
        <w:t>Initial Maturity Date</w:t>
      </w:r>
      <w:r>
        <w:rPr>
          <w:rFonts w:ascii="Times New Roman" w:cs="Times New Roman" w:eastAsia="Times New Roman" w:hAnsi="Times New Roman"/>
          <w:sz w:val="18"/>
          <w:szCs w:val="18"/>
          <w:color w:val="auto"/>
        </w:rPr>
        <w:t xml:space="preserve">”) subject to extension in accordance with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case, if such date is not a Business Day, the Maturity Date shall be the next preceding Business Day.</w:t>
      </w:r>
    </w:p>
    <w:p>
      <w:pPr>
        <w:spacing w:after="0" w:line="162"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Collateral Amount</w:t>
      </w:r>
      <w:r>
        <w:rPr>
          <w:rFonts w:ascii="Times New Roman" w:cs="Times New Roman" w:eastAsia="Times New Roman" w:hAnsi="Times New Roman"/>
          <w:sz w:val="18"/>
          <w:szCs w:val="18"/>
          <w:color w:val="auto"/>
        </w:rPr>
        <w:t xml:space="preserve">” means, at any time, (i) with respect to Cash Collateral consisting of cash or deposit account balances provided to reduce or eliminate Fronting Exposure during the existence of a Defaulting Lender, an amount equal to 100% of the Fronting Exposure of the L/C Issuers with respect to Letters of Credit issued and outstanding at such time, (ii) with respect to Cash Collateral consisting of cash or deposit account balances provided in accordance with the provisions of </w:t>
      </w:r>
      <w:r>
        <w:rPr>
          <w:rFonts w:ascii="Times New Roman" w:cs="Times New Roman" w:eastAsia="Times New Roman" w:hAnsi="Times New Roman"/>
          <w:sz w:val="18"/>
          <w:szCs w:val="18"/>
          <w:u w:val="single" w:color="auto"/>
          <w:color w:val="auto"/>
        </w:rPr>
        <w:t>Section 2.16(a)(i)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(a)(iii)</w:t>
      </w:r>
      <w:r>
        <w:rPr>
          <w:rFonts w:ascii="Times New Roman" w:cs="Times New Roman" w:eastAsia="Times New Roman" w:hAnsi="Times New Roman"/>
          <w:sz w:val="18"/>
          <w:szCs w:val="18"/>
          <w:color w:val="auto"/>
        </w:rPr>
        <w:t>, an amount equal to 100% of the Outstanding Amount of all L/C Obligations, and (iii) otherwise, an amount determined by the Administrative Agent and the applicable L/C Issuer(s) in their sole discretion.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w:t>
      </w:r>
      <w:r>
        <w:rPr>
          <w:rFonts w:ascii="Times New Roman" w:cs="Times New Roman" w:eastAsia="Times New Roman" w:hAnsi="Times New Roman"/>
          <w:sz w:val="18"/>
          <w:szCs w:val="18"/>
          <w:color w:val="auto"/>
        </w:rPr>
        <w:t>” means a mortgage, deed of trust, deed to secured debt or similar security interest in respect of a Real Property Asset.</w:t>
      </w:r>
    </w:p>
    <w:p>
      <w:pPr>
        <w:spacing w:after="0" w:line="22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at any time an employee pension benefit plan within the meaning of Section 4001(a)(3) of ERISA which is subject to Title IV of ERISA to which any member of the ERISA Group is then making or accruing an obligation to make contributions or as to which the Borrower could have any obligation or liability.</w:t>
      </w:r>
    </w:p>
    <w:p>
      <w:pPr>
        <w:spacing w:after="0" w:line="176"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Negative Pledge</w:t>
      </w:r>
      <w:r>
        <w:rPr>
          <w:rFonts w:ascii="Times New Roman" w:cs="Times New Roman" w:eastAsia="Times New Roman" w:hAnsi="Times New Roman"/>
          <w:sz w:val="18"/>
          <w:szCs w:val="18"/>
          <w:color w:val="auto"/>
        </w:rPr>
        <w:t xml:space="preserve">” means, a provision of any agreement (other than any Loan Document) that prohibits the creation of any Lien on any assets of a Person to secure the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an agreement that conditions a Person’s ability to encumber its assets upon the maintenance of one or more specified ratios that limit such Person’s ability to encumber its assets but that do not generally prohibit the encumbrance of its assets, or the encumbrance of specific assets, (ii) an agreement relating to the sale of a Property that limits the creation of any Lien pending the closing of the sale thereof and (iii) Permitted Pari Passu Provisions, in each case shall not constitute a “Negative Pledge.”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Operating Income</w:t>
      </w:r>
      <w:r>
        <w:rPr>
          <w:rFonts w:ascii="Times New Roman" w:cs="Times New Roman" w:eastAsia="Times New Roman" w:hAnsi="Times New Roman"/>
          <w:sz w:val="18"/>
          <w:szCs w:val="18"/>
          <w:color w:val="auto"/>
        </w:rPr>
        <w:t>” means, for any period:</w:t>
      </w:r>
    </w:p>
    <w:p>
      <w:pPr>
        <w:spacing w:after="0" w:line="225" w:lineRule="exact"/>
        <w:rPr>
          <w:sz w:val="20"/>
          <w:szCs w:val="20"/>
          <w:color w:val="auto"/>
        </w:rPr>
      </w:pPr>
    </w:p>
    <w:p>
      <w:pPr>
        <w:ind w:right="180" w:firstLine="1305"/>
        <w:spacing w:after="0" w:line="255" w:lineRule="auto"/>
        <w:tabs>
          <w:tab w:leader="none" w:pos="194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Eligible Ground Net Lease Asset, income derived by the Direct Owner thereof from the operation of such Borrowing Base Asset as determined in accordance with GAAP,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amount of all expenses (as determined in accordance with GAAP) incurred in connection with and directly attributable to the ownership and operation by the Direct Owner of such Borrowing Base Asset for such period (including cash management fees in an amount equal to the greater of (x) the actual amount of cash management fees paid by the Direct Owner in respect of such Eligible Ground Net Lease Asset and (y) an amount equal to 1.00% of the rent (including base rent and Percentage Rent), and amounts accrued by any party for the payment of real estate taxes and insurance premiums, but excluding (1) any general and administrative expenses, and acquisition costs, related to the operation of the Borrower and its Subsidiaries, (2) any interest expense or other debt service charges and (3) any non-cash charges such as depreciation or amortization of financing costs); and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firstLine="1305"/>
        <w:spacing w:after="0" w:line="282" w:lineRule="auto"/>
        <w:tabs>
          <w:tab w:leader="none" w:pos="195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Eligible Loan Asset, the aggregate amount of cash interest income actually received by the Direct Owner thereof during such period in respect of such Eligible Loan Asset.</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Present Value</w:t>
      </w:r>
      <w:r>
        <w:rPr>
          <w:rFonts w:ascii="Times New Roman" w:cs="Times New Roman" w:eastAsia="Times New Roman" w:hAnsi="Times New Roman"/>
          <w:sz w:val="18"/>
          <w:szCs w:val="18"/>
          <w:color w:val="auto"/>
        </w:rPr>
        <w:t>” means, as to a specified or ascertainable Dollar amount, the present value, as of the date of calculation of any such amount using a discount rate equal to the Base Rate in effect as of the date of such calculation.</w:t>
      </w:r>
    </w:p>
    <w:p>
      <w:pPr>
        <w:sectPr>
          <w:pgSz w:w="11900" w:h="16838" w:orient="portrait"/>
          <w:cols w:equalWidth="0" w:num="1">
            <w:col w:w="11420"/>
          </w:cols>
          <w:pgMar w:left="240" w:top="121" w:right="239" w:bottom="0" w:gutter="0" w:footer="0" w:header="0"/>
        </w:sectPr>
      </w:pPr>
    </w:p>
    <w:bookmarkStart w:id="57" w:name="page58"/>
    <w:bookmarkEnd w:id="57"/>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means with respect to any Equity Issuance, the aggregate amount of all cash and the fair market value of all other property (other than securities of such Person being converted or exchanged in connection with any such Equity Issuance) received by such Person in respect of such Equity Issuance net of investment banking fees, legal fees, accountants’ fees, underwriting discounts and commissions and other customary fees and expenses actually incurred by such Person in connection with such Equity Issuance other than any such amounts paid or payable to an Affiliate of the Borrower. Notwithstanding the foregoing, Net Proceeds will not include net proceeds from any Equity Issuance to the extent used to redeem all or part of an existing class of Equity Interest of any Consolidated Party.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Lender Joinder Agreement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means any Lender that does not approve any consent, waiver or amendment that (i) requires the approval of all Lenders or all affected Lenders in accordance with the terms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and (ii) has been approved by the Required Lenders.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Non-Performing Loan Assets</w:t>
      </w:r>
      <w:r>
        <w:rPr>
          <w:rFonts w:ascii="Times New Roman" w:cs="Times New Roman" w:eastAsia="Times New Roman" w:hAnsi="Times New Roman"/>
          <w:sz w:val="18"/>
          <w:szCs w:val="18"/>
          <w:color w:val="auto"/>
        </w:rPr>
        <w:t>” means any Loan Asset classified as non-performing by a Consolidated Party in accordance with internal procedures, consistent with past practice.</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Non-Recourse Indebtedness</w:t>
      </w:r>
      <w:r>
        <w:rPr>
          <w:rFonts w:ascii="Times New Roman" w:cs="Times New Roman" w:eastAsia="Times New Roman" w:hAnsi="Times New Roman"/>
          <w:sz w:val="18"/>
          <w:szCs w:val="18"/>
          <w:color w:val="auto"/>
        </w:rPr>
        <w:t>” means Indebtedness with respect to which recourse for payment is limited to (i) specific assets related to a particular Real Property Asset or group of Real Property Assets encumbered by a Lien securing such Indebtedness or (ii)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Subsidiary is a partnership, there is no recourse to the Borrower as a general partner of such partnership);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portion of Indebtedness is so limited, then such portion shall constitute Non-Recourse Indebtedness and only the remainder of such Indebtedness shall constitute Recourse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personal recourse of a Consolidated Party for any such Indebtedness for fraud, misrepresentation, misapplication of cash, waste, bankruptcy, unpermitted transfers, Environmental Claims and liabilities and other circumstances customarily excluded by institutional lenders from exculpation provisions and/or included in separate indemnification agreements in non-recourse financing of real estate (collectively, “</w:t>
      </w:r>
      <w:r>
        <w:rPr>
          <w:rFonts w:ascii="Times New Roman" w:cs="Times New Roman" w:eastAsia="Times New Roman" w:hAnsi="Times New Roman"/>
          <w:sz w:val="18"/>
          <w:szCs w:val="18"/>
          <w:u w:val="single" w:color="auto"/>
          <w:color w:val="auto"/>
        </w:rPr>
        <w:t>Customary Recourse Carveouts</w:t>
      </w:r>
      <w:r>
        <w:rPr>
          <w:rFonts w:ascii="Times New Roman" w:cs="Times New Roman" w:eastAsia="Times New Roman" w:hAnsi="Times New Roman"/>
          <w:sz w:val="18"/>
          <w:szCs w:val="18"/>
          <w:color w:val="auto"/>
        </w:rPr>
        <w:t>”) shall not, by itself, prevent such Indebtedness from being characterized as Non-Recourse Indebtedness.</w:t>
      </w:r>
    </w:p>
    <w:p>
      <w:pPr>
        <w:spacing w:after="0" w:line="18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xml:space="preserve">” means a promissory note made by the Borrower in favor of a Lender evidencing Loans made by such Lender,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United States Department of the Treasury.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Operating Partnership</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 Documents</w:t>
      </w:r>
      <w:r>
        <w:rPr>
          <w:rFonts w:ascii="Times New Roman" w:cs="Times New Roman" w:eastAsia="Times New Roman" w:hAnsi="Times New Roman"/>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or limited liability company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Net Lease</w:t>
      </w:r>
      <w:r>
        <w:rPr>
          <w:rFonts w:ascii="Times New Roman" w:cs="Times New Roman" w:eastAsia="Times New Roman" w:hAnsi="Times New Roman"/>
          <w:sz w:val="18"/>
          <w:szCs w:val="18"/>
          <w:color w:val="auto"/>
        </w:rPr>
        <w:t>” means any lease (other than a ground net lease) that the Borrower determines reasonably and in good faith has characteristics of a ground net lease, including length of lease term, value relative to the combined value of the land, buildings and improvements (in each case, whether owned by the ground lessee or ground lessor) relating to a commercial property as if there were no ground net lease on the land at the property (as such value is determined by us using one or more valuation methodologies that the Borrower determines reasonably and in good faith to be appropriate), periodic rent escalations or percentage rent participations and “triple net” terms.</w:t>
      </w:r>
    </w:p>
    <w:p>
      <w:pPr>
        <w:spacing w:after="0" w:line="18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30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Amount</w:t>
      </w:r>
      <w:r>
        <w:rPr>
          <w:rFonts w:ascii="Times New Roman" w:cs="Times New Roman" w:eastAsia="Times New Roman" w:hAnsi="Times New Roman"/>
          <w:sz w:val="18"/>
          <w:szCs w:val="18"/>
          <w:color w:val="auto"/>
        </w:rPr>
        <w:t>” means (i) with respect to Committed Loans on any date, the aggregate outstanding principal amount thereof after giving effect to any borrowings and prepayments or repayments of Committed Loans occurring on such date; and (ii)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536" w:gutter="0" w:footer="0" w:header="0"/>
        </w:sectPr>
      </w:pPr>
    </w:p>
    <w:bookmarkStart w:id="58" w:name="page59"/>
    <w:bookmarkEnd w:id="58"/>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 Passu Obligations</w:t>
      </w:r>
      <w:r>
        <w:rPr>
          <w:rFonts w:ascii="Times New Roman" w:cs="Times New Roman" w:eastAsia="Times New Roman" w:hAnsi="Times New Roman"/>
          <w:sz w:val="18"/>
          <w:szCs w:val="18"/>
          <w:color w:val="auto"/>
        </w:rPr>
        <w:t xml:space="preserve">” means (a) Unsecured Debt (exclusive of Indebtedness arising under this Agreement) of a Loan Party owing to a Person that is not a Consolidated Party or a Person Controlled (directly or indirectly) by the Borrower and (b) Secured Debt of a Loan Party owing to a Person that is not a Consolidated Party or a Person Controlled (directly or indirectly)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assets and property of the Loan Parties securing such Secured Debt shall not include any asset or property of a Loan Party that is not also subject to a perfected Lien in favor of the Administrative Agent, for the benefit of the Secured Parties, (y) the Liens securing such Secured Debt shall be pari passu or junior to the Liens granted to the Administrative Agent, for the benefit of the Secured Parties, and (z) the lender(s) providing such Secured Debt (or an agent or trustee on their behalf) shall have entered into intercreditor arrangements with the Administrative Agent setting forth the relative rights of such lender(s) and the Administrative Agent in respect of the collateral securing such Secured Debt, which intercreditor arrangements shall be reasonably satisfactory to the Administrative Agent and the Borrower (any and all agreements and documents evidencing such intercreditor arrangements being referred to herein as “</w:t>
      </w:r>
      <w:r>
        <w:rPr>
          <w:rFonts w:ascii="Times New Roman" w:cs="Times New Roman" w:eastAsia="Times New Roman" w:hAnsi="Times New Roman"/>
          <w:sz w:val="18"/>
          <w:szCs w:val="18"/>
          <w:u w:val="single" w:color="auto"/>
          <w:color w:val="auto"/>
        </w:rPr>
        <w:t>Intercreditor Agreements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or any entity succeeding to any or all of its functions under ERISA.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Act</w:t>
      </w:r>
      <w:r>
        <w:rPr>
          <w:rFonts w:ascii="Times New Roman" w:cs="Times New Roman" w:eastAsia="Times New Roman" w:hAnsi="Times New Roman"/>
          <w:sz w:val="18"/>
          <w:szCs w:val="18"/>
          <w:color w:val="auto"/>
        </w:rPr>
        <w:t>” means the Pension Protection Act of 2006.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Percentage Rent</w:t>
      </w:r>
      <w:r>
        <w:rPr>
          <w:rFonts w:ascii="Times New Roman" w:cs="Times New Roman" w:eastAsia="Times New Roman" w:hAnsi="Times New Roman"/>
          <w:sz w:val="18"/>
          <w:szCs w:val="18"/>
          <w:color w:val="auto"/>
        </w:rPr>
        <w:t>” means, as to any Ground Net Lease, such rent that is payable with respect thereto to a Loan Party based on a percentage of gross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Perfection Certificate</w:t>
      </w:r>
      <w:r>
        <w:rPr>
          <w:rFonts w:ascii="Times New Roman" w:cs="Times New Roman" w:eastAsia="Times New Roman" w:hAnsi="Times New Roman"/>
          <w:sz w:val="18"/>
          <w:szCs w:val="18"/>
          <w:color w:val="auto"/>
        </w:rPr>
        <w:t xml:space="preserve">” shall mean a certificate in the form of </w:t>
      </w:r>
      <w:r>
        <w:rPr>
          <w:rFonts w:ascii="Times New Roman" w:cs="Times New Roman" w:eastAsia="Times New Roman" w:hAnsi="Times New Roman"/>
          <w:sz w:val="18"/>
          <w:szCs w:val="18"/>
          <w:u w:val="single" w:color="auto"/>
          <w:color w:val="auto"/>
        </w:rPr>
        <w:t>Exhibit F-1</w:t>
      </w:r>
      <w:r>
        <w:rPr>
          <w:rFonts w:ascii="Times New Roman" w:cs="Times New Roman" w:eastAsia="Times New Roman" w:hAnsi="Times New Roman"/>
          <w:sz w:val="18"/>
          <w:szCs w:val="18"/>
          <w:color w:val="auto"/>
        </w:rPr>
        <w:t xml:space="preserve"> or any other form approved by the Administrative Agent, as the same shall be supplemented from time to time by a Perfection Certificate Supplement or otherwise.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Perfection Certificate Supplement</w:t>
      </w:r>
      <w:r>
        <w:rPr>
          <w:rFonts w:ascii="Times New Roman" w:cs="Times New Roman" w:eastAsia="Times New Roman" w:hAnsi="Times New Roman"/>
          <w:sz w:val="17"/>
          <w:szCs w:val="17"/>
          <w:color w:val="auto"/>
        </w:rPr>
        <w:t xml:space="preserve">” shall mean a certificate supplement in the form of </w:t>
      </w:r>
      <w:r>
        <w:rPr>
          <w:rFonts w:ascii="Times New Roman" w:cs="Times New Roman" w:eastAsia="Times New Roman" w:hAnsi="Times New Roman"/>
          <w:sz w:val="17"/>
          <w:szCs w:val="17"/>
          <w:u w:val="single" w:color="auto"/>
          <w:color w:val="auto"/>
        </w:rPr>
        <w:t>Exhibit F-2</w:t>
      </w:r>
      <w:r>
        <w:rPr>
          <w:rFonts w:ascii="Times New Roman" w:cs="Times New Roman" w:eastAsia="Times New Roman" w:hAnsi="Times New Roman"/>
          <w:sz w:val="17"/>
          <w:szCs w:val="17"/>
          <w:color w:val="auto"/>
        </w:rPr>
        <w:t xml:space="preserve"> or any other form approved by the Administrative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0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Judgment Liens</w:t>
      </w:r>
      <w:r>
        <w:rPr>
          <w:rFonts w:ascii="Times New Roman" w:cs="Times New Roman" w:eastAsia="Times New Roman" w:hAnsi="Times New Roman"/>
          <w:sz w:val="18"/>
          <w:szCs w:val="18"/>
          <w:color w:val="auto"/>
        </w:rPr>
        <w:t>” means Liens securing judgments for the payment of money not constituting an Event of Default solely to the extent the aggregate amount of the judgments (other than judgments that are being contested in good faith and by appropriate actions or proceedings diligently conducted (which actions or proceedings have the effect of preventing the forfeiture or sale of the property of assets subject to any such Lien)) secured by such Liens encumbering (x) Borrowing Base Assets (and the proceeds of and income therefrom) and/or (y) the Equity Interests of the Direct Owners of Borrowing Base Assets (and the proceeds of and income therefrom) and Indirect Owners of such Direct Owners, does not exceed $10,000,000.</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Equity Encumbrances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1940" w:hanging="554"/>
        <w:spacing w:after="0"/>
        <w:tabs>
          <w:tab w:leader="none" w:pos="19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and Negative Pledges pursuant to any Loan Document;</w:t>
      </w:r>
    </w:p>
    <w:p>
      <w:pPr>
        <w:spacing w:after="0" w:line="225" w:lineRule="exact"/>
        <w:rPr>
          <w:rFonts w:ascii="Times New Roman" w:cs="Times New Roman" w:eastAsia="Times New Roman" w:hAnsi="Times New Roman"/>
          <w:sz w:val="18"/>
          <w:szCs w:val="18"/>
          <w:color w:val="auto"/>
        </w:rPr>
      </w:pPr>
    </w:p>
    <w:p>
      <w:pPr>
        <w:ind w:left="740" w:right="160" w:firstLine="646"/>
        <w:spacing w:after="0" w:line="313" w:lineRule="auto"/>
        <w:tabs>
          <w:tab w:leader="none" w:pos="1963"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for taxes not yet due or Liens for taxes which are being contested in good faith and by appropriate proceedings diligently conducted, and which adequate reserves with respect thereto are maintained on the books of the applicable Person in accordance with GAAP; and</w:t>
      </w:r>
    </w:p>
    <w:p>
      <w:pPr>
        <w:spacing w:after="0" w:line="138" w:lineRule="exact"/>
        <w:rPr>
          <w:rFonts w:ascii="Times New Roman" w:cs="Times New Roman" w:eastAsia="Times New Roman" w:hAnsi="Times New Roman"/>
          <w:sz w:val="17"/>
          <w:szCs w:val="17"/>
          <w:color w:val="auto"/>
        </w:rPr>
      </w:pPr>
    </w:p>
    <w:p>
      <w:pPr>
        <w:ind w:left="1960" w:hanging="574"/>
        <w:spacing w:after="0"/>
        <w:tabs>
          <w:tab w:leader="none" w:pos="19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Judgment Liens;</w:t>
      </w:r>
    </w:p>
    <w:p>
      <w:pPr>
        <w:spacing w:after="0" w:line="225" w:lineRule="exact"/>
        <w:rPr>
          <w:rFonts w:ascii="Times New Roman" w:cs="Times New Roman" w:eastAsia="Times New Roman" w:hAnsi="Times New Roman"/>
          <w:sz w:val="18"/>
          <w:szCs w:val="18"/>
          <w:color w:val="auto"/>
        </w:rPr>
      </w:pPr>
    </w:p>
    <w:p>
      <w:pPr>
        <w:ind w:left="1960" w:hanging="574"/>
        <w:spacing w:after="0"/>
        <w:tabs>
          <w:tab w:leader="none" w:pos="19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Pari Passu Provisions.</w:t>
      </w:r>
    </w:p>
    <w:p>
      <w:pPr>
        <w:spacing w:after="0" w:line="225"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Pari Passu Provisions</w:t>
      </w:r>
      <w:r>
        <w:rPr>
          <w:rFonts w:ascii="Times New Roman" w:cs="Times New Roman" w:eastAsia="Times New Roman" w:hAnsi="Times New Roman"/>
          <w:sz w:val="18"/>
          <w:szCs w:val="18"/>
          <w:color w:val="auto"/>
        </w:rPr>
        <w:t>” means provisions that are contained in documentation evidencing or governing Pari Passu Obligations which provisions are the result of (i) limitations on the ability of a Consolidated Party to make Restricted Payments or transfer property to the Borrower or a Subsidiary Guarantor which limitations are not, taken as a whole, materially more restrictive than those contained in the Loan Documents, (ii) limitations on the creation of any Lien on any assets of a Person that are not, taken as a whole, materially more restrictive than those contained in the Loan Documents or</w:t>
      </w:r>
    </w:p>
    <w:p>
      <w:pPr>
        <w:spacing w:after="0" w:line="3" w:lineRule="exact"/>
        <w:rPr>
          <w:sz w:val="20"/>
          <w:szCs w:val="20"/>
          <w:color w:val="auto"/>
        </w:rPr>
      </w:pPr>
    </w:p>
    <w:p>
      <w:pPr>
        <w:ind w:firstLine="8"/>
        <w:spacing w:after="0" w:line="254" w:lineRule="auto"/>
        <w:tabs>
          <w:tab w:leader="none" w:pos="31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that Pari Passu Obligations be secured on an “equal and ratable basis” to the extent that Indebtedness arising under the Loan Documents is secured or (iv) an agreement that conditions a Person’s ability to encumber its assets upon the maintenance of one or more specified ratios that limit such Person’s ability to encumber its assets but that do not generally prohibit the encumbrance of its assets, or the encumbrance of specific assets, which conditions are not, taken as a whole, materially more restrictive than those contained in the Loan Documents.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Property Encumbrances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740" w:right="480" w:firstLine="646"/>
        <w:spacing w:after="0" w:line="282" w:lineRule="auto"/>
        <w:tabs>
          <w:tab w:leader="none" w:pos="195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other governmental charges not yet delinquent or which are being contested in good faith by appropriate proceedings promptly instituted and diligently conducted in accordance with the terms hereof;</w:t>
      </w:r>
    </w:p>
    <w:p>
      <w:pPr>
        <w:spacing w:after="0" w:line="161" w:lineRule="exact"/>
        <w:rPr>
          <w:rFonts w:ascii="Times New Roman" w:cs="Times New Roman" w:eastAsia="Times New Roman" w:hAnsi="Times New Roman"/>
          <w:sz w:val="18"/>
          <w:szCs w:val="18"/>
          <w:color w:val="auto"/>
        </w:rPr>
      </w:pPr>
    </w:p>
    <w:p>
      <w:pPr>
        <w:jc w:val="both"/>
        <w:ind w:left="740" w:right="180" w:firstLine="646"/>
        <w:spacing w:after="0" w:line="266" w:lineRule="auto"/>
        <w:tabs>
          <w:tab w:leader="none" w:pos="196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liens of carriers, warehousemen, mechanics, materialmen and other similar liens imposed by law, which are incurred in the ordinary course of business for sums not more than ninety (90) days delinquent or which are being contested in good faith in accordance with the terms hereof;</w:t>
      </w:r>
    </w:p>
    <w:p>
      <w:pPr>
        <w:spacing w:after="0" w:line="176" w:lineRule="exact"/>
        <w:rPr>
          <w:rFonts w:ascii="Times New Roman" w:cs="Times New Roman" w:eastAsia="Times New Roman" w:hAnsi="Times New Roman"/>
          <w:sz w:val="18"/>
          <w:szCs w:val="18"/>
          <w:color w:val="auto"/>
        </w:rPr>
      </w:pPr>
    </w:p>
    <w:p>
      <w:pPr>
        <w:ind w:left="740" w:right="180" w:firstLine="646"/>
        <w:spacing w:after="0" w:line="266" w:lineRule="auto"/>
        <w:tabs>
          <w:tab w:leader="none" w:pos="196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utility deposits and other deposits or pledges to secure the performance of bids, trade contracts (other than for borrowed money), leases, purchase contracts, construction contracts, governmental contracts, statutory obligations, surety bonds, performance bonds and other obligations of a like nature incurred in the ordinary course of business;</w:t>
      </w:r>
    </w:p>
    <w:p>
      <w:pPr>
        <w:spacing w:after="0" w:line="176" w:lineRule="exact"/>
        <w:rPr>
          <w:rFonts w:ascii="Times New Roman" w:cs="Times New Roman" w:eastAsia="Times New Roman" w:hAnsi="Times New Roman"/>
          <w:sz w:val="18"/>
          <w:szCs w:val="18"/>
          <w:color w:val="auto"/>
        </w:rPr>
      </w:pPr>
    </w:p>
    <w:p>
      <w:pPr>
        <w:ind w:left="740" w:right="120" w:firstLine="646"/>
        <w:spacing w:after="0" w:line="266" w:lineRule="auto"/>
        <w:tabs>
          <w:tab w:leader="none" w:pos="196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(including reciprocal easement agreements and utility agreements), rights-of-way, zoning restrictions, other covenants, reservations, encroachments, leases, licenses or similar charges or encumbrances (whether or not recorded) and all other items listed on any Schedule B to the Borrower’s owner’s title</w:t>
      </w:r>
    </w:p>
    <w:p>
      <w:pPr>
        <w:sectPr>
          <w:pgSz w:w="11900" w:h="16838" w:orient="portrait"/>
          <w:cols w:equalWidth="0" w:num="1">
            <w:col w:w="11400"/>
          </w:cols>
          <w:pgMar w:left="240" w:top="121" w:right="259" w:bottom="0" w:gutter="0" w:footer="0" w:header="0"/>
        </w:sectPr>
      </w:pPr>
    </w:p>
    <w:bookmarkStart w:id="59" w:name="page60"/>
    <w:bookmarkEnd w:id="59"/>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740" w:right="260"/>
        <w:spacing w:after="0" w:line="266" w:lineRule="auto"/>
        <w:rPr>
          <w:sz w:val="20"/>
          <w:szCs w:val="20"/>
          <w:color w:val="auto"/>
        </w:rPr>
      </w:pPr>
      <w:r>
        <w:rPr>
          <w:rFonts w:ascii="Times New Roman" w:cs="Times New Roman" w:eastAsia="Times New Roman" w:hAnsi="Times New Roman"/>
          <w:sz w:val="18"/>
          <w:szCs w:val="18"/>
          <w:color w:val="auto"/>
        </w:rPr>
        <w:t>insurance policies, except in connection with any Indebtedness, for any of the Borrower’s Real Property Assets, so long as the foregoing do not interfere in any material respect with the use or ordinary conduct of the business of the Borrower and do not diminish in any material respect the value of the property to which such Lien is attached;</w:t>
      </w:r>
    </w:p>
    <w:p>
      <w:pPr>
        <w:spacing w:after="0" w:line="176" w:lineRule="exact"/>
        <w:rPr>
          <w:sz w:val="20"/>
          <w:szCs w:val="20"/>
          <w:color w:val="auto"/>
        </w:rPr>
      </w:pPr>
    </w:p>
    <w:p>
      <w:pPr>
        <w:ind w:left="740" w:right="240" w:firstLine="646"/>
        <w:spacing w:after="0" w:line="261" w:lineRule="auto"/>
        <w:tabs>
          <w:tab w:leader="none" w:pos="196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and judgments which have been bonded (and the Lien on any cash or securities serving as security for such bond) or released of record within forty-five (45) days after the date such Lien or judgment is entered or filed against a Loan Party, or (ii) Liens which are being contested in good faith by appropriate proceedings for review and in respect of which there shall have been secured a subsisting stay of execution pending such appeal or proceedings and as to which the subject asset is not at risk of forfeiture;</w:t>
      </w:r>
    </w:p>
    <w:p>
      <w:pPr>
        <w:spacing w:after="0" w:line="180" w:lineRule="exact"/>
        <w:rPr>
          <w:rFonts w:ascii="Times New Roman" w:cs="Times New Roman" w:eastAsia="Times New Roman" w:hAnsi="Times New Roman"/>
          <w:sz w:val="18"/>
          <w:szCs w:val="18"/>
          <w:color w:val="auto"/>
        </w:rPr>
      </w:pPr>
    </w:p>
    <w:p>
      <w:pPr>
        <w:ind w:left="1960" w:hanging="574"/>
        <w:spacing w:after="0"/>
        <w:tabs>
          <w:tab w:leader="none" w:pos="19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and Negative Pledges pursuant to any Loan Document;</w:t>
      </w:r>
    </w:p>
    <w:p>
      <w:pPr>
        <w:spacing w:after="0" w:line="225" w:lineRule="exact"/>
        <w:rPr>
          <w:rFonts w:ascii="Times New Roman" w:cs="Times New Roman" w:eastAsia="Times New Roman" w:hAnsi="Times New Roman"/>
          <w:sz w:val="18"/>
          <w:szCs w:val="18"/>
          <w:color w:val="auto"/>
        </w:rPr>
      </w:pPr>
    </w:p>
    <w:p>
      <w:pPr>
        <w:ind w:left="1980" w:hanging="594"/>
        <w:spacing w:after="0"/>
        <w:tabs>
          <w:tab w:leader="none" w:pos="1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 Loan Party;</w:t>
      </w:r>
    </w:p>
    <w:p>
      <w:pPr>
        <w:spacing w:after="0" w:line="225" w:lineRule="exact"/>
        <w:rPr>
          <w:rFonts w:ascii="Times New Roman" w:cs="Times New Roman" w:eastAsia="Times New Roman" w:hAnsi="Times New Roman"/>
          <w:sz w:val="18"/>
          <w:szCs w:val="18"/>
          <w:color w:val="auto"/>
        </w:rPr>
      </w:pPr>
    </w:p>
    <w:p>
      <w:pPr>
        <w:ind w:left="740" w:right="660" w:firstLine="646"/>
        <w:spacing w:after="0" w:line="282" w:lineRule="auto"/>
        <w:tabs>
          <w:tab w:leader="none" w:pos="196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right of a lessee of a Real Property Asset under leases entered into in the ordinary course of business of the applicable lessor;</w:t>
      </w:r>
    </w:p>
    <w:p>
      <w:pPr>
        <w:spacing w:after="0" w:line="161" w:lineRule="exact"/>
        <w:rPr>
          <w:rFonts w:ascii="Times New Roman" w:cs="Times New Roman" w:eastAsia="Times New Roman" w:hAnsi="Times New Roman"/>
          <w:sz w:val="18"/>
          <w:szCs w:val="18"/>
          <w:color w:val="auto"/>
        </w:rPr>
      </w:pPr>
    </w:p>
    <w:p>
      <w:pPr>
        <w:ind w:left="1980" w:hanging="594"/>
        <w:spacing w:after="0"/>
        <w:tabs>
          <w:tab w:leader="none" w:pos="1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Borrowing Base Assets that are Loan Assets, rights of lessors under Ground Net Leases;</w:t>
      </w:r>
    </w:p>
    <w:p>
      <w:pPr>
        <w:spacing w:after="0" w:line="225" w:lineRule="exact"/>
        <w:rPr>
          <w:rFonts w:ascii="Times New Roman" w:cs="Times New Roman" w:eastAsia="Times New Roman" w:hAnsi="Times New Roman"/>
          <w:sz w:val="18"/>
          <w:szCs w:val="18"/>
          <w:color w:val="auto"/>
        </w:rPr>
      </w:pPr>
    </w:p>
    <w:p>
      <w:pPr>
        <w:ind w:left="1960" w:hanging="574"/>
        <w:spacing w:after="0"/>
        <w:tabs>
          <w:tab w:leader="none" w:pos="19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Pari Passu Provisions; and</w:t>
      </w:r>
    </w:p>
    <w:p>
      <w:pPr>
        <w:spacing w:after="0" w:line="225" w:lineRule="exact"/>
        <w:rPr>
          <w:rFonts w:ascii="Times New Roman" w:cs="Times New Roman" w:eastAsia="Times New Roman" w:hAnsi="Times New Roman"/>
          <w:sz w:val="18"/>
          <w:szCs w:val="18"/>
          <w:color w:val="auto"/>
        </w:rPr>
      </w:pPr>
    </w:p>
    <w:p>
      <w:pPr>
        <w:ind w:left="740" w:firstLine="646"/>
        <w:spacing w:after="0" w:line="266" w:lineRule="auto"/>
        <w:tabs>
          <w:tab w:leader="none" w:pos="196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Liens with respect to a Borrowing Base Asset that are reflected on the title report with respect to such Borrowing Base Asset furnished to the Administrative Agent prior to the Closing Date or pursuant to </w:t>
      </w:r>
      <w:r>
        <w:rPr>
          <w:rFonts w:ascii="Times New Roman" w:cs="Times New Roman" w:eastAsia="Times New Roman" w:hAnsi="Times New Roman"/>
          <w:sz w:val="18"/>
          <w:szCs w:val="18"/>
          <w:u w:val="single" w:color="auto"/>
          <w:color w:val="auto"/>
        </w:rPr>
        <w:t>Section 2.18(a)(ii)(C)</w:t>
      </w:r>
      <w:r>
        <w:rPr>
          <w:rFonts w:ascii="Times New Roman" w:cs="Times New Roman" w:eastAsia="Times New Roman" w:hAnsi="Times New Roman"/>
          <w:sz w:val="18"/>
          <w:szCs w:val="18"/>
          <w:color w:val="auto"/>
        </w:rPr>
        <w:t>, as the case may be, in each case, to the extent the existence of such Liens have been approved in writing by the Administrative Agent.</w:t>
      </w:r>
    </w:p>
    <w:p>
      <w:pPr>
        <w:spacing w:after="0" w:line="17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at any time an employee pension benefit plan (other than a Multiemployer Plan) which is covered by Title IV of ERISA or subject to the minimum funding standards under Section 412 of the Code and either (i) is maintained, or contributed to, by any member of the ERISA Group for employees of any member of the ERISA Group, (ii) has at any time within the preceding five years been maintained, or contributed to, by any Person which was at such time a member of the ERISA Group for employees of any Person which was at such time a member of the ERISA Group, (iii) to which any member of the ERISA Group has had liability within the previous five years or (iv) as to which the Borrower could have any obligation or liability.</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 Agreement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Recourse Debt</w:t>
      </w:r>
      <w:r>
        <w:rPr>
          <w:rFonts w:ascii="Times New Roman" w:cs="Times New Roman" w:eastAsia="Times New Roman" w:hAnsi="Times New Roman"/>
          <w:sz w:val="18"/>
          <w:szCs w:val="18"/>
          <w:color w:val="auto"/>
        </w:rPr>
        <w:t>” means Indebtedness other than Non-Recourse Indebtedness.</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 Assets</w:t>
      </w:r>
      <w:r>
        <w:rPr>
          <w:rFonts w:ascii="Times New Roman" w:cs="Times New Roman" w:eastAsia="Times New Roman" w:hAnsi="Times New Roman"/>
          <w:sz w:val="18"/>
          <w:szCs w:val="18"/>
          <w:color w:val="auto"/>
        </w:rPr>
        <w:t>” means as to any Person as of any time, any parcel of real or leasehold property, together with all improvements and fixtures (if any) thereon or appurtenant thereto owned in fee simple or ground leased directly or indirectly by such Person at such time.</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the Administrative Agent, any Lender, any L/C Issuer or any other recipient of any payment to be made by or on account of any obligation of any Loan Party 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REIT</w:t>
      </w:r>
      <w:r>
        <w:rPr>
          <w:rFonts w:ascii="Times New Roman" w:cs="Times New Roman" w:eastAsia="Times New Roman" w:hAnsi="Times New Roman"/>
          <w:sz w:val="18"/>
          <w:szCs w:val="18"/>
          <w:color w:val="auto"/>
        </w:rPr>
        <w:t>” means a real estate investment trust, as defined under Section 856 of the Code.</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 Conditions</w:t>
      </w:r>
      <w:r>
        <w:rPr>
          <w:rFonts w:ascii="Times New Roman" w:cs="Times New Roman" w:eastAsia="Times New Roman" w:hAnsi="Times New Roman"/>
          <w:sz w:val="18"/>
          <w:szCs w:val="18"/>
          <w:color w:val="auto"/>
        </w:rPr>
        <w:t xml:space="preserve">” means, with respect to (i) the release of any Subsidiary Guarantor from its obligations under the Guaranty, (ii) the release of any Collateral consisting of a Loan Asset or a Ground Net Lease Asset pledged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from the Liens created under the Collateral Documents, (iii) the release of any Collateral consisting of the Equity Interests in a Subsidiary Guarantor from the Liens created under the Pledge Agreement or (iv) the removal of any Borrowing Base Asset from the calculation of the Borrowing Base Amount (each a “</w:t>
      </w:r>
      <w:r>
        <w:rPr>
          <w:rFonts w:ascii="Times New Roman" w:cs="Times New Roman" w:eastAsia="Times New Roman" w:hAnsi="Times New Roman"/>
          <w:sz w:val="18"/>
          <w:szCs w:val="18"/>
          <w:u w:val="single" w:color="auto"/>
          <w:color w:val="auto"/>
        </w:rPr>
        <w:t>Release Transaction</w:t>
      </w:r>
      <w:r>
        <w:rPr>
          <w:rFonts w:ascii="Times New Roman" w:cs="Times New Roman" w:eastAsia="Times New Roman" w:hAnsi="Times New Roman"/>
          <w:sz w:val="18"/>
          <w:szCs w:val="18"/>
          <w:color w:val="auto"/>
        </w:rPr>
        <w:t xml:space="preserve">”), (in each case other than in connection with the Investment Grade Release, which shall be governed by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each of the following:</w:t>
      </w:r>
    </w:p>
    <w:p>
      <w:pPr>
        <w:spacing w:after="0" w:line="184" w:lineRule="exact"/>
        <w:rPr>
          <w:sz w:val="20"/>
          <w:szCs w:val="20"/>
          <w:color w:val="auto"/>
        </w:rPr>
      </w:pPr>
    </w:p>
    <w:p>
      <w:pPr>
        <w:ind w:left="740" w:right="20" w:firstLine="646"/>
        <w:spacing w:after="0" w:line="256" w:lineRule="auto"/>
        <w:tabs>
          <w:tab w:leader="none" w:pos="195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delivered to the Administrative Agent, at least five (5) Business Days prior to the date of the proposed Release Transaction (or such shorter period of time as agreed to by the Administrative Agent in writing), a written notice requesting such Release Transaction (a “</w:t>
      </w:r>
      <w:r>
        <w:rPr>
          <w:rFonts w:ascii="Times New Roman" w:cs="Times New Roman" w:eastAsia="Times New Roman" w:hAnsi="Times New Roman"/>
          <w:sz w:val="18"/>
          <w:szCs w:val="18"/>
          <w:u w:val="single" w:color="auto"/>
          <w:color w:val="auto"/>
        </w:rPr>
        <w:t>Release Notice</w:t>
      </w:r>
      <w:r>
        <w:rPr>
          <w:rFonts w:ascii="Times New Roman" w:cs="Times New Roman" w:eastAsia="Times New Roman" w:hAnsi="Times New Roman"/>
          <w:sz w:val="18"/>
          <w:szCs w:val="18"/>
          <w:color w:val="auto"/>
        </w:rPr>
        <w:t>”), which Release Notice shall identify each Borrowing Base Asset, the Equity Interests of any Subsidiary Guarantor to be released from the Liens created under the applicable Collateral Document, the Subsidiary Guarantor to be released from the Guaranty, or the Borrowing Base Asset to be removed from the calculation of the Borrowing Base Amount, as applicable, as part of the proposed Release Transaction, and the date proposed for consummation of the Release Transaction;</w:t>
      </w:r>
    </w:p>
    <w:p>
      <w:pPr>
        <w:spacing w:after="0" w:line="187" w:lineRule="exact"/>
        <w:rPr>
          <w:rFonts w:ascii="Times New Roman" w:cs="Times New Roman" w:eastAsia="Times New Roman" w:hAnsi="Times New Roman"/>
          <w:sz w:val="18"/>
          <w:szCs w:val="18"/>
          <w:color w:val="auto"/>
        </w:rPr>
      </w:pPr>
    </w:p>
    <w:p>
      <w:pPr>
        <w:ind w:left="740" w:right="40" w:firstLine="646"/>
        <w:spacing w:after="0" w:line="282" w:lineRule="auto"/>
        <w:tabs>
          <w:tab w:leader="none" w:pos="196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after giving effect to such Release Transaction, no Default has occurred and is continuing on such date (or would exist immediately after giving effect to the proposed Release Transaction);</w:t>
      </w:r>
    </w:p>
    <w:p>
      <w:pPr>
        <w:sectPr>
          <w:pgSz w:w="11900" w:h="16838" w:orient="portrait"/>
          <w:cols w:equalWidth="0" w:num="1">
            <w:col w:w="11400"/>
          </w:cols>
          <w:pgMar w:left="240" w:top="121" w:right="259" w:bottom="0" w:gutter="0" w:footer="0" w:header="0"/>
        </w:sectPr>
      </w:pPr>
    </w:p>
    <w:bookmarkStart w:id="60" w:name="page61"/>
    <w:bookmarkEnd w:id="60"/>
    <w:p>
      <w:pPr>
        <w:spacing w:after="0" w:line="5" w:lineRule="exact"/>
        <w:rPr>
          <w:sz w:val="20"/>
          <w:szCs w:val="20"/>
          <w:color w:val="auto"/>
        </w:rPr>
      </w:pPr>
    </w:p>
    <w:p>
      <w:pPr>
        <w:ind w:left="1960" w:hanging="574"/>
        <w:spacing w:after="0"/>
        <w:tabs>
          <w:tab w:leader="none" w:pos="19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shall equal or exceed zero ($0) on a pro forma basis immediately after giving pro forma effect to the proposed Release</w:t>
      </w:r>
    </w:p>
    <w:p>
      <w:pPr>
        <w:spacing w:after="0" w:line="27"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w:t>
      </w:r>
    </w:p>
    <w:p>
      <w:pPr>
        <w:spacing w:after="0" w:line="2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(and any contemporaneous prepayment of Loans and/or replacement with additional Borrowing Base Assets);</w:t>
      </w:r>
    </w:p>
    <w:p>
      <w:pPr>
        <w:spacing w:after="0" w:line="225" w:lineRule="exact"/>
        <w:rPr>
          <w:sz w:val="20"/>
          <w:szCs w:val="20"/>
          <w:color w:val="auto"/>
        </w:rPr>
      </w:pPr>
    </w:p>
    <w:p>
      <w:pPr>
        <w:ind w:left="740" w:right="160" w:firstLine="646"/>
        <w:spacing w:after="0" w:line="282" w:lineRule="auto"/>
        <w:tabs>
          <w:tab w:leader="none" w:pos="196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 Parties will be in compliance with the provisions of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on a pro forma basis immediately after giving effect to the proposed Release Transaction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any contemporaneous prepayment of Loans and/or replacement with additional Borrowing Base Assets);</w:t>
      </w:r>
    </w:p>
    <w:p>
      <w:pPr>
        <w:spacing w:after="0" w:line="225" w:lineRule="exact"/>
        <w:rPr>
          <w:sz w:val="20"/>
          <w:szCs w:val="20"/>
          <w:color w:val="auto"/>
        </w:rPr>
      </w:pPr>
    </w:p>
    <w:p>
      <w:pPr>
        <w:ind w:left="1960" w:hanging="574"/>
        <w:spacing w:after="0"/>
        <w:tabs>
          <w:tab w:leader="none" w:pos="196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updated Borrowing Base Assets List; and</w:t>
      </w:r>
    </w:p>
    <w:p>
      <w:pPr>
        <w:spacing w:after="0" w:line="225" w:lineRule="exact"/>
        <w:rPr>
          <w:rFonts w:ascii="Times New Roman" w:cs="Times New Roman" w:eastAsia="Times New Roman" w:hAnsi="Times New Roman"/>
          <w:sz w:val="18"/>
          <w:szCs w:val="18"/>
          <w:color w:val="auto"/>
        </w:rPr>
      </w:pPr>
    </w:p>
    <w:p>
      <w:pPr>
        <w:ind w:left="740" w:right="100" w:firstLine="646"/>
        <w:spacing w:after="0" w:line="272" w:lineRule="auto"/>
        <w:tabs>
          <w:tab w:leader="none" w:pos="1960"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least two (2) Business Days prior to the proposed release date (or such shorter period of time as agreed to by the Administrative Agent in writing), the Administrative Agent shall have received (1) a fully completed Borrowing Base Certificate demonstrating to its satisfaction that, after giving effect to the proposed Release Transaction (and any related and contemplated transactions), the condition set forth in </w:t>
      </w:r>
      <w:r>
        <w:rPr>
          <w:rFonts w:ascii="Times New Roman" w:cs="Times New Roman" w:eastAsia="Times New Roman" w:hAnsi="Times New Roman"/>
          <w:sz w:val="17"/>
          <w:szCs w:val="17"/>
          <w:u w:val="single" w:color="auto"/>
          <w:color w:val="auto"/>
        </w:rPr>
        <w:t>clause</w:t>
      </w:r>
    </w:p>
    <w:p>
      <w:pPr>
        <w:spacing w:after="0" w:line="1" w:lineRule="exact"/>
        <w:rPr>
          <w:rFonts w:ascii="Times New Roman" w:cs="Times New Roman" w:eastAsia="Times New Roman" w:hAnsi="Times New Roman"/>
          <w:sz w:val="17"/>
          <w:szCs w:val="17"/>
          <w:color w:val="auto"/>
        </w:rPr>
      </w:pPr>
    </w:p>
    <w:p>
      <w:pPr>
        <w:ind w:left="740" w:hanging="3"/>
        <w:spacing w:after="0" w:line="277" w:lineRule="auto"/>
        <w:tabs>
          <w:tab w:leader="none" w:pos="985" w:val="left"/>
        </w:tabs>
        <w:numPr>
          <w:ilvl w:val="0"/>
          <w:numId w:val="118"/>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 xml:space="preserve">above will be satisfied, (2) a Compliance Certificate demonstrating to its satisfaction that, after giving effect to the proposed Release Transaction (and any related and contemplated transactions), the condition set forth in </w:t>
      </w:r>
      <w:r>
        <w:rPr>
          <w:rFonts w:ascii="Times New Roman" w:cs="Times New Roman" w:eastAsia="Times New Roman" w:hAnsi="Times New Roman"/>
          <w:sz w:val="17"/>
          <w:szCs w:val="17"/>
          <w:u w:val="single" w:color="auto"/>
          <w:color w:val="auto"/>
        </w:rPr>
        <w:t>clause (d)</w:t>
      </w:r>
      <w:r>
        <w:rPr>
          <w:rFonts w:ascii="Times New Roman" w:cs="Times New Roman" w:eastAsia="Times New Roman" w:hAnsi="Times New Roman"/>
          <w:sz w:val="17"/>
          <w:szCs w:val="17"/>
          <w:color w:val="auto"/>
        </w:rPr>
        <w:t xml:space="preserve"> above will be satisfied and (3) a certificate executed by a Responsible Officer of the Borrower certifying to the Administrative Agent that the conditions in clauses (b) through (d) above have been satisfied.</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 Notice</w:t>
      </w:r>
      <w:r>
        <w:rPr>
          <w:rFonts w:ascii="Times New Roman" w:cs="Times New Roman" w:eastAsia="Times New Roman" w:hAnsi="Times New Roman"/>
          <w:sz w:val="18"/>
          <w:szCs w:val="18"/>
          <w:color w:val="auto"/>
        </w:rPr>
        <w:t>” has the meaning specified in the definition of “Release Conditions.”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 Transaction</w:t>
      </w:r>
      <w:r>
        <w:rPr>
          <w:rFonts w:ascii="Times New Roman" w:cs="Times New Roman" w:eastAsia="Times New Roman" w:hAnsi="Times New Roman"/>
          <w:sz w:val="18"/>
          <w:szCs w:val="18"/>
          <w:color w:val="auto"/>
        </w:rPr>
        <w:t>” has the meaning specified in the definition of “Release Conditions.”</w:t>
      </w:r>
    </w:p>
    <w:p>
      <w:pPr>
        <w:spacing w:after="0" w:line="225"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62" w:lineRule="exact"/>
        <w:rPr>
          <w:sz w:val="20"/>
          <w:szCs w:val="20"/>
          <w:color w:val="auto"/>
        </w:rPr>
      </w:pPr>
    </w:p>
    <w:p>
      <w:pPr>
        <w:ind w:right="9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w:t>
      </w:r>
      <w:r>
        <w:rPr>
          <w:rFonts w:ascii="Times New Roman" w:cs="Times New Roman" w:eastAsia="Times New Roman" w:hAnsi="Times New Roman"/>
          <w:sz w:val="18"/>
          <w:szCs w:val="18"/>
          <w:color w:val="auto"/>
        </w:rPr>
        <w:t>” means with respect to any Multiemployer Plan, the condition that such plan is in reorganization within the meaning of Section 4241 of ERISA.</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 for Credit Extension</w:t>
      </w:r>
      <w:r>
        <w:rPr>
          <w:rFonts w:ascii="Times New Roman" w:cs="Times New Roman" w:eastAsia="Times New Roman" w:hAnsi="Times New Roman"/>
          <w:sz w:val="18"/>
          <w:szCs w:val="18"/>
          <w:color w:val="auto"/>
        </w:rPr>
        <w:t>” means (a) with respect to a Borrowing, conversion or continuation of Committed Loans, a Committed Loan Notice, and (b) with respect to an L/C Credit Extension, a Letter of Credit Application.</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at any time, Lenders having Total Credit Exposures representing more than 50% of the Total Credit Exposures of all Lenders. The Total Credit Exposure of any Defaulting Lender shall be disregarded in determining Required Lenders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any participation in Unreimbursed Amounts that such Defaulting Lender has failed to fund that have not been reallocated to and funded by another Lender shall be deemed to be held by the Lender that is the applicable L/C Issuer in making such determination.</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xml:space="preserve">” means the chief executive officer, president, vice president, chief financial officer, treasurer, assistant treasurer or controller of a Loan Party, solely for purposes of the delivery of incumbency certificates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the secretary or any assistant secretary of a Loan Party and, solely for purposes of notices given pursuant to Article II, any other officer or employee of the applicable Loan Party so designated by any of the foregoing officers in a notice to the Administrative Agent or any other officer or employee of the applicable Loan Party designated in or pursuant to an agreement between the applicable Loan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with respect to any Person, any dividend or other distribution (whether in cash, securities or other property) with respect to any capital stock or other Equity Interest of such Person or any Subsidiary thereof,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such Person’s stockholders, partners or members (or the equivalent Person thereof).</w:t>
      </w:r>
    </w:p>
    <w:p>
      <w:pPr>
        <w:spacing w:after="0" w:line="18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Exposure</w:t>
      </w:r>
      <w:r>
        <w:rPr>
          <w:rFonts w:ascii="Times New Roman" w:cs="Times New Roman" w:eastAsia="Times New Roman" w:hAnsi="Times New Roman"/>
          <w:sz w:val="18"/>
          <w:szCs w:val="18"/>
          <w:color w:val="auto"/>
        </w:rPr>
        <w:t>” means, as to any Lender at any time, the aggregate principal amount at such time of its outstanding Committed Loans and such Lender’s participation in L/C Obligations at such time.</w:t>
      </w:r>
    </w:p>
    <w:p>
      <w:pPr>
        <w:spacing w:after="0" w:line="162"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any sanction administered or enforced by the United States Government (including without limitation, OFAC), the United Nations Security Council, the European Union, Her Majesty’s Treasury (“</w:t>
      </w:r>
      <w:r>
        <w:rPr>
          <w:rFonts w:ascii="Times New Roman" w:cs="Times New Roman" w:eastAsia="Times New Roman" w:hAnsi="Times New Roman"/>
          <w:sz w:val="18"/>
          <w:szCs w:val="18"/>
          <w:u w:val="single" w:color="auto"/>
          <w:color w:val="auto"/>
        </w:rPr>
        <w:t>HMT</w:t>
      </w:r>
      <w:r>
        <w:rPr>
          <w:rFonts w:ascii="Times New Roman" w:cs="Times New Roman" w:eastAsia="Times New Roman" w:hAnsi="Times New Roman"/>
          <w:sz w:val="18"/>
          <w:szCs w:val="18"/>
          <w:color w:val="auto"/>
        </w:rPr>
        <w:t>”) or other relevant sanctions authority.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S&amp;P Global Ratings, a division of S&amp;P Global Inc., and any successor thereto.</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or territory which is itself the subject or target of any Sanctions (at the time of this Agreement, Crimea, Cuba, Iran, North Korea, Sudan and Syria).</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at any time, (a) any Person listed in any Sanctions-related list of designated Persons maintained by the Office of Foreign Assets Control of the U.S. Department of the Treasury, the U.S. Department of State or by the United Nations Security Council, the European Union, HMT or other relevant sanctions authority, (b) any Person operating, organized or resident in a Sanctioned Country or (c) any Person owned or controlled by any such Person or Persons.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ectPr>
          <w:pgSz w:w="11900" w:h="16843" w:orient="portrait"/>
          <w:cols w:equalWidth="0" w:num="1">
            <w:col w:w="11420"/>
          </w:cols>
          <w:pgMar w:left="240" w:top="121" w:right="239" w:bottom="0" w:gutter="0" w:footer="0" w:header="0"/>
        </w:sectPr>
      </w:pPr>
    </w:p>
    <w:bookmarkStart w:id="61" w:name="page62"/>
    <w:bookmarkEnd w:id="61"/>
    <w:p>
      <w:pPr>
        <w:spacing w:after="0" w:line="118"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Debt</w:t>
      </w:r>
      <w:r>
        <w:rPr>
          <w:rFonts w:ascii="Times New Roman" w:cs="Times New Roman" w:eastAsia="Times New Roman" w:hAnsi="Times New Roman"/>
          <w:sz w:val="18"/>
          <w:szCs w:val="18"/>
          <w:color w:val="auto"/>
        </w:rPr>
        <w:t>” means, as to any Person, Indebtedness of such Person that is secured by a Lien. For the avoidance of doubt, for purposes of this Agreement the term “Secured Debt” shall include (i) the Specified Guaranty, (ii) Specified Indemnity and (iii) any CMBS Financing.</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xml:space="preserve">” means, on any date of determination, each Subsidiary or group of Subsidiaries of the Borrower whose total assets as of the last day of the then most recently ended fiscal quarter were equal to or greater than 3% of the Total Asset Value at such time (it being understood that all such calculations shall be determined in the aggregate for all Subsidiaries of the Borrower subject to any of the events specified in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Guaranty</w:t>
      </w:r>
      <w:r>
        <w:rPr>
          <w:rFonts w:ascii="Times New Roman" w:cs="Times New Roman" w:eastAsia="Times New Roman" w:hAnsi="Times New Roman"/>
          <w:sz w:val="18"/>
          <w:szCs w:val="18"/>
          <w:color w:val="auto"/>
        </w:rPr>
        <w:t>” means (i) the Limited Recourse Guaranty, dated as of March 30, 2017, by iStar Inc. in favor of Barclays Bank PLC, JPMorgan Chase Bank, National Association and Bank of America, N.A., as the same may be amended from time to time, so long as the obligations thereunder are secured by a Lien on assets of a Consolidated Party.</w:t>
      </w:r>
    </w:p>
    <w:p>
      <w:pPr>
        <w:spacing w:after="0" w:line="176"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Indemnity</w:t>
      </w:r>
      <w:r>
        <w:rPr>
          <w:rFonts w:ascii="Times New Roman" w:cs="Times New Roman" w:eastAsia="Times New Roman" w:hAnsi="Times New Roman"/>
          <w:sz w:val="18"/>
          <w:szCs w:val="18"/>
          <w:color w:val="auto"/>
        </w:rPr>
        <w:t>” means the Environmental Indemnity Agreement, dated as of March 30, 2017, by iStar Inc. and each of the entities listed on Schedule 1 thereto in favor of Barclays Bank PLC, JPMorgan Chase Bank, National Association and Bank of America, N.A., as the same may be amended from time to time, so long as the obligations thereunder are secured by a Lien on assets of a Consolidated Party.</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Leverage Ratio</w:t>
      </w:r>
      <w:r>
        <w:rPr>
          <w:rFonts w:ascii="Times New Roman" w:cs="Times New Roman" w:eastAsia="Times New Roman" w:hAnsi="Times New Roman"/>
          <w:sz w:val="18"/>
          <w:szCs w:val="18"/>
          <w:color w:val="auto"/>
        </w:rPr>
        <w:t>” means the ratio (expressed as a percentage) of Total Secured Debt to Total Asset Value.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Pari Passu Obligations</w:t>
      </w:r>
      <w:r>
        <w:rPr>
          <w:rFonts w:ascii="Times New Roman" w:cs="Times New Roman" w:eastAsia="Times New Roman" w:hAnsi="Times New Roman"/>
          <w:sz w:val="18"/>
          <w:szCs w:val="18"/>
          <w:color w:val="auto"/>
        </w:rPr>
        <w:t>” means Pari Passu Obligations described in clause (b) of the definition of “Pari Passu Obligations.”</w:t>
      </w:r>
    </w:p>
    <w:p>
      <w:pPr>
        <w:spacing w:after="0" w:line="22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xml:space="preserve">” means, collectively, the Administrative Agent, the Lenders, the L/C Issuers, each co-agent or sub-agent appointed by the Administrative Agent from time to time pursuant to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and the other Persons the Obligations owing to which are or are purported to be secured by the Collateral under the terms of the Collateral Documents.</w:t>
      </w:r>
    </w:p>
    <w:p>
      <w:pPr>
        <w:spacing w:after="0" w:line="176"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means that, when used with respect to any Person, as of any date of determination, (a) the amount of the “present fair saleable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(c) such Person will not have, as of such date, an unreasonably small amount of capital with which to conduct its business, and (d) such Person will be able to pay its debts as they mature. For purposes of this definition, (i) “debt” means liability on a “claim”, and</w:t>
      </w:r>
    </w:p>
    <w:p>
      <w:pPr>
        <w:ind w:firstLine="8"/>
        <w:spacing w:after="0" w:line="254" w:lineRule="auto"/>
        <w:tabs>
          <w:tab w:leader="none" w:pos="26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8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Shareholders’ Equity</w:t>
      </w:r>
      <w:r>
        <w:rPr>
          <w:rFonts w:ascii="Times New Roman" w:cs="Times New Roman" w:eastAsia="Times New Roman" w:hAnsi="Times New Roman"/>
          <w:sz w:val="18"/>
          <w:szCs w:val="18"/>
          <w:color w:val="auto"/>
        </w:rPr>
        <w:t>” means, as of any date of determination, consolidated shareholders’ equity of the Borrower and its Subsidiaries as of that date determined in accordance with GAAP.</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Flood Hazard Area</w:t>
      </w:r>
      <w:r>
        <w:rPr>
          <w:rFonts w:ascii="Times New Roman" w:cs="Times New Roman" w:eastAsia="Times New Roman" w:hAnsi="Times New Roman"/>
          <w:sz w:val="18"/>
          <w:szCs w:val="18"/>
          <w:color w:val="auto"/>
        </w:rPr>
        <w:t>” means an area identified as such by the Administrator of the Federal Emergency Management Agency or any successor agency (“</w:t>
      </w:r>
      <w:r>
        <w:rPr>
          <w:rFonts w:ascii="Times New Roman" w:cs="Times New Roman" w:eastAsia="Times New Roman" w:hAnsi="Times New Roman"/>
          <w:sz w:val="18"/>
          <w:szCs w:val="18"/>
          <w:u w:val="single" w:color="auto"/>
          <w:color w:val="auto"/>
        </w:rPr>
        <w:t>FEMA</w:t>
      </w:r>
      <w:r>
        <w:rPr>
          <w:rFonts w:ascii="Times New Roman" w:cs="Times New Roman" w:eastAsia="Times New Roman" w:hAnsi="Times New Roman"/>
          <w:sz w:val="18"/>
          <w:szCs w:val="18"/>
          <w:color w:val="auto"/>
        </w:rPr>
        <w:t>”) using FEMA’s Flood Insurance Rate Map or FEMA’s Flood Hazard Boundary Map.</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Springing Fixed Charge Coverage Ratio</w:t>
      </w:r>
      <w:r>
        <w:rPr>
          <w:rFonts w:ascii="Times New Roman" w:cs="Times New Roman" w:eastAsia="Times New Roman" w:hAnsi="Times New Roman"/>
          <w:sz w:val="18"/>
          <w:szCs w:val="18"/>
          <w:color w:val="auto"/>
        </w:rPr>
        <w:t>” means, as of any date, the ratio of (a) Borrowing Base Cash Flow to (b) Fixed Charges, in each case for the period of four fiscal quarters ended on such date (if such date is the last day of a fiscal quarter) or for the then most recently ended period of four full fiscal quarters (if such date is not the last day of a fiscal quarter).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Springing Mortgage Covenant Event</w:t>
      </w:r>
      <w:r>
        <w:rPr>
          <w:rFonts w:ascii="Times New Roman" w:cs="Times New Roman" w:eastAsia="Times New Roman" w:hAnsi="Times New Roman"/>
          <w:sz w:val="18"/>
          <w:szCs w:val="18"/>
          <w:color w:val="auto"/>
        </w:rPr>
        <w:t>” shall have occurred if on any date (a) the Springing Fixed Charge Coverage Ratio is less than 2.00 to 1.00 or</w:t>
      </w:r>
    </w:p>
    <w:p>
      <w:pPr>
        <w:spacing w:after="0" w:line="2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(b) Consolidated Tangible Net Worth is less than the sum of (i) $ [85% of Consolidated Tangible Net Worth as of the date of the most recent financial statements of the Borrower that are available as of the Closing Date] and (ii) an amount equal to 85% of the Net Proceeds of all Equity Issuances effected by the Borrower after the date of the most recent financial statements of the Borrower that are available as of the Closing Date, excluding any such Net Proceeds that are applied to purchase, redeem or otherwise acquire Equity Interests issued by the Borrower within 90 days of receipt of such Net Proceeds or (c) an Eligible Loan Asset or an Eligible Ground Net Lease Asset has been included as a Borrowing Base Asset for more than 364 consecutive days.</w:t>
      </w:r>
    </w:p>
    <w:p>
      <w:pPr>
        <w:spacing w:after="0" w:line="200" w:lineRule="exact"/>
        <w:rPr>
          <w:sz w:val="20"/>
          <w:szCs w:val="20"/>
          <w:color w:val="auto"/>
        </w:rPr>
      </w:pPr>
    </w:p>
    <w:p>
      <w:pPr>
        <w:spacing w:after="0" w:line="20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18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means, (a) at all times prior to the Investment Grade Release, each existing and future direct and indirect Subsidiary of the Operating Partnership that is a Direct Owner of a Borrowing Base Asset or an Indirect Owner of any such Direct Owner and (b) upon and at all times following the Investment Grade Release, each Subsidiary of the Operating Partnership (if any) that is a borrower or guarantor of, or otherwise has a payment obligation in respect of, any Unsecured Debt or any Secured Pari Passu Obligations, unless, in each case under clauses (a) and (b), released in accordance with the terms of this Agreement or otherwise with the consent of the Administrative Agent and Required Lenders.</w:t>
      </w:r>
    </w:p>
    <w:p>
      <w:pPr>
        <w:spacing w:after="0" w:line="184" w:lineRule="exact"/>
        <w:rPr>
          <w:sz w:val="20"/>
          <w:szCs w:val="20"/>
          <w:color w:val="auto"/>
        </w:rPr>
      </w:pPr>
    </w:p>
    <w:p>
      <w:pPr>
        <w:ind w:right="240" w:firstLine="648"/>
        <w:spacing w:after="0" w:line="31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Super Majority Lenders</w:t>
      </w:r>
      <w:r>
        <w:rPr>
          <w:rFonts w:ascii="Times New Roman" w:cs="Times New Roman" w:eastAsia="Times New Roman" w:hAnsi="Times New Roman"/>
          <w:sz w:val="17"/>
          <w:szCs w:val="17"/>
          <w:color w:val="auto"/>
        </w:rPr>
        <w:t xml:space="preserve">” means at any time Lenders having Total Credit Exposures representing at least 67% of the Total Credit Exposures of all Lenders. The Total Credit Exposure of any Defaulting Lender shall be disregarded in determining Super Majority Lenders at any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w:t>
      </w:r>
    </w:p>
    <w:p>
      <w:pPr>
        <w:sectPr>
          <w:pgSz w:w="11900" w:h="16957" w:orient="portrait"/>
          <w:cols w:equalWidth="0" w:num="1">
            <w:col w:w="11420"/>
          </w:cols>
          <w:pgMar w:left="240" w:top="337" w:right="239" w:bottom="0" w:gutter="0" w:footer="0" w:header="0"/>
        </w:sectPr>
      </w:pPr>
    </w:p>
    <w:bookmarkStart w:id="62" w:name="page63"/>
    <w:bookmarkEnd w:id="62"/>
    <w:p>
      <w:pPr>
        <w:ind w:right="280"/>
        <w:spacing w:after="0" w:line="282" w:lineRule="auto"/>
        <w:rPr>
          <w:sz w:val="20"/>
          <w:szCs w:val="20"/>
          <w:color w:val="auto"/>
        </w:rPr>
      </w:pPr>
      <w:r>
        <w:rPr>
          <w:rFonts w:ascii="Times New Roman" w:cs="Times New Roman" w:eastAsia="Times New Roman" w:hAnsi="Times New Roman"/>
          <w:sz w:val="18"/>
          <w:szCs w:val="18"/>
          <w:color w:val="auto"/>
        </w:rPr>
        <w:t>amount of any participation in any Unreimbursed Amounts that such Defaulting Lender has failed to fund that has not been reallocated to and funded by another Lender shall be deemed to be held by the Lender that is the L/C Issuer with respect to such Unreimbursed Amounts in making such determination.</w:t>
      </w:r>
    </w:p>
    <w:p>
      <w:pPr>
        <w:spacing w:after="0" w:line="16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Survey</w:t>
      </w:r>
      <w:r>
        <w:rPr>
          <w:rFonts w:ascii="Times New Roman" w:cs="Times New Roman" w:eastAsia="Times New Roman" w:hAnsi="Times New Roman"/>
          <w:sz w:val="18"/>
          <w:szCs w:val="18"/>
          <w:color w:val="auto"/>
        </w:rPr>
        <w:t xml:space="preserve">” means a survey prepared in accordance with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or as otherwise approved by Administrative Agent in its sole discretion.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Contract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including any such obligations or liabilities under any Master Agreement.</w:t>
      </w:r>
    </w:p>
    <w:p>
      <w:pPr>
        <w:spacing w:after="0" w:line="189" w:lineRule="exact"/>
        <w:rPr>
          <w:sz w:val="20"/>
          <w:szCs w:val="20"/>
          <w:color w:val="auto"/>
        </w:rPr>
      </w:pPr>
    </w:p>
    <w:p>
      <w:pPr>
        <w:ind w:right="46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Termination Value</w:t>
      </w:r>
      <w:r>
        <w:rPr>
          <w:rFonts w:ascii="Times New Roman" w:cs="Times New Roman" w:eastAsia="Times New Roman" w:hAnsi="Times New Roman"/>
          <w:sz w:val="18"/>
          <w:szCs w:val="18"/>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w:t>
      </w:r>
    </w:p>
    <w:p>
      <w:pPr>
        <w:spacing w:after="0" w:line="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Synthetic Lease Obligation</w:t>
      </w:r>
      <w:r>
        <w:rPr>
          <w:rFonts w:ascii="Times New Roman" w:cs="Times New Roman" w:eastAsia="Times New Roman" w:hAnsi="Times New Roman"/>
          <w:sz w:val="18"/>
          <w:szCs w:val="18"/>
          <w:color w:val="auto"/>
        </w:rPr>
        <w:t>” means the monetary obligation of a Person under (a) a so-called synthetic, off-balance sheet or tax retention lease, or</w:t>
      </w:r>
    </w:p>
    <w:p>
      <w:pPr>
        <w:spacing w:after="0" w:line="27" w:lineRule="exact"/>
        <w:rPr>
          <w:sz w:val="20"/>
          <w:szCs w:val="20"/>
          <w:color w:val="auto"/>
        </w:rPr>
      </w:pPr>
    </w:p>
    <w:p>
      <w:pPr>
        <w:ind w:right="640" w:firstLine="8"/>
        <w:spacing w:after="0" w:line="261" w:lineRule="auto"/>
        <w:tabs>
          <w:tab w:leader="none" w:pos="25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80"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Event</w:t>
      </w:r>
      <w:r>
        <w:rPr>
          <w:rFonts w:ascii="Times New Roman" w:cs="Times New Roman" w:eastAsia="Times New Roman" w:hAnsi="Times New Roman"/>
          <w:sz w:val="18"/>
          <w:szCs w:val="18"/>
          <w:color w:val="auto"/>
        </w:rPr>
        <w:t>” means (i) a “reportable event”, as such term is described in Section 4043 of ERISA (other than a “reportable event” not subject to the provision for thirty (30)-day notice to the PBGC), or an event described in Section 4062(e) of ERISA, (ii) the withdrawal by any member of the ERISA Group from a Multiemployer Plan during a plan year in which it is a “substantial employer” (as defined in Section 4001(a)(2) of ERISA), or a cessation of operations that is treated as such a withdrawal under Section 4062(e) of ERISA, or the incurrence of liability by any member of the ERISA Group under Section 4064 of ERISA upon the termination of a Multiemployer Plan, (iii) the filing of a notice of intent to terminate any Plan under Section 4041 of ERISA, other than in a standard termination within the meaning of Section 4041 of ERISA, or the treatment of a Plan amendment as a distress termination under Section 4041 of ERISA, (iv) the institution by the PBGC of proceedings to terminate, impose liability (other than for premiums under Section 4007 of ERISA) in respect of, or cause a trustee to be appointed to</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administer, any Plan, (v) any failure to make by its due date any required installment under Section 430(j) of the Code with respect to any Plan, any failure by the Borrower or any member of the ERISA Group to make any required contribution to any Multiemployer Plan, or any failure to satisfy the minimum funding standards (within the meaning of Section 302 of ERISA or Section 412 of the Code), whether or not waived, shall exist with respect to any Plan, any Lien in favor of the PBGC, a Plan, or a Multiemployer Plan shall arise on the assets of the Borrower or any member of the ERISA Group, or there shall be any determination that any Plan is or is expected to be in “at risk” status (within the meaning of Section 430 of the Code or Section 303 of ERISA), (vi) ) the Borrower or any member of the ERISA Group shall, or in the reasonable opinion of the Required Banks is likely to, incur any liability in connection with a withdrawal from any Plan in which it was a substantial employer, or the withdrawal from, termination, Insolvency or Reorganization of, or “endangered” or “critical” status (within the meaning of Section 432 of the Code or Section 305 of ERISA) of, a Multiemployer Plan, (vi) a proceeding shall be instituted by a fiduciary of any Multiemployer Plan against any member of the ERISA Group, to enforce Section 515 or 4219(c)(5) of ERISA and such proceeding shall not have been dismissed within 30 days thereafter, (vii) the provision by the administrator of any Plan pursuant to Section 4041(a)(2) of ERISA of a notice of intent to terminate such plan in a distress termination described in Section 4041(c) of ERISA, (viii) the withdrawal by the Borrower or any member of the ERISA Group from any Plan with two or more contributing sponsors or the termination of any such Plan resulting in liability to any member of the ERISA Group pursuant to Section 4063 or 4064 of ERISA, (ix) receipt from the Internal Revenue Service of notice of the failure of any Plan (or any other employee benefit plan sponsored by the Borrower or any of its Subsidiaries which is intended to be qualified under Section 401(a) of the Internal Revenue Code) to qualify under Section 401(a) of the Internal Revenue Code, or the failure of any trust forming part of any such employee benefit plan to qualify for exemption from taxation under Section 501(a) of the Internal Revenue Code or (x) any other event or condition that might reasonably constitute grounds for the termination of, or the appointment of a trustee to administer, any Plan or the imposition of any liability or encumbrance or Lien on the Real Property Assets or any member of the ERISA Group under ERISA or the Code.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Asset Value</w:t>
      </w:r>
      <w:r>
        <w:rPr>
          <w:rFonts w:ascii="Times New Roman" w:cs="Times New Roman" w:eastAsia="Times New Roman" w:hAnsi="Times New Roman"/>
          <w:sz w:val="18"/>
          <w:szCs w:val="18"/>
          <w:color w:val="auto"/>
        </w:rPr>
        <w:t>” shall mean, as of any date, the sum of the following:</w:t>
      </w:r>
    </w:p>
    <w:p>
      <w:pPr>
        <w:spacing w:after="0" w:line="225" w:lineRule="exact"/>
        <w:rPr>
          <w:sz w:val="20"/>
          <w:szCs w:val="20"/>
          <w:color w:val="auto"/>
        </w:rPr>
      </w:pPr>
    </w:p>
    <w:p>
      <w:pPr>
        <w:ind w:left="1940" w:hanging="635"/>
        <w:spacing w:after="0"/>
        <w:tabs>
          <w:tab w:leader="none" w:pos="19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cash and “cash equivalents” (as defined in accordance with GAAP) owned by the Consolidated Parties;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207" w:lineRule="exact"/>
        <w:rPr>
          <w:sz w:val="20"/>
          <w:szCs w:val="20"/>
          <w:color w:val="auto"/>
        </w:rPr>
      </w:pPr>
    </w:p>
    <w:p>
      <w:pPr>
        <w:ind w:left="660" w:right="260" w:firstLine="645"/>
        <w:spacing w:after="0" w:line="282" w:lineRule="auto"/>
        <w:tabs>
          <w:tab w:leader="none" w:pos="196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aggregate undepreciated book value of all other assets owned by the Consolidated Parties, as adjusted in accordance with GAAP to reflect impairment charges, write-downs and losses, owned on such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Credit Exposure</w:t>
      </w:r>
      <w:r>
        <w:rPr>
          <w:rFonts w:ascii="Times New Roman" w:cs="Times New Roman" w:eastAsia="Times New Roman" w:hAnsi="Times New Roman"/>
          <w:sz w:val="18"/>
          <w:szCs w:val="18"/>
          <w:color w:val="auto"/>
        </w:rPr>
        <w:t>” means, as to any Lender at any time, the unused Commitments and Revolving Credit Exposure of such Lender at such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Indebtedness</w:t>
      </w:r>
      <w:r>
        <w:rPr>
          <w:rFonts w:ascii="Times New Roman" w:cs="Times New Roman" w:eastAsia="Times New Roman" w:hAnsi="Times New Roman"/>
          <w:sz w:val="18"/>
          <w:szCs w:val="18"/>
          <w:color w:val="auto"/>
        </w:rPr>
        <w:t>” means, as of any date, the then aggregate outstanding amount of all Indebtedness of the Consolidated Group.</w:t>
      </w:r>
    </w:p>
    <w:p>
      <w:pPr>
        <w:sectPr>
          <w:pgSz w:w="11900" w:h="16838" w:orient="portrait"/>
          <w:cols w:equalWidth="0" w:num="1">
            <w:col w:w="11420"/>
          </w:cols>
          <w:pgMar w:left="240" w:top="121" w:right="239" w:bottom="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Leverage Ratio</w:t>
      </w:r>
      <w:r>
        <w:rPr>
          <w:rFonts w:ascii="Times New Roman" w:cs="Times New Roman" w:eastAsia="Times New Roman" w:hAnsi="Times New Roman"/>
          <w:sz w:val="18"/>
          <w:szCs w:val="18"/>
          <w:color w:val="auto"/>
        </w:rPr>
        <w:t>” means the ratio (expressed as a percentage) of Total Indebtedness to Total Asset Value.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Outstandings</w:t>
      </w:r>
      <w:r>
        <w:rPr>
          <w:rFonts w:ascii="Times New Roman" w:cs="Times New Roman" w:eastAsia="Times New Roman" w:hAnsi="Times New Roman"/>
          <w:sz w:val="18"/>
          <w:szCs w:val="18"/>
          <w:color w:val="auto"/>
        </w:rPr>
        <w:t>” means the aggregate Outstanding Amount of all Loans and all L/C Obligations.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Secured Debt</w:t>
      </w:r>
      <w:r>
        <w:rPr>
          <w:rFonts w:ascii="Times New Roman" w:cs="Times New Roman" w:eastAsia="Times New Roman" w:hAnsi="Times New Roman"/>
          <w:sz w:val="18"/>
          <w:szCs w:val="18"/>
          <w:color w:val="auto"/>
        </w:rPr>
        <w:t>” means the portion of Total Indebtedness that is Secured Debt (excluding Secured Pari Passu Obligations).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Unsecured Debt</w:t>
      </w:r>
      <w:r>
        <w:rPr>
          <w:rFonts w:ascii="Times New Roman" w:cs="Times New Roman" w:eastAsia="Times New Roman" w:hAnsi="Times New Roman"/>
          <w:sz w:val="18"/>
          <w:szCs w:val="18"/>
          <w:color w:val="auto"/>
        </w:rPr>
        <w:t>” means the portion of Total Indebtedness that is Unsecured Debt.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means, with respect to a Committed Loan, its character as a Base Rate Loan or a Eurodollar Rate Loan.</w:t>
      </w:r>
    </w:p>
    <w:p>
      <w:pPr>
        <w:spacing w:after="0" w:line="225"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UCP</w:t>
      </w:r>
      <w:r>
        <w:rPr>
          <w:rFonts w:ascii="Times New Roman" w:cs="Times New Roman" w:eastAsia="Times New Roman" w:hAnsi="Times New Roman"/>
          <w:sz w:val="18"/>
          <w:szCs w:val="18"/>
          <w:color w:val="auto"/>
        </w:rPr>
        <w:t>” means, with respect to any Letter of Credit, the Uniform Customs and Practice for Documentary Credits, International Chamber of Commerce (“</w:t>
      </w:r>
      <w:r>
        <w:rPr>
          <w:rFonts w:ascii="Times New Roman" w:cs="Times New Roman" w:eastAsia="Times New Roman" w:hAnsi="Times New Roman"/>
          <w:sz w:val="18"/>
          <w:szCs w:val="18"/>
          <w:u w:val="single" w:color="auto"/>
          <w:color w:val="auto"/>
        </w:rPr>
        <w:t>ICC</w:t>
      </w:r>
      <w:r>
        <w:rPr>
          <w:rFonts w:ascii="Times New Roman" w:cs="Times New Roman" w:eastAsia="Times New Roman" w:hAnsi="Times New Roman"/>
          <w:sz w:val="18"/>
          <w:szCs w:val="18"/>
          <w:color w:val="auto"/>
        </w:rPr>
        <w:t>”) Publication No. 600 (or such later version thereof as may be in effect at the time of issuance).</w:t>
      </w:r>
    </w:p>
    <w:p>
      <w:pPr>
        <w:spacing w:after="0" w:line="162" w:lineRule="exact"/>
        <w:rPr>
          <w:sz w:val="20"/>
          <w:szCs w:val="20"/>
          <w:color w:val="auto"/>
        </w:rPr>
      </w:pPr>
    </w:p>
    <w:p>
      <w:pPr>
        <w:ind w:right="120" w:firstLine="648"/>
        <w:spacing w:after="0" w:line="31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Uniform Commercial Code</w:t>
      </w:r>
      <w:r>
        <w:rPr>
          <w:rFonts w:ascii="Times New Roman" w:cs="Times New Roman" w:eastAsia="Times New Roman" w:hAnsi="Times New Roman"/>
          <w:sz w:val="17"/>
          <w:szCs w:val="17"/>
          <w:color w:val="auto"/>
        </w:rPr>
        <w:t>” means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Unsecured Debt</w:t>
      </w:r>
      <w:r>
        <w:rPr>
          <w:rFonts w:ascii="Times New Roman" w:cs="Times New Roman" w:eastAsia="Times New Roman" w:hAnsi="Times New Roman"/>
          <w:sz w:val="18"/>
          <w:szCs w:val="18"/>
          <w:color w:val="auto"/>
        </w:rPr>
        <w:t>” means, as to any Person, Indebtedness of such Person that is not Secured Debt.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3.01(e)(ii)(B)(III)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Wholly-Owned</w:t>
      </w:r>
      <w:r>
        <w:rPr>
          <w:rFonts w:ascii="Times New Roman" w:cs="Times New Roman" w:eastAsia="Times New Roman" w:hAnsi="Times New Roman"/>
          <w:sz w:val="18"/>
          <w:szCs w:val="18"/>
          <w:color w:val="auto"/>
        </w:rPr>
        <w:t>” means, with respect to the ownership by any Person of any Property, that one hundred percent (100%) of the title to such Property is held in fee directly by such Person.</w:t>
      </w:r>
    </w:p>
    <w:p>
      <w:pPr>
        <w:spacing w:after="0" w:line="162"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Wholly-Owned Subsidiary</w:t>
      </w:r>
      <w:r>
        <w:rPr>
          <w:rFonts w:ascii="Times New Roman" w:cs="Times New Roman" w:eastAsia="Times New Roman" w:hAnsi="Times New Roman"/>
          <w:sz w:val="18"/>
          <w:szCs w:val="18"/>
          <w:color w:val="auto"/>
        </w:rPr>
        <w:t>” means, with respect to any Person, a Subsidiary of such Person of which one hundred percent (100%) of the outstanding shares of stock or other equity interests are owned and Controlled, directly or indirectly, by such Person. For purposes of this Agreement, the Operating Partnership and its Wholly-Owned Subsidiaries shall be deemed to be Wholly-Owned Subsidiaries of the Borrower.</w:t>
      </w:r>
    </w:p>
    <w:p>
      <w:pPr>
        <w:spacing w:after="0" w:line="176"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1.02 Other Interpretive Provisions</w:t>
      </w:r>
      <w:r>
        <w:rPr>
          <w:rFonts w:ascii="Times New Roman" w:cs="Times New Roman" w:eastAsia="Times New Roman" w:hAnsi="Times New Roman"/>
          <w:sz w:val="18"/>
          <w:szCs w:val="18"/>
          <w:color w:val="auto"/>
        </w:rPr>
        <w:t>. With reference to this Agreement and each other Loan Document, unless otherwise specified herein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other Loan Document:</w:t>
      </w:r>
    </w:p>
    <w:p>
      <w:pPr>
        <w:spacing w:after="0" w:line="159" w:lineRule="exact"/>
        <w:rPr>
          <w:sz w:val="20"/>
          <w:szCs w:val="20"/>
          <w:color w:val="auto"/>
        </w:rPr>
      </w:pPr>
    </w:p>
    <w:p>
      <w:pPr>
        <w:ind w:firstLine="656"/>
        <w:spacing w:after="0" w:line="252" w:lineRule="auto"/>
        <w:tabs>
          <w:tab w:leader="none" w:pos="129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amended and restated, supplemented or otherwise modified (subject to any restrictions on such amendments, amendments and restatements, supplements or modifications set forth herein or in any other Loan Document), (ii) any reference herein to any Person shall be construed to include such Person’s successors and assigns, (iii) the words “</w:t>
      </w:r>
      <w:r>
        <w:rPr>
          <w:rFonts w:ascii="Times New Roman" w:cs="Times New Roman" w:eastAsia="Times New Roman" w:hAnsi="Times New Roman"/>
          <w:sz w:val="18"/>
          <w:szCs w:val="18"/>
          <w:u w:val="single" w:color="auto"/>
          <w:color w:val="auto"/>
        </w:rPr>
        <w:t>hereto</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hereunder</w:t>
      </w:r>
      <w:r>
        <w:rPr>
          <w:rFonts w:ascii="Times New Roman" w:cs="Times New Roman" w:eastAsia="Times New Roman" w:hAnsi="Times New Roman"/>
          <w:sz w:val="18"/>
          <w:szCs w:val="18"/>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Times New Roman" w:cs="Times New Roman" w:eastAsia="Times New Roman" w:hAnsi="Times New Roman"/>
          <w:sz w:val="18"/>
          <w:szCs w:val="18"/>
          <w:u w:val="single" w:color="auto"/>
          <w:color w:val="auto"/>
        </w:rPr>
        <w:t>asset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shall be construed to have the same meaning and effect and to refer to any and all tangible and intangible assets and properties, including cash, securities, accounts and contract rights</w:t>
      </w:r>
    </w:p>
    <w:p>
      <w:pPr>
        <w:spacing w:after="0" w:line="198" w:lineRule="exact"/>
        <w:rPr>
          <w:rFonts w:ascii="Times New Roman" w:cs="Times New Roman" w:eastAsia="Times New Roman" w:hAnsi="Times New Roman"/>
          <w:sz w:val="18"/>
          <w:szCs w:val="18"/>
          <w:color w:val="auto"/>
        </w:rPr>
      </w:pPr>
    </w:p>
    <w:p>
      <w:pPr>
        <w:ind w:right="440" w:firstLine="656"/>
        <w:spacing w:after="0" w:line="282" w:lineRule="auto"/>
        <w:tabs>
          <w:tab w:leader="none" w:pos="130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computation of periods of time from a specified date to a later specified date, the word “</w:t>
      </w:r>
      <w:r>
        <w:rPr>
          <w:rFonts w:ascii="Times New Roman" w:cs="Times New Roman" w:eastAsia="Times New Roman" w:hAnsi="Times New Roman"/>
          <w:sz w:val="18"/>
          <w:szCs w:val="18"/>
          <w:u w:val="single" w:color="auto"/>
          <w:color w:val="auto"/>
        </w:rPr>
        <w:t>from</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from and including</w:t>
      </w:r>
      <w:r>
        <w:rPr>
          <w:rFonts w:ascii="Times New Roman" w:cs="Times New Roman" w:eastAsia="Times New Roman" w:hAnsi="Times New Roman"/>
          <w:sz w:val="18"/>
          <w:szCs w:val="18"/>
          <w:color w:val="auto"/>
        </w:rPr>
        <w:t>;” the words “</w:t>
      </w:r>
      <w:r>
        <w:rPr>
          <w:rFonts w:ascii="Times New Roman" w:cs="Times New Roman" w:eastAsia="Times New Roman" w:hAnsi="Times New Roman"/>
          <w:sz w:val="18"/>
          <w:szCs w:val="18"/>
          <w:u w:val="single" w:color="auto"/>
          <w:color w:val="auto"/>
        </w:rPr>
        <w:t>to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until</w:t>
      </w:r>
      <w:r>
        <w:rPr>
          <w:rFonts w:ascii="Times New Roman" w:cs="Times New Roman" w:eastAsia="Times New Roman" w:hAnsi="Times New Roman"/>
          <w:sz w:val="18"/>
          <w:szCs w:val="18"/>
          <w:color w:val="auto"/>
        </w:rPr>
        <w:t>” each mean “</w:t>
      </w:r>
      <w:r>
        <w:rPr>
          <w:rFonts w:ascii="Times New Roman" w:cs="Times New Roman" w:eastAsia="Times New Roman" w:hAnsi="Times New Roman"/>
          <w:sz w:val="18"/>
          <w:szCs w:val="18"/>
          <w:u w:val="single" w:color="auto"/>
          <w:color w:val="auto"/>
        </w:rPr>
        <w:t>to but excluding</w:t>
      </w:r>
      <w:r>
        <w:rPr>
          <w:rFonts w:ascii="Times New Roman" w:cs="Times New Roman" w:eastAsia="Times New Roman" w:hAnsi="Times New Roman"/>
          <w:sz w:val="18"/>
          <w:szCs w:val="18"/>
          <w:color w:val="auto"/>
        </w:rPr>
        <w:t>;” and the word “</w:t>
      </w:r>
      <w:r>
        <w:rPr>
          <w:rFonts w:ascii="Times New Roman" w:cs="Times New Roman" w:eastAsia="Times New Roman" w:hAnsi="Times New Roman"/>
          <w:sz w:val="18"/>
          <w:szCs w:val="18"/>
          <w:u w:val="single" w:color="auto"/>
          <w:color w:val="auto"/>
        </w:rPr>
        <w:t>through</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to and including</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840" w:firstLine="656"/>
        <w:spacing w:after="0" w:line="282" w:lineRule="auto"/>
        <w:tabs>
          <w:tab w:leader="none" w:pos="1307"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headings herein and in the other Loan Documents are included for convenience of reference only and shall not affect the interpretation of this Agreement or any other Loan Document.</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7"/>
          <w:szCs w:val="17"/>
          <w:b w:val="1"/>
          <w:bCs w:val="1"/>
          <w:color w:val="auto"/>
        </w:rPr>
        <w:t>Accounting Terms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120" w:firstLine="656"/>
        <w:spacing w:after="0" w:line="261" w:lineRule="auto"/>
        <w:tabs>
          <w:tab w:leader="none" w:pos="129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 xml:space="preserve"> as otherwise specifically prescribed herein. Notwithstanding the foregoing, for purposes of determining compliance with any covenant (including the</w:t>
      </w:r>
    </w:p>
    <w:p>
      <w:pPr>
        <w:sectPr>
          <w:pgSz w:w="11900" w:h="16838" w:orient="portrait"/>
          <w:cols w:equalWidth="0" w:num="1">
            <w:col w:w="11400"/>
          </w:cols>
          <w:pgMar w:left="240" w:top="121" w:right="259" w:bottom="0" w:gutter="0" w:footer="0" w:header="0"/>
        </w:sectPr>
      </w:pPr>
    </w:p>
    <w:bookmarkStart w:id="64" w:name="page65"/>
    <w:bookmarkEnd w:id="64"/>
    <w:p>
      <w:pPr>
        <w:ind w:right="380"/>
        <w:spacing w:after="0" w:line="282" w:lineRule="auto"/>
        <w:rPr>
          <w:sz w:val="20"/>
          <w:szCs w:val="20"/>
          <w:color w:val="auto"/>
        </w:rPr>
      </w:pPr>
      <w:r>
        <w:rPr>
          <w:rFonts w:ascii="Times New Roman" w:cs="Times New Roman" w:eastAsia="Times New Roman" w:hAnsi="Times New Roman"/>
          <w:sz w:val="18"/>
          <w:szCs w:val="18"/>
          <w:color w:val="auto"/>
        </w:rPr>
        <w:t>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54" w:lineRule="auto"/>
        <w:tabs>
          <w:tab w:leader="none" w:pos="130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GAAP</w:t>
      </w:r>
      <w:r>
        <w:rPr>
          <w:rFonts w:ascii="Times New Roman" w:cs="Times New Roman" w:eastAsia="Times New Roman" w:hAnsi="Times New Roman"/>
          <w:sz w:val="18"/>
          <w:szCs w:val="18"/>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until so amended, (A) such ratio or requirement shall continue to be computed in accordance with GAAP prior to such change therein and (B)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(whether the Borrower or its Subsidiaries are the lessors or lessees thereof)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w:t>
      </w:r>
    </w:p>
    <w:p>
      <w:pPr>
        <w:spacing w:after="0" w:line="186" w:lineRule="exact"/>
        <w:rPr>
          <w:rFonts w:ascii="Times New Roman" w:cs="Times New Roman" w:eastAsia="Times New Roman" w:hAnsi="Times New Roman"/>
          <w:sz w:val="18"/>
          <w:szCs w:val="18"/>
          <w:color w:val="auto"/>
        </w:rPr>
      </w:pPr>
    </w:p>
    <w:p>
      <w:pPr>
        <w:jc w:val="both"/>
        <w:ind w:right="80" w:firstLine="656"/>
        <w:spacing w:after="0" w:line="261" w:lineRule="auto"/>
        <w:tabs>
          <w:tab w:leader="none" w:pos="130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Consolidation of Variable Interest Entities</w:t>
      </w:r>
      <w:r>
        <w:rPr>
          <w:rFonts w:ascii="Times New Roman" w:cs="Times New Roman" w:eastAsia="Times New Roman" w:hAnsi="Times New Roman"/>
          <w:sz w:val="18"/>
          <w:szCs w:val="18"/>
          <w:color w:val="auto"/>
        </w:rPr>
        <w:t>.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is required to consolidate pursuant to FASB ASC 810 as if such variable interest entity were a Subsidiary as defined herein.</w:t>
      </w:r>
    </w:p>
    <w:p>
      <w:pPr>
        <w:spacing w:after="0" w:line="176" w:lineRule="exact"/>
        <w:rPr>
          <w:sz w:val="20"/>
          <w:szCs w:val="20"/>
          <w:color w:val="auto"/>
        </w:rPr>
      </w:pPr>
    </w:p>
    <w:p>
      <w:pPr>
        <w:jc w:val="both"/>
        <w:ind w:right="1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1.04 Rounding</w:t>
      </w:r>
      <w:r>
        <w:rPr>
          <w:rFonts w:ascii="Times New Roman" w:cs="Times New Roman" w:eastAsia="Times New Roman" w:hAnsi="Times New Roman"/>
          <w:sz w:val="18"/>
          <w:szCs w:val="18"/>
          <w:color w:val="auto"/>
        </w:rPr>
        <w:t>. Any financial ratios required to be maintained by the Borrower pursuant to this Agreement shall be calculated by dividing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1" w:lineRule="exact"/>
        <w:rPr>
          <w:sz w:val="20"/>
          <w:szCs w:val="20"/>
          <w:color w:val="auto"/>
        </w:rPr>
      </w:pPr>
    </w:p>
    <w:p>
      <w:pPr>
        <w:ind w:right="2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1.05 Times of Day; Rates</w:t>
      </w:r>
      <w:r>
        <w:rPr>
          <w:rFonts w:ascii="Times New Roman" w:cs="Times New Roman" w:eastAsia="Times New Roman" w:hAnsi="Times New Roman"/>
          <w:sz w:val="18"/>
          <w:szCs w:val="18"/>
          <w:color w:val="auto"/>
        </w:rPr>
        <w:t>. Unless otherwise specified, all references herein to times of day shall be references to Eastern time (daylight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standard, as applicable). The Administrative Agent does not warrant, nor accept responsibility, nor shall the Administrative Agent have any liability with respect to the administration, submission or any other matter related to the rates in the definition of “Eurodollar Rate” or with respect to any comparable or successor rate thereto.</w:t>
      </w:r>
    </w:p>
    <w:p>
      <w:pPr>
        <w:spacing w:after="0" w:line="177"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1.06 Letter of Credit Amounts</w:t>
      </w:r>
      <w:r>
        <w:rPr>
          <w:rFonts w:ascii="Times New Roman" w:cs="Times New Roman" w:eastAsia="Times New Roman" w:hAnsi="Times New Roman"/>
          <w:sz w:val="18"/>
          <w:szCs w:val="18"/>
          <w:color w:val="auto"/>
        </w:rPr>
        <w:t>. Unless otherwise specified herein, the amount of a Letter of Credit at any time shall be deemed to be the 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amount of such Letter of Credit in effect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ARTICLE II.</w:t>
      </w:r>
      <w:r>
        <w:rPr>
          <w:sz w:val="20"/>
          <w:szCs w:val="20"/>
          <w:color w:val="auto"/>
        </w:rPr>
        <w:tab/>
      </w:r>
      <w:r>
        <w:rPr>
          <w:rFonts w:ascii="Times New Roman" w:cs="Times New Roman" w:eastAsia="Times New Roman" w:hAnsi="Times New Roman"/>
          <w:sz w:val="17"/>
          <w:szCs w:val="17"/>
          <w:b w:val="1"/>
          <w:bCs w:val="1"/>
          <w:color w:val="auto"/>
        </w:rPr>
        <w:t>THE COMMITMENTS AND CREDIT EXTENSIONS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2.01</w:t>
      </w:r>
      <w:r>
        <w:rPr>
          <w:sz w:val="20"/>
          <w:szCs w:val="20"/>
          <w:color w:val="auto"/>
        </w:rPr>
        <w:tab/>
      </w:r>
      <w:r>
        <w:rPr>
          <w:rFonts w:ascii="Times New Roman" w:cs="Times New Roman" w:eastAsia="Times New Roman" w:hAnsi="Times New Roman"/>
          <w:sz w:val="18"/>
          <w:szCs w:val="18"/>
          <w:b w:val="1"/>
          <w:bCs w:val="1"/>
          <w:color w:val="auto"/>
        </w:rPr>
        <w:t>Committed Loans</w:t>
      </w:r>
      <w:r>
        <w:rPr>
          <w:rFonts w:ascii="Times New Roman" w:cs="Times New Roman" w:eastAsia="Times New Roman" w:hAnsi="Times New Roman"/>
          <w:sz w:val="18"/>
          <w:szCs w:val="18"/>
          <w:color w:val="auto"/>
        </w:rPr>
        <w:t>. Subject to the terms and conditions set forth herein, each Lender severally agrees to make loans (each such loan,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Committed Loan</w:t>
      </w:r>
      <w:r>
        <w:rPr>
          <w:rFonts w:ascii="Times New Roman" w:cs="Times New Roman" w:eastAsia="Times New Roman" w:hAnsi="Times New Roman"/>
          <w:sz w:val="18"/>
          <w:szCs w:val="18"/>
          <w:color w:val="auto"/>
        </w:rPr>
        <w:t>”) to the Borrower from time to time, on any Business Day during the Availability Period, in an aggregate amount not to exceed at any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outstanding the amount of such Lender’s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giving effect to any Committed Loan, (i) Availability shall equal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exceed zero ($0) and (ii) the Revolving Credit Exposure of any Lender shall not exceed such Lender’s Commitment. Within the limits of each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Commitment, and subject to the other terms and conditions hereof, the Borrower may borrow under this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prepay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reborrow under this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Committed Loans may be Base Rate Loans or Eurodollar Rate Loans, as further provided herein.</w:t>
      </w:r>
    </w:p>
    <w:p>
      <w:pPr>
        <w:spacing w:after="0" w:line="20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2.02</w:t>
      </w:r>
      <w:r>
        <w:rPr>
          <w:sz w:val="20"/>
          <w:szCs w:val="20"/>
          <w:color w:val="auto"/>
        </w:rPr>
        <w:tab/>
      </w:r>
      <w:r>
        <w:rPr>
          <w:rFonts w:ascii="Times New Roman" w:cs="Times New Roman" w:eastAsia="Times New Roman" w:hAnsi="Times New Roman"/>
          <w:sz w:val="17"/>
          <w:szCs w:val="17"/>
          <w:b w:val="1"/>
          <w:bCs w:val="1"/>
          <w:color w:val="auto"/>
        </w:rPr>
        <w:t>Borrowings, Conversions and Continuations of Committed Loans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140" w:firstLine="656"/>
        <w:spacing w:after="0" w:line="254" w:lineRule="auto"/>
        <w:tabs>
          <w:tab w:leader="none" w:pos="129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Committed Loan, each conversion of Committed Loans from one Type to the other, and each continuation of Eurodollar Rate Loans shall be made upon the Borrower’s irrevocable notice to the Administrative Agent, which may be given by (A) telephone, or (B) a Committed Loan Notice; provided that any telephonic notice must be confirmed immediately by delivery to the Administrative Agent of a Committed Loan Notice. Each such Committed Loan Notice must be received by the Administrative Agent not later than 11:00 a.m. (i) three Business Days prior to the requested date of any Borrowing of, conversion to or continuation of Eurodollar Rate Loans or of any conversion of Eurodollar Rate Loans to Base Rate Committed Loans, and</w:t>
      </w:r>
    </w:p>
    <w:p>
      <w:pPr>
        <w:spacing w:after="0" w:line="3" w:lineRule="exact"/>
        <w:rPr>
          <w:rFonts w:ascii="Times New Roman" w:cs="Times New Roman" w:eastAsia="Times New Roman" w:hAnsi="Times New Roman"/>
          <w:sz w:val="18"/>
          <w:szCs w:val="18"/>
          <w:color w:val="auto"/>
        </w:rPr>
      </w:pPr>
    </w:p>
    <w:p>
      <w:pPr>
        <w:ind w:firstLine="8"/>
        <w:spacing w:after="0" w:line="251" w:lineRule="auto"/>
        <w:tabs>
          <w:tab w:leader="none" w:pos="26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requested date of any Borrowing of Base Rate Committed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Borrower wishes to request Eurodollar Rate Loans having an Interest Period other than one, two, three or six months in duration as provided in the definition of “Interest Period,” the applicable notice must be received by the Administrative Agent not later than 11:00 a.m. four Business Days prior to the requested date of such Borrowing, conversion or continuation, whereupon the Administrative Agent shall give prompt notice to the Lenders of such request and determine whether the requested Interest Period is acceptable to all of them. Not later than 11:00 a.m., three Business Days before the requested date of such Borrowing, conversion or continuation, the Administrative Agent shall notify the Borrower (which notice may be by telephone) whether or not the requested Interest Period has been consented to by all the Lenders. Each Borrowing of, conversion to or continuation of Eurodollar Rate Loans shall be in a principal amount of $5,000,000 or a whole multiple of $1,000,000 in excess thereof. Except as provided in </w:t>
      </w:r>
      <w:r>
        <w:rPr>
          <w:rFonts w:ascii="Times New Roman" w:cs="Times New Roman" w:eastAsia="Times New Roman" w:hAnsi="Times New Roman"/>
          <w:sz w:val="18"/>
          <w:szCs w:val="18"/>
          <w:u w:val="single" w:color="auto"/>
          <w:color w:val="auto"/>
        </w:rPr>
        <w:t>Sections 2.03(c)</w:t>
      </w:r>
      <w:r>
        <w:rPr>
          <w:rFonts w:ascii="Times New Roman" w:cs="Times New Roman" w:eastAsia="Times New Roman" w:hAnsi="Times New Roman"/>
          <w:sz w:val="18"/>
          <w:szCs w:val="18"/>
          <w:color w:val="auto"/>
        </w:rPr>
        <w:t>, each Borrowing of or conversion to Base Rate Committed Loans shall be in a principal amount of $1,000,000 or a whole multiple of $500,000 in excess thereof. Each Committed Loan Notice shall specify (i) whether the Borrower is requesting a Committed Loan, a conversion of Committed Loans from one Type to the other, or a continuation of Eurodollar Rate Loans, (ii) the requested date of the Borrowing, conversion or continuation, as the case may be (which shall be a Business Day), (iii) the principal amount of Committed Loans to be borrowed, converted or continued, (iv) the Type of Committed Loans to be borrowed or to which existing Committed Loans are to be converted, and (v) if applicable, the duration of the Interest Period with respect thereto. If the Borrower fails to specify a Type of Committed Loan in a Committed Loan Notice or if the Borrower fails to give a timely notice requesting a conversion or continuation, then the applicable Committed Loans shall be made as, or converted to, Base Rate Loans. Any such automatic conversion to Base Rate Loans shall be</w:t>
      </w:r>
    </w:p>
    <w:p>
      <w:pPr>
        <w:sectPr>
          <w:pgSz w:w="11900" w:h="16838" w:orient="portrait"/>
          <w:cols w:equalWidth="0" w:num="1">
            <w:col w:w="11380"/>
          </w:cols>
          <w:pgMar w:left="240" w:top="121" w:right="279" w:bottom="0" w:gutter="0" w:footer="0" w:header="0"/>
        </w:sectPr>
      </w:pP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1" w:right="279" w:bottom="0" w:gutter="0" w:footer="0" w:header="0"/>
          <w:type w:val="continuous"/>
        </w:sectPr>
      </w:pPr>
    </w:p>
    <w:bookmarkStart w:id="65" w:name="page66"/>
    <w:bookmarkEnd w:id="65"/>
    <w:p>
      <w:pPr>
        <w:spacing w:after="0" w:line="5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effective as of the last day of the Interest Period then in effect with respect to the applicable Eurodollar Rate Loans. If the Borrower requests a Borrowing of, conversion to, or continuation of Eurodollar Rate Loans in any such Committed Loan Notice, but fails to specify an Interest Period, it will be deemed to have specified an Interest Period of one month.</w:t>
      </w:r>
    </w:p>
    <w:p>
      <w:pPr>
        <w:spacing w:after="0" w:line="176" w:lineRule="exact"/>
        <w:rPr>
          <w:sz w:val="20"/>
          <w:szCs w:val="20"/>
          <w:color w:val="auto"/>
        </w:rPr>
      </w:pPr>
    </w:p>
    <w:p>
      <w:pPr>
        <w:ind w:firstLine="656"/>
        <w:spacing w:after="0" w:line="253" w:lineRule="auto"/>
        <w:tabs>
          <w:tab w:leader="none" w:pos="130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receipt of a Committed Loan Notice, the Administrative Agent shall promptly notify each Lender of the amount of its Applicable Percentage of the applicable Committed Loans, and if no timely notice of a conversion or continuation is provided by the Borrower, the Administrative Agent shall notify each Lender of the details of any automatic conversion to Base Rate Loans described in the preceding subsection. In the case of a Committed Loan, each Lender shall make the amount of its Committed Loan available to the Administrative Agent in immediately available funds at the Administrative Agent’s Office not later than 1:00 p.m. on the Business Day specified in the applicable Committed Loan Notice. Upon satisfaction of the applicable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(and, if such Borrowing is the initial Credit Extension,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on the date the Committed Loan Notice with respect to such Borrowing is given by the Borrower, there are L/C Borrowings outstanding, then the proceeds of such Borrowing, first, shall be applied to the payment in full of any such L/C Borrowings, and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shall be made available to the Borrower as provided above.</w:t>
      </w:r>
    </w:p>
    <w:p>
      <w:pPr>
        <w:spacing w:after="0" w:line="192" w:lineRule="exact"/>
        <w:rPr>
          <w:rFonts w:ascii="Times New Roman" w:cs="Times New Roman" w:eastAsia="Times New Roman" w:hAnsi="Times New Roman"/>
          <w:sz w:val="18"/>
          <w:szCs w:val="18"/>
          <w:color w:val="auto"/>
        </w:rPr>
      </w:pPr>
    </w:p>
    <w:p>
      <w:pPr>
        <w:ind w:right="20" w:firstLine="656"/>
        <w:spacing w:after="0" w:line="266" w:lineRule="auto"/>
        <w:tabs>
          <w:tab w:leader="none" w:pos="130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a Eurodollar Rate Loan may be continued or converted only on the last day of an Interest Period for such Eurodollar Rate Loan. During the existence of a Default, no Loans may be requested as, converted to or continued as Eurodollar Rate Loans without the consent of the Required Lenders.</w:t>
      </w:r>
    </w:p>
    <w:p>
      <w:pPr>
        <w:spacing w:after="0" w:line="176" w:lineRule="exact"/>
        <w:rPr>
          <w:rFonts w:ascii="Times New Roman" w:cs="Times New Roman" w:eastAsia="Times New Roman" w:hAnsi="Times New Roman"/>
          <w:sz w:val="18"/>
          <w:szCs w:val="18"/>
          <w:color w:val="auto"/>
        </w:rPr>
      </w:pPr>
    </w:p>
    <w:p>
      <w:pPr>
        <w:ind w:right="460" w:firstLine="656"/>
        <w:spacing w:after="0" w:line="282" w:lineRule="auto"/>
        <w:tabs>
          <w:tab w:leader="none" w:pos="130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promptly notify the Borrower and the Lenders of the interest rate applicable to any Interest Period for Eurodollar Rate Loans upon determination of such interest rate.</w:t>
      </w:r>
    </w:p>
    <w:p>
      <w:pPr>
        <w:spacing w:after="0" w:line="161" w:lineRule="exact"/>
        <w:rPr>
          <w:rFonts w:ascii="Times New Roman" w:cs="Times New Roman" w:eastAsia="Times New Roman" w:hAnsi="Times New Roman"/>
          <w:sz w:val="18"/>
          <w:szCs w:val="18"/>
          <w:color w:val="auto"/>
        </w:rPr>
      </w:pPr>
    </w:p>
    <w:p>
      <w:pPr>
        <w:ind w:right="540" w:firstLine="656"/>
        <w:spacing w:after="0" w:line="282" w:lineRule="auto"/>
        <w:tabs>
          <w:tab w:leader="none" w:pos="130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all Committed Loans, all conversions of Committed Loans from one Type to the other, and all continuations of Committed Loans as the same Type, there shall not be more than ten (10) Interest Periods in effect with respect to Committed Loans.</w:t>
      </w:r>
    </w:p>
    <w:p>
      <w:pPr>
        <w:spacing w:after="0" w:line="161" w:lineRule="exact"/>
        <w:rPr>
          <w:rFonts w:ascii="Times New Roman" w:cs="Times New Roman" w:eastAsia="Times New Roman" w:hAnsi="Times New Roman"/>
          <w:sz w:val="18"/>
          <w:szCs w:val="18"/>
          <w:color w:val="auto"/>
        </w:rPr>
      </w:pPr>
    </w:p>
    <w:p>
      <w:pPr>
        <w:ind w:right="140" w:firstLine="656"/>
        <w:spacing w:after="0" w:line="266" w:lineRule="auto"/>
        <w:tabs>
          <w:tab w:leader="none" w:pos="130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2.03</w:t>
      </w:r>
      <w:r>
        <w:rPr>
          <w:sz w:val="20"/>
          <w:szCs w:val="20"/>
          <w:color w:val="auto"/>
        </w:rPr>
        <w:tab/>
      </w:r>
      <w:r>
        <w:rPr>
          <w:rFonts w:ascii="Times New Roman" w:cs="Times New Roman" w:eastAsia="Times New Roman" w:hAnsi="Times New Roman"/>
          <w:sz w:val="17"/>
          <w:szCs w:val="17"/>
          <w:b w:val="1"/>
          <w:bCs w:val="1"/>
          <w:color w:val="auto"/>
        </w:rPr>
        <w:t>Letters of Credit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300" w:hanging="644"/>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Letter of Credit Commitment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20" w:firstLine="645"/>
        <w:spacing w:after="0" w:line="253" w:lineRule="auto"/>
        <w:tabs>
          <w:tab w:leader="none" w:pos="1978"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herein, (A) each L/C Issuer agrees, in reliance upon the agreements of the Lenders set forth in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(1) from time to time on any Business Day during the period from the Closing Date until the Letter of Credit Expiration Date, to issue Letters of Credit for the account of the Borrower or its Subsidiaries, and to amend or extend Letters of Credit previously issued by it, in accordance with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below, and (2) to honor drawings under the Letters of Credit; and (B) the Lenders severally agree to participate in Letters of Credit issued for the account of the Borrower or its Subsidiaries and any drawings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any L/C Credit Extension with respect to any Letter of Credit, (x) Availability shall equal or exceed zero ($0), (y) the Revolving Credit Exposure of any Lender shall not exceed such Lender’s Commitment, and (z) the Outstanding Amount of the L/C Obligations shall not exceed the Letter of Credit Sublimit.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w:t>
      </w:r>
    </w:p>
    <w:p>
      <w:pPr>
        <w:spacing w:after="0" w:line="190"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L/C Issuer shall issue any Letter of Credit, if:</w:t>
      </w:r>
    </w:p>
    <w:p>
      <w:pPr>
        <w:spacing w:after="0" w:line="225" w:lineRule="exact"/>
        <w:rPr>
          <w:rFonts w:ascii="Times New Roman" w:cs="Times New Roman" w:eastAsia="Times New Roman" w:hAnsi="Times New Roman"/>
          <w:sz w:val="18"/>
          <w:szCs w:val="18"/>
          <w:color w:val="auto"/>
        </w:rPr>
      </w:pPr>
    </w:p>
    <w:p>
      <w:pPr>
        <w:ind w:left="1300" w:right="340" w:firstLine="653"/>
        <w:spacing w:after="0" w:line="282" w:lineRule="auto"/>
        <w:tabs>
          <w:tab w:leader="none" w:pos="2617"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2.03(b)(iii)</w:t>
      </w:r>
      <w:r>
        <w:rPr>
          <w:rFonts w:ascii="Times New Roman" w:cs="Times New Roman" w:eastAsia="Times New Roman" w:hAnsi="Times New Roman"/>
          <w:sz w:val="18"/>
          <w:szCs w:val="18"/>
          <w:color w:val="auto"/>
        </w:rPr>
        <w:t>, the expiry date of the requested Letter of Credit would occur more than twelve months after the date of issuance or last extension, unless the Required Lenders have approved such expiry date; or</w:t>
      </w:r>
    </w:p>
    <w:p>
      <w:pPr>
        <w:spacing w:after="0" w:line="161" w:lineRule="exact"/>
        <w:rPr>
          <w:rFonts w:ascii="Times New Roman" w:cs="Times New Roman" w:eastAsia="Times New Roman" w:hAnsi="Times New Roman"/>
          <w:sz w:val="18"/>
          <w:szCs w:val="18"/>
          <w:color w:val="auto"/>
        </w:rPr>
      </w:pPr>
    </w:p>
    <w:p>
      <w:pPr>
        <w:ind w:left="1300" w:right="400" w:firstLine="653"/>
        <w:spacing w:after="0" w:line="282" w:lineRule="auto"/>
        <w:tabs>
          <w:tab w:leader="none" w:pos="2607"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expiry date of the requested Letter of Credit would occur after the Letter of Credit Expiration Date, unless all the Lenders have approved such expiry date.</w:t>
      </w:r>
    </w:p>
    <w:p>
      <w:pPr>
        <w:spacing w:after="0" w:line="161"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L/C Issuer shall be under any obligation to (but may, in its sole discretion) issue any Letter of Credit if:</w:t>
      </w:r>
    </w:p>
    <w:p>
      <w:pPr>
        <w:spacing w:after="0" w:line="225" w:lineRule="exact"/>
        <w:rPr>
          <w:rFonts w:ascii="Times New Roman" w:cs="Times New Roman" w:eastAsia="Times New Roman" w:hAnsi="Times New Roman"/>
          <w:sz w:val="18"/>
          <w:szCs w:val="18"/>
          <w:color w:val="auto"/>
        </w:rPr>
      </w:pPr>
    </w:p>
    <w:p>
      <w:pPr>
        <w:ind w:left="1300" w:right="80" w:firstLine="653"/>
        <w:spacing w:after="0" w:line="255" w:lineRule="auto"/>
        <w:tabs>
          <w:tab w:leader="none" w:pos="2617"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of any Governmental Authority or arbitrator shall by its terms purport to enjoin or restrain such L/C Issuer from issuing the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the Letter of Credit in particular or shall impose upon such L/C Issuer with respect to the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and which such L/C Issuer in good faith deems material to it;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20" w:hanging="667"/>
        <w:spacing w:after="0"/>
        <w:tabs>
          <w:tab w:leader="none" w:pos="26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Letter of Credit would violate one or more policies of such L/C Issuer applicable to letters of credit</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w:t>
      </w:r>
    </w:p>
    <w:p>
      <w:pPr>
        <w:sectPr>
          <w:pgSz w:w="11900" w:h="16888" w:orient="portrait"/>
          <w:cols w:equalWidth="0" w:num="1">
            <w:col w:w="11400"/>
          </w:cols>
          <w:pgMar w:left="240" w:top="337" w:right="259" w:bottom="0" w:gutter="0" w:footer="0" w:header="0"/>
        </w:sectPr>
      </w:pPr>
    </w:p>
    <w:bookmarkStart w:id="66" w:name="page67"/>
    <w:bookmarkEnd w:id="66"/>
    <w:p>
      <w:pPr>
        <w:spacing w:after="0" w:line="95" w:lineRule="exact"/>
        <w:rPr>
          <w:sz w:val="20"/>
          <w:szCs w:val="20"/>
          <w:color w:val="auto"/>
        </w:rPr>
      </w:pPr>
    </w:p>
    <w:p>
      <w:pPr>
        <w:ind w:left="644" w:right="340" w:firstLine="653"/>
        <w:spacing w:after="0" w:line="282" w:lineRule="auto"/>
        <w:tabs>
          <w:tab w:leader="none" w:pos="1951"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agreed by the Administrative Agent and such L/C Issuer, the Letter of Credit is in an initial stated amount less than $500,000;</w:t>
      </w:r>
    </w:p>
    <w:p>
      <w:pPr>
        <w:spacing w:after="0" w:line="161" w:lineRule="exact"/>
        <w:rPr>
          <w:rFonts w:ascii="Times New Roman" w:cs="Times New Roman" w:eastAsia="Times New Roman" w:hAnsi="Times New Roman"/>
          <w:sz w:val="18"/>
          <w:szCs w:val="18"/>
          <w:color w:val="auto"/>
        </w:rPr>
      </w:pPr>
    </w:p>
    <w:p>
      <w:pPr>
        <w:ind w:left="1964" w:hanging="667"/>
        <w:spacing w:after="0"/>
        <w:tabs>
          <w:tab w:leader="none" w:pos="1964"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 of Credit is to be denominated in a currency other than Dollars;</w:t>
      </w:r>
    </w:p>
    <w:p>
      <w:pPr>
        <w:spacing w:after="0" w:line="225" w:lineRule="exact"/>
        <w:rPr>
          <w:rFonts w:ascii="Times New Roman" w:cs="Times New Roman" w:eastAsia="Times New Roman" w:hAnsi="Times New Roman"/>
          <w:sz w:val="18"/>
          <w:szCs w:val="18"/>
          <w:color w:val="auto"/>
        </w:rPr>
      </w:pPr>
    </w:p>
    <w:p>
      <w:pPr>
        <w:ind w:left="644" w:right="120" w:firstLine="653"/>
        <w:spacing w:after="0" w:line="258" w:lineRule="auto"/>
        <w:tabs>
          <w:tab w:leader="none" w:pos="1954"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is at that time a Defaulting Lender, unless such L/C Issuer has entered into arrangements, including the delivery of Cash Collateral, satisfactory to such L/C Issuer (in its sole discretion) with the Borrower or such Lender to eliminate such L/C Issuer’s actual or potential Fronting Exposure (after giving effect to </w:t>
      </w:r>
      <w:r>
        <w:rPr>
          <w:rFonts w:ascii="Times New Roman" w:cs="Times New Roman" w:eastAsia="Times New Roman" w:hAnsi="Times New Roman"/>
          <w:sz w:val="18"/>
          <w:szCs w:val="18"/>
          <w:u w:val="single" w:color="auto"/>
          <w:color w:val="auto"/>
        </w:rPr>
        <w:t>Section 2.17(a)(iv)</w:t>
      </w:r>
      <w:r>
        <w:rPr>
          <w:rFonts w:ascii="Times New Roman" w:cs="Times New Roman" w:eastAsia="Times New Roman" w:hAnsi="Times New Roman"/>
          <w:sz w:val="18"/>
          <w:szCs w:val="18"/>
          <w:color w:val="auto"/>
        </w:rPr>
        <w:t>) with respect to the Defaulting Lender arising from either the Letter of Credit then proposed to be issued or that Letter of Credit and all other L/C Obligations as to which such L/C Issuer has actual or potential Fronting Exposure, as it may elect in its sole discretion;</w:t>
      </w:r>
    </w:p>
    <w:p>
      <w:pPr>
        <w:spacing w:after="0" w:line="183" w:lineRule="exact"/>
        <w:rPr>
          <w:rFonts w:ascii="Times New Roman" w:cs="Times New Roman" w:eastAsia="Times New Roman" w:hAnsi="Times New Roman"/>
          <w:sz w:val="18"/>
          <w:szCs w:val="18"/>
          <w:color w:val="auto"/>
        </w:rPr>
      </w:pPr>
    </w:p>
    <w:p>
      <w:pPr>
        <w:ind w:left="1964" w:hanging="667"/>
        <w:spacing w:after="0"/>
        <w:tabs>
          <w:tab w:leader="none" w:pos="1964"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 of Credit contains any provisions for automatic reinstatement of the stated amount after any drawing</w:t>
      </w:r>
    </w:p>
    <w:p>
      <w:pPr>
        <w:spacing w:after="0" w:line="27"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thereunder;</w:t>
      </w:r>
    </w:p>
    <w:p>
      <w:pPr>
        <w:spacing w:after="0" w:line="206" w:lineRule="exact"/>
        <w:rPr>
          <w:rFonts w:ascii="Times New Roman" w:cs="Times New Roman" w:eastAsia="Times New Roman" w:hAnsi="Times New Roman"/>
          <w:sz w:val="18"/>
          <w:szCs w:val="18"/>
          <w:color w:val="auto"/>
        </w:rPr>
      </w:pPr>
    </w:p>
    <w:p>
      <w:pPr>
        <w:jc w:val="both"/>
        <w:ind w:left="644" w:right="20" w:firstLine="653"/>
        <w:spacing w:after="0" w:line="261" w:lineRule="auto"/>
        <w:tabs>
          <w:tab w:leader="none" w:pos="1961"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any L/C Credit Extension with respect to such Letter of Credit, the L/C Obligations with respect to all Letters of Credit issued by such L/C Issuer would exceed one-third of the Letter of Credit Sublimit (with respect to such L/C Issuer, its “</w:t>
      </w:r>
      <w:r>
        <w:rPr>
          <w:rFonts w:ascii="Times New Roman" w:cs="Times New Roman" w:eastAsia="Times New Roman" w:hAnsi="Times New Roman"/>
          <w:sz w:val="18"/>
          <w:szCs w:val="18"/>
          <w:u w:val="single" w:color="auto"/>
          <w:color w:val="auto"/>
        </w:rPr>
        <w:t>L/C Commitment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the limitations set forth in the proviso to </w:t>
      </w:r>
      <w:r>
        <w:rPr>
          <w:rFonts w:ascii="Times New Roman" w:cs="Times New Roman" w:eastAsia="Times New Roman" w:hAnsi="Times New Roman"/>
          <w:sz w:val="18"/>
          <w:szCs w:val="18"/>
          <w:u w:val="single" w:color="auto"/>
          <w:color w:val="auto"/>
        </w:rPr>
        <w:t>Section 2.03(a)(i)</w:t>
      </w:r>
      <w:r>
        <w:rPr>
          <w:rFonts w:ascii="Times New Roman" w:cs="Times New Roman" w:eastAsia="Times New Roman" w:hAnsi="Times New Roman"/>
          <w:sz w:val="18"/>
          <w:szCs w:val="18"/>
          <w:color w:val="auto"/>
        </w:rPr>
        <w:t>, any L/C Issuer in its sole discretion may issue Letters of Credit in excess of such L/C Issuer’s L/C Commitment Amount; or</w:t>
      </w:r>
    </w:p>
    <w:p>
      <w:pPr>
        <w:spacing w:after="0" w:line="180" w:lineRule="exact"/>
        <w:rPr>
          <w:rFonts w:ascii="Times New Roman" w:cs="Times New Roman" w:eastAsia="Times New Roman" w:hAnsi="Times New Roman"/>
          <w:sz w:val="18"/>
          <w:szCs w:val="18"/>
          <w:color w:val="auto"/>
        </w:rPr>
      </w:pPr>
    </w:p>
    <w:p>
      <w:pPr>
        <w:ind w:left="644" w:right="260" w:firstLine="653"/>
        <w:spacing w:after="0" w:line="266" w:lineRule="auto"/>
        <w:tabs>
          <w:tab w:leader="none" w:pos="1947"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any L/C Credit Extension with respect to such Letter of Credit, the sum of the aggregate principal amount at such time of all outstanding Committed Loans such L/C Issuer plus the L/C Obligations with respect to all Letters of Credit issued by such L/C Issuer would exceed such Lender’s Commitment.</w:t>
      </w:r>
    </w:p>
    <w:p>
      <w:pPr>
        <w:spacing w:after="0" w:line="176" w:lineRule="exact"/>
        <w:rPr>
          <w:rFonts w:ascii="Times New Roman" w:cs="Times New Roman" w:eastAsia="Times New Roman" w:hAnsi="Times New Roman"/>
          <w:sz w:val="18"/>
          <w:szCs w:val="18"/>
          <w:color w:val="auto"/>
        </w:rPr>
      </w:pPr>
    </w:p>
    <w:p>
      <w:pPr>
        <w:ind w:left="4" w:right="60" w:firstLine="645"/>
        <w:spacing w:after="0" w:line="282" w:lineRule="auto"/>
        <w:tabs>
          <w:tab w:leader="none" w:pos="131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L/C Issuer shall amend any Letter of Credit if such L/C Issuer would not be permitted at such time to issue the Letter of Credit in its amended form under the terms hereof.</w:t>
      </w:r>
    </w:p>
    <w:p>
      <w:pPr>
        <w:spacing w:after="0" w:line="161" w:lineRule="exact"/>
        <w:rPr>
          <w:rFonts w:ascii="Times New Roman" w:cs="Times New Roman" w:eastAsia="Times New Roman" w:hAnsi="Times New Roman"/>
          <w:sz w:val="18"/>
          <w:szCs w:val="18"/>
          <w:color w:val="auto"/>
        </w:rPr>
      </w:pPr>
    </w:p>
    <w:p>
      <w:pPr>
        <w:ind w:left="4" w:right="80" w:firstLine="645"/>
        <w:spacing w:after="0" w:line="266" w:lineRule="auto"/>
        <w:tabs>
          <w:tab w:leader="none" w:pos="130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L/C Issuer shall be under any obligation to amend any Letter of Credit if (A) such L/C Issuer would have no obligation at such time to issue the Letter of Credit in its amended form under the terms hereof, or (B) the beneficiary of the Letter of Credit does not accept the proposed amendment to the Letter of Credit.</w:t>
      </w:r>
    </w:p>
    <w:p>
      <w:pPr>
        <w:spacing w:after="0" w:line="176" w:lineRule="exact"/>
        <w:rPr>
          <w:rFonts w:ascii="Times New Roman" w:cs="Times New Roman" w:eastAsia="Times New Roman" w:hAnsi="Times New Roman"/>
          <w:sz w:val="18"/>
          <w:szCs w:val="18"/>
          <w:color w:val="auto"/>
        </w:rPr>
      </w:pPr>
    </w:p>
    <w:p>
      <w:pPr>
        <w:ind w:left="4" w:right="160" w:firstLine="645"/>
        <w:spacing w:after="0" w:line="266" w:lineRule="auto"/>
        <w:tabs>
          <w:tab w:leader="none" w:pos="131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L/C Issuer shall act on behalf of the Lenders with respect to any Letters of Credit issued by it and the documents associated therewith, and each L/C Issuer shall have all of the benefits and immunities (A) provided to the Administrative Agent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with respect to any acts taken or omissions suffered by such L/C</w:t>
      </w:r>
    </w:p>
    <w:p>
      <w:pPr>
        <w:spacing w:after="0" w:line="176"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83820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80"/>
        <w:spacing w:after="0" w:line="266" w:lineRule="auto"/>
        <w:rPr>
          <w:sz w:val="20"/>
          <w:szCs w:val="20"/>
          <w:color w:val="auto"/>
        </w:rPr>
      </w:pPr>
      <w:r>
        <w:rPr>
          <w:rFonts w:ascii="Times New Roman" w:cs="Times New Roman" w:eastAsia="Times New Roman" w:hAnsi="Times New Roman"/>
          <w:sz w:val="18"/>
          <w:szCs w:val="18"/>
          <w:color w:val="auto"/>
        </w:rPr>
        <w:t xml:space="preserve">Issuer in connection with Letters of Credit issued by it or proposed to be issued by it and Issuer Documents pertaining to such Letters of Credit as fully as if the term “Administrative Agent” as used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included the L/C Issuers with respect to such acts or omissions, and (B) as additionally provided herein with respect to the L/C Issuers.</w:t>
      </w:r>
    </w:p>
    <w:p>
      <w:pPr>
        <w:spacing w:after="0" w:line="176" w:lineRule="exact"/>
        <w:rPr>
          <w:sz w:val="20"/>
          <w:szCs w:val="20"/>
          <w:color w:val="auto"/>
        </w:rPr>
      </w:pPr>
    </w:p>
    <w:p>
      <w:pPr>
        <w:ind w:left="664" w:hanging="664"/>
        <w:spacing w:after="0"/>
        <w:tabs>
          <w:tab w:leader="none" w:pos="66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for Issuance and Amendment of Letters of Credit; Auto-Extension Letters of Credit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645"/>
        <w:spacing w:after="0" w:line="252" w:lineRule="auto"/>
        <w:tabs>
          <w:tab w:leader="none" w:pos="1322"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Letter of Credit shall be issued or amended, as the case may be, upon the request of the Borrower delivered to a single L/C Issuer (with a copy to the Administrative Agent) in the form of a Letter of Credit Application, appropriately completed and signed by a Responsible Officer of the Borrower. Such Letter of Credit Application may be sent by facsimile, by United States mail, by overnight courier, by electronic transmission using the system provided by the applicable L/C Issuer, by personal delivery or by any other means acceptable to such L/C Issuer. Such Letter of Credit Application must be received by the applicable L/C Issuer and the Administrative Agent not later than 11:00 a.m. at least two Business Days (or such later date and time as the Administrative Agent and such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applicable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applicable L/C Issuer may require. In the case of a request for an amendment of any outstanding Letter of Credit, such Letter of Credit Application shall specify in form and detail satisfactory to the applicable L/C Issuer (A) the Letter of Credit to be amended; (B) the proposed date of amendment thereof (which shall be a Business Day); (C) the nature of the proposed amendment; and (D) such other matters as such L/C Issuer may require. Additionally, the Borrower shall furnish to the applicable L/C Issuer and the Administrative Agent such other documents and information pertaining to such requested Letter of Credit issuance or amendment, including any Issuer Documents, as such L/C Issuer or the Administrative Agent may require.</w:t>
      </w:r>
    </w:p>
    <w:p>
      <w:pPr>
        <w:spacing w:after="0" w:line="194" w:lineRule="exact"/>
        <w:rPr>
          <w:rFonts w:ascii="Times New Roman" w:cs="Times New Roman" w:eastAsia="Times New Roman" w:hAnsi="Times New Roman"/>
          <w:sz w:val="18"/>
          <w:szCs w:val="18"/>
          <w:color w:val="auto"/>
        </w:rPr>
      </w:pPr>
    </w:p>
    <w:p>
      <w:pPr>
        <w:ind w:left="4" w:right="220" w:firstLine="645"/>
        <w:spacing w:after="0" w:line="256" w:lineRule="auto"/>
        <w:tabs>
          <w:tab w:leader="none" w:pos="1331"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of any Letter of Credit Application, the applicable L/C Issuer will confirm with the Administrative Agent (by telephone or in writing) that the Administrative Agent has received a copy of such Letter of Credit Application from the Borrower and, if not, such L/C Issuer will provide the Administrative Agent with a copy thereof. Unless the applicable L/C Issuer has received written notice from any Lender, the Administrative Agent or any Loan Party, at least one Business Day prior to the requested date of issuance or amendment of the applicable Letter of Credit, that one or more applicable conditions contained in Article IV shall not then be satisfied, then, subject to the terms and conditions hereof, such L/C Issuer shall, on the requested date,</w:t>
      </w:r>
    </w:p>
    <w:p>
      <w:pPr>
        <w:spacing w:after="0" w:line="188"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83820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issue a Letter of Credit for the account of the Borrower (or the applicable Subsidiary) or enter into the applicable amendment, as the case may be, in each case in accordance with such L/C Issuer’s usual and customary business practices. Immediately upon the issuance of each Letter of Credit,</w:t>
      </w:r>
    </w:p>
    <w:p>
      <w:pPr>
        <w:sectPr>
          <w:pgSz w:w="11900" w:h="16933" w:orient="portrait"/>
          <w:cols w:equalWidth="0" w:num="1">
            <w:col w:w="10764"/>
          </w:cols>
          <w:pgMar w:left="896" w:top="337" w:right="239" w:bottom="0" w:gutter="0" w:footer="0" w:header="0"/>
        </w:sectPr>
      </w:pPr>
    </w:p>
    <w:bookmarkStart w:id="67" w:name="page68"/>
    <w:bookmarkEnd w:id="67"/>
    <w:p>
      <w:pPr>
        <w:spacing w:after="0" w:line="118"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each Lender shall be deemed to, and hereby irrevocably and unconditionally agrees to, purchase from the applicable L/C Issuer a risk participation in such Letter of Credit in an amount equal to the product of such Lender’s Applicable Percentage times the amount of such Letter of Credit.</w:t>
      </w:r>
    </w:p>
    <w:p>
      <w:pPr>
        <w:spacing w:after="0" w:line="162" w:lineRule="exact"/>
        <w:rPr>
          <w:sz w:val="20"/>
          <w:szCs w:val="20"/>
          <w:color w:val="auto"/>
        </w:rPr>
      </w:pPr>
    </w:p>
    <w:p>
      <w:pPr>
        <w:ind w:left="4" w:right="80" w:firstLine="645"/>
        <w:spacing w:after="0" w:line="252" w:lineRule="auto"/>
        <w:tabs>
          <w:tab w:leader="none" w:pos="1341"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so requests in any applicable Letter of Credit Application, the applicable L/C Issuer may, in its sole discretion, agree to issue a Letter of Credit that has automatic extension provisions (each, an “</w:t>
      </w:r>
      <w:r>
        <w:rPr>
          <w:rFonts w:ascii="Times New Roman" w:cs="Times New Roman" w:eastAsia="Times New Roman" w:hAnsi="Times New Roman"/>
          <w:sz w:val="18"/>
          <w:szCs w:val="18"/>
          <w:u w:val="single" w:color="auto"/>
          <w:color w:val="auto"/>
        </w:rPr>
        <w:t>Auto-Extension Letter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Auto-Extension Letter of Credit must permit such L/C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18"/>
          <w:szCs w:val="18"/>
          <w:u w:val="single" w:color="auto"/>
          <w:color w:val="auto"/>
        </w:rPr>
        <w:t>Non-Extension Notice Date</w:t>
      </w:r>
      <w:r>
        <w:rPr>
          <w:rFonts w:ascii="Times New Roman" w:cs="Times New Roman" w:eastAsia="Times New Roman" w:hAnsi="Times New Roman"/>
          <w:sz w:val="18"/>
          <w:szCs w:val="18"/>
          <w:color w:val="auto"/>
        </w:rPr>
        <w:t xml:space="preserve">”) in each such twelve-month period to be agreed upon at the time such Letter of Credit is issued. Unless otherwise directed by the applicable L/C Issuer, the Borrower shall not be required to make a specific request to such L/C Issuer for any such extension. Once an Auto-Extension Letter of Credit has been issued, the Lenders shall be deemed to have authorized (but may not require) the applicable L/C Issuer to permit the extension of such Letter of Credit at any time to an expiry date not later than the Letter of Credit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L/C Issuer shall permit any such extension if (A) the applicable L/C Issuer has determined that it would not be permitted, or would have no obligation, at such time to issue such Letter of Credit in its revised form (as extended) under the terms hereof (by reason of the provisions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of</w:t>
      </w:r>
    </w:p>
    <w:p>
      <w:pPr>
        <w:spacing w:after="0" w:line="5" w:lineRule="exact"/>
        <w:rPr>
          <w:rFonts w:ascii="Times New Roman" w:cs="Times New Roman" w:eastAsia="Times New Roman" w:hAnsi="Times New Roman"/>
          <w:sz w:val="18"/>
          <w:szCs w:val="18"/>
          <w:color w:val="auto"/>
        </w:rPr>
      </w:pPr>
    </w:p>
    <w:p>
      <w:pPr>
        <w:ind w:left="4" w:right="1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or otherwise),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any Lender or the Borrower that one or more of the applicable conditions specified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is not then satisfied, and in each such case directing such L/C Issuer not to permit such extension.</w:t>
      </w:r>
    </w:p>
    <w:p>
      <w:pPr>
        <w:spacing w:after="0" w:line="185" w:lineRule="exact"/>
        <w:rPr>
          <w:rFonts w:ascii="Times New Roman" w:cs="Times New Roman" w:eastAsia="Times New Roman" w:hAnsi="Times New Roman"/>
          <w:sz w:val="18"/>
          <w:szCs w:val="18"/>
          <w:color w:val="auto"/>
        </w:rPr>
      </w:pPr>
    </w:p>
    <w:p>
      <w:pPr>
        <w:ind w:left="4" w:right="120" w:firstLine="645"/>
        <w:spacing w:after="0" w:line="266" w:lineRule="auto"/>
        <w:tabs>
          <w:tab w:leader="none" w:pos="1317"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its delivery of any Letter of Credit or any amendment to a Letter of Credit to an advising bank with respect thereto or to the beneficiary thereof, the applicable L/C Issuer will also deliver to the Borrower and the Administrative Agent a true and complete copy of such Letter of Credit or amendment.</w:t>
      </w:r>
    </w:p>
    <w:p>
      <w:pPr>
        <w:spacing w:after="0" w:line="176" w:lineRule="exact"/>
        <w:rPr>
          <w:rFonts w:ascii="Times New Roman" w:cs="Times New Roman" w:eastAsia="Times New Roman" w:hAnsi="Times New Roman"/>
          <w:sz w:val="18"/>
          <w:szCs w:val="18"/>
          <w:color w:val="auto"/>
        </w:rPr>
      </w:pPr>
    </w:p>
    <w:p>
      <w:pPr>
        <w:ind w:left="664" w:hanging="664"/>
        <w:spacing w:after="0"/>
        <w:tabs>
          <w:tab w:leader="none" w:pos="66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Drawings and Reimbursements; Funding of Participations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645"/>
        <w:spacing w:after="0" w:line="258" w:lineRule="auto"/>
        <w:tabs>
          <w:tab w:leader="none" w:pos="1322"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from the beneficiary of any Letter of Credit of any notice of a drawing under such Letter of Credit, the applicable L/C Issuer shall notify the Borrower and the Administrative Agent thereof (such notification provided by an L/C Issuer to the Borrower and the Administrative Agent being referred to herein as an “</w:t>
      </w:r>
      <w:r>
        <w:rPr>
          <w:rFonts w:ascii="Times New Roman" w:cs="Times New Roman" w:eastAsia="Times New Roman" w:hAnsi="Times New Roman"/>
          <w:sz w:val="18"/>
          <w:szCs w:val="18"/>
          <w:u w:val="single" w:color="auto"/>
          <w:color w:val="auto"/>
        </w:rPr>
        <w:t>L/C Draw Notice</w:t>
      </w:r>
      <w:r>
        <w:rPr>
          <w:rFonts w:ascii="Times New Roman" w:cs="Times New Roman" w:eastAsia="Times New Roman" w:hAnsi="Times New Roman"/>
          <w:sz w:val="18"/>
          <w:szCs w:val="18"/>
          <w:color w:val="auto"/>
        </w:rPr>
        <w:t>”). If an L/C Draw Notice with respect to a Letter of Credit is received by the Borrower (x) on or prior to 11:00 a.m. on the date of any payment by the applicable L/C Issuer under such Letter of Credit (each such date a payment is made by an L/C Issuer</w:t>
      </w:r>
    </w:p>
    <w:p>
      <w:pPr>
        <w:spacing w:after="0" w:line="184"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83820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80"/>
        <w:spacing w:after="0" w:line="270" w:lineRule="auto"/>
        <w:rPr>
          <w:sz w:val="20"/>
          <w:szCs w:val="20"/>
          <w:color w:val="auto"/>
        </w:rPr>
      </w:pPr>
      <w:r>
        <w:rPr>
          <w:rFonts w:ascii="Times New Roman" w:cs="Times New Roman" w:eastAsia="Times New Roman" w:hAnsi="Times New Roman"/>
          <w:sz w:val="17"/>
          <w:szCs w:val="17"/>
          <w:color w:val="auto"/>
        </w:rPr>
        <w:t>under a Letter of Credit being referred to herein as an “</w:t>
      </w:r>
      <w:r>
        <w:rPr>
          <w:rFonts w:ascii="Times New Roman" w:cs="Times New Roman" w:eastAsia="Times New Roman" w:hAnsi="Times New Roman"/>
          <w:sz w:val="17"/>
          <w:szCs w:val="17"/>
          <w:u w:val="single" w:color="auto"/>
          <w:color w:val="auto"/>
        </w:rPr>
        <w:t>Honor Date</w:t>
      </w:r>
      <w:r>
        <w:rPr>
          <w:rFonts w:ascii="Times New Roman" w:cs="Times New Roman" w:eastAsia="Times New Roman" w:hAnsi="Times New Roman"/>
          <w:sz w:val="17"/>
          <w:szCs w:val="17"/>
          <w:color w:val="auto"/>
        </w:rPr>
        <w:t xml:space="preserve">”), then, not later than 12:00 p.m. on the Honor Date, the Borrower shall reimburse the applicable L/C Issuer through the Administrative Agent in an amount equal to the amount of such drawing or (y) after 11:00 a.m. on the Honor Date, then, not later than 11:00 a.m. on the first Business Day following the Honor Date, the Borrower shall reimburse the applicable L/C Issuer through the Administrative Agent in an amount equal to the amount of such drawing (such date on which the Borrower, pursuant to </w:t>
      </w:r>
      <w:r>
        <w:rPr>
          <w:rFonts w:ascii="Times New Roman" w:cs="Times New Roman" w:eastAsia="Times New Roman" w:hAnsi="Times New Roman"/>
          <w:sz w:val="17"/>
          <w:szCs w:val="17"/>
          <w:u w:val="single" w:color="auto"/>
          <w:color w:val="auto"/>
        </w:rPr>
        <w:t>clauses</w:t>
      </w:r>
    </w:p>
    <w:p>
      <w:pPr>
        <w:spacing w:after="0" w:line="3" w:lineRule="exact"/>
        <w:rPr>
          <w:sz w:val="20"/>
          <w:szCs w:val="20"/>
          <w:color w:val="auto"/>
        </w:rPr>
      </w:pPr>
    </w:p>
    <w:p>
      <w:pPr>
        <w:ind w:left="4" w:right="20" w:hanging="4"/>
        <w:spacing w:after="0" w:line="267" w:lineRule="auto"/>
        <w:tabs>
          <w:tab w:leader="none" w:pos="259" w:val="left"/>
        </w:tabs>
        <w:numPr>
          <w:ilvl w:val="0"/>
          <w:numId w:val="136"/>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 xml:space="preserve">and </w:t>
      </w:r>
      <w:r>
        <w:rPr>
          <w:rFonts w:ascii="Times New Roman" w:cs="Times New Roman" w:eastAsia="Times New Roman" w:hAnsi="Times New Roman"/>
          <w:sz w:val="17"/>
          <w:szCs w:val="17"/>
          <w:u w:val="single" w:color="auto"/>
          <w:color w:val="auto"/>
        </w:rPr>
        <w:t>(y)</w:t>
      </w:r>
      <w:r>
        <w:rPr>
          <w:rFonts w:ascii="Times New Roman" w:cs="Times New Roman" w:eastAsia="Times New Roman" w:hAnsi="Times New Roman"/>
          <w:sz w:val="17"/>
          <w:szCs w:val="17"/>
          <w:color w:val="auto"/>
        </w:rPr>
        <w:t xml:space="preserve"> of this sentence, are required to reimburse an L/C Issuer for a drawing under a Letter of Credit is referred to herein as the “</w:t>
      </w:r>
      <w:r>
        <w:rPr>
          <w:rFonts w:ascii="Times New Roman" w:cs="Times New Roman" w:eastAsia="Times New Roman" w:hAnsi="Times New Roman"/>
          <w:sz w:val="17"/>
          <w:szCs w:val="17"/>
          <w:u w:val="single" w:color="auto"/>
          <w:color w:val="auto"/>
        </w:rPr>
        <w:t>L/C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Reimbursement Date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if the L/C Reimbursement Date for a drawing under a Letter of Credit is the Business Day following the Honor Date pursuant to </w:t>
      </w:r>
      <w:r>
        <w:rPr>
          <w:rFonts w:ascii="Times New Roman" w:cs="Times New Roman" w:eastAsia="Times New Roman" w:hAnsi="Times New Roman"/>
          <w:sz w:val="17"/>
          <w:szCs w:val="17"/>
          <w:u w:val="single" w:color="auto"/>
          <w:color w:val="auto"/>
        </w:rPr>
        <w:t>clause (y)</w:t>
      </w:r>
      <w:r>
        <w:rPr>
          <w:rFonts w:ascii="Times New Roman" w:cs="Times New Roman" w:eastAsia="Times New Roman" w:hAnsi="Times New Roman"/>
          <w:sz w:val="17"/>
          <w:szCs w:val="17"/>
          <w:color w:val="auto"/>
        </w:rPr>
        <w:t xml:space="preserve"> of this sentence, the Unreimbursed Amount shall accrue interest from and including the Honor Date until such time as the applicable L/C Issuer is reimbursed in full therefor (whether through payment by the Borrower and/or through a Committed Loan or L/C Borrowing made in accordance with paragraph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2.03(c)</w:t>
      </w:r>
      <w:r>
        <w:rPr>
          <w:rFonts w:ascii="Times New Roman" w:cs="Times New Roman" w:eastAsia="Times New Roman" w:hAnsi="Times New Roman"/>
          <w:sz w:val="17"/>
          <w:szCs w:val="17"/>
          <w:color w:val="auto"/>
        </w:rPr>
        <w:t>) at a rate equal to (A) for the period from and including the Honor Date to but excluding the first Business Day to occur thereafter, the rate of interest then applicable to a Committed Loan that is a Base Rate Committed Loan and (B) thereafter, at the Default Rate applicable to a Committed Loan that is a Base Rate Committed Loan. Interest accruing on the Unreimbursed Amount pursuant to the proviso to the immediately preceding sentence shall be payable by the Borrower upon demand to the Administrative Agent, solely for the account of the applicable L/C Issuer. If the Borrower fails to so reimburse the applicable L/C Issuer by such time, the Administrative Agent shall promptly notify each Lender of the Honor Date, the amount of the unreimbursed drawing (the “</w:t>
      </w:r>
      <w:r>
        <w:rPr>
          <w:rFonts w:ascii="Times New Roman" w:cs="Times New Roman" w:eastAsia="Times New Roman" w:hAnsi="Times New Roman"/>
          <w:sz w:val="17"/>
          <w:szCs w:val="17"/>
          <w:u w:val="single" w:color="auto"/>
          <w:color w:val="auto"/>
        </w:rPr>
        <w:t>Unreimbursed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Amount</w:t>
      </w:r>
      <w:r>
        <w:rPr>
          <w:rFonts w:ascii="Times New Roman" w:cs="Times New Roman" w:eastAsia="Times New Roman" w:hAnsi="Times New Roman"/>
          <w:sz w:val="17"/>
          <w:szCs w:val="17"/>
          <w:color w:val="auto"/>
        </w:rPr>
        <w:t xml:space="preserve">”), and the amount of such Lender’s Applicable Percentage thereof. In such event, the Borrower shall be deemed to have requested a Committed Loan of Base Rate Loans to be disbursed on the Honor Date in an amount equal to the Unreimbursed Amount, without regard to the minimum specified in </w:t>
      </w:r>
      <w:r>
        <w:rPr>
          <w:rFonts w:ascii="Times New Roman" w:cs="Times New Roman" w:eastAsia="Times New Roman" w:hAnsi="Times New Roman"/>
          <w:sz w:val="17"/>
          <w:szCs w:val="17"/>
          <w:u w:val="single" w:color="auto"/>
          <w:color w:val="auto"/>
        </w:rPr>
        <w:t>Section 2.02</w:t>
      </w:r>
      <w:r>
        <w:rPr>
          <w:rFonts w:ascii="Times New Roman" w:cs="Times New Roman" w:eastAsia="Times New Roman" w:hAnsi="Times New Roman"/>
          <w:sz w:val="17"/>
          <w:szCs w:val="17"/>
          <w:color w:val="auto"/>
        </w:rPr>
        <w:t xml:space="preserve"> for the principal amount of Base Rate Loans, but subject to the amount of the unutilized portion of the Commitments and the conditions set forth in </w:t>
      </w:r>
      <w:r>
        <w:rPr>
          <w:rFonts w:ascii="Times New Roman" w:cs="Times New Roman" w:eastAsia="Times New Roman" w:hAnsi="Times New Roman"/>
          <w:sz w:val="17"/>
          <w:szCs w:val="17"/>
          <w:u w:val="single" w:color="auto"/>
          <w:color w:val="auto"/>
        </w:rPr>
        <w:t>Section 4.02</w:t>
      </w:r>
      <w:r>
        <w:rPr>
          <w:rFonts w:ascii="Times New Roman" w:cs="Times New Roman" w:eastAsia="Times New Roman" w:hAnsi="Times New Roman"/>
          <w:sz w:val="17"/>
          <w:szCs w:val="17"/>
          <w:color w:val="auto"/>
        </w:rPr>
        <w:t xml:space="preserve"> (other than the delivery of a Committed Loan Notice). Any notice given by an L/C Issuer or the Administrative Agent pursuant to this </w:t>
      </w:r>
      <w:r>
        <w:rPr>
          <w:rFonts w:ascii="Times New Roman" w:cs="Times New Roman" w:eastAsia="Times New Roman" w:hAnsi="Times New Roman"/>
          <w:sz w:val="17"/>
          <w:szCs w:val="17"/>
          <w:u w:val="single" w:color="auto"/>
          <w:color w:val="auto"/>
        </w:rPr>
        <w:t>Section 2.03(c)(i)</w:t>
      </w:r>
      <w:r>
        <w:rPr>
          <w:rFonts w:ascii="Times New Roman" w:cs="Times New Roman" w:eastAsia="Times New Roman" w:hAnsi="Times New Roman"/>
          <w:sz w:val="17"/>
          <w:szCs w:val="17"/>
          <w:color w:val="auto"/>
        </w:rPr>
        <w:t xml:space="preserve"> may be given by telephone if promptly (and, in any event, on the same Business Day) confirmed in writing;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lack of such a prompt confirmation shall not affect the conclusiveness or binding effect of such notice.</w:t>
      </w:r>
    </w:p>
    <w:p>
      <w:pPr>
        <w:spacing w:after="0" w:line="392" w:lineRule="exact"/>
        <w:rPr>
          <w:rFonts w:ascii="Times New Roman" w:cs="Times New Roman" w:eastAsia="Times New Roman" w:hAnsi="Times New Roman"/>
          <w:sz w:val="17"/>
          <w:szCs w:val="17"/>
          <w:u w:val="single" w:color="auto"/>
          <w:color w:val="auto"/>
        </w:rPr>
      </w:pPr>
    </w:p>
    <w:p>
      <w:pPr>
        <w:ind w:left="4" w:right="60" w:firstLine="645"/>
        <w:spacing w:after="0" w:line="258" w:lineRule="auto"/>
        <w:tabs>
          <w:tab w:leader="none" w:pos="1331"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upon any notice pursuant to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xml:space="preserve"> make funds available (and the Administrative Agent may apply Cash Collateral provided for this purpose) for the account of the applicable L/C Issuer at the Administrative Agent’s Office in an amount equal to its Applicable Percentage of the Unreimbursed Amount not later than 1:00 p.m. on the Business Day specified in such notice by the Administrative Agent, whereupon, subject to the provisions of </w:t>
      </w:r>
      <w:r>
        <w:rPr>
          <w:rFonts w:ascii="Times New Roman" w:cs="Times New Roman" w:eastAsia="Times New Roman" w:hAnsi="Times New Roman"/>
          <w:sz w:val="18"/>
          <w:szCs w:val="18"/>
          <w:u w:val="single" w:color="auto"/>
          <w:color w:val="auto"/>
        </w:rPr>
        <w:t>Section 2.03(c)(iii)</w:t>
      </w:r>
      <w:r>
        <w:rPr>
          <w:rFonts w:ascii="Times New Roman" w:cs="Times New Roman" w:eastAsia="Times New Roman" w:hAnsi="Times New Roman"/>
          <w:sz w:val="18"/>
          <w:szCs w:val="18"/>
          <w:color w:val="auto"/>
        </w:rPr>
        <w:t>, each Lender that so makes funds available shall be deemed to have made a Base Rate Committed Loan to the Borrower in such amount. The Administrative Agent shall remit the funds so received to the applicable L/C Issuer.</w:t>
      </w:r>
    </w:p>
    <w:p>
      <w:pPr>
        <w:spacing w:after="0" w:line="183" w:lineRule="exact"/>
        <w:rPr>
          <w:rFonts w:ascii="Times New Roman" w:cs="Times New Roman" w:eastAsia="Times New Roman" w:hAnsi="Times New Roman"/>
          <w:sz w:val="18"/>
          <w:szCs w:val="18"/>
          <w:color w:val="auto"/>
        </w:rPr>
      </w:pPr>
    </w:p>
    <w:p>
      <w:pPr>
        <w:ind w:left="4" w:right="420" w:firstLine="645"/>
        <w:spacing w:after="0" w:line="282" w:lineRule="auto"/>
        <w:tabs>
          <w:tab w:leader="none" w:pos="1341"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Unreimbursed Amount that is not fully refinanced by a Committed Loan of Base Rate Loans because the conditions set forth in </w:t>
      </w:r>
      <w:r>
        <w:rPr>
          <w:rFonts w:ascii="Times New Roman" w:cs="Times New Roman" w:eastAsia="Times New Roman" w:hAnsi="Times New Roman"/>
          <w:sz w:val="18"/>
          <w:szCs w:val="18"/>
          <w:u w:val="single" w:color="auto"/>
          <w:color w:val="auto"/>
        </w:rPr>
        <w:t>Section 4.02</w:t>
      </w:r>
    </w:p>
    <w:p>
      <w:pPr>
        <w:spacing w:after="0" w:line="162"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83820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180"/>
        <w:spacing w:after="0" w:line="258" w:lineRule="auto"/>
        <w:rPr>
          <w:sz w:val="20"/>
          <w:szCs w:val="20"/>
          <w:color w:val="auto"/>
        </w:rPr>
      </w:pPr>
      <w:r>
        <w:rPr>
          <w:rFonts w:ascii="Times New Roman" w:cs="Times New Roman" w:eastAsia="Times New Roman" w:hAnsi="Times New Roman"/>
          <w:sz w:val="18"/>
          <w:szCs w:val="18"/>
          <w:color w:val="auto"/>
        </w:rPr>
        <w:t xml:space="preserve">cannot be satisfied or for any other reason, the Borrower shall be deemed to have incurred from the applicable L/C Issuer an L/C Borrowing in the amount of the Unreimbursed Amount that is not so refinanced, which L/C Borrowing shall be due and payable on demand (together with interest) and shall bear interest at the Default Rate. In such event, each Lender’s payment to the Administrative Agent for the account of the applicable L/C Issuer pursuant to </w:t>
      </w:r>
      <w:r>
        <w:rPr>
          <w:rFonts w:ascii="Times New Roman" w:cs="Times New Roman" w:eastAsia="Times New Roman" w:hAnsi="Times New Roman"/>
          <w:sz w:val="18"/>
          <w:szCs w:val="18"/>
          <w:u w:val="single" w:color="auto"/>
          <w:color w:val="auto"/>
        </w:rPr>
        <w:t>Section 2.03(c)(ii)</w:t>
      </w:r>
      <w:r>
        <w:rPr>
          <w:rFonts w:ascii="Times New Roman" w:cs="Times New Roman" w:eastAsia="Times New Roman" w:hAnsi="Times New Roman"/>
          <w:sz w:val="18"/>
          <w:szCs w:val="18"/>
          <w:color w:val="auto"/>
        </w:rPr>
        <w:t xml:space="preserve"> shall be deemed payment in respect of its participation in such L/C Borrowing and shall constitute an L/C Advance from such Lender in satisfaction of its participation obligation under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4" w:firstLine="645"/>
        <w:spacing w:after="0" w:line="313" w:lineRule="auto"/>
        <w:tabs>
          <w:tab w:leader="none" w:pos="1317"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Until each Lender funds its Committed Loan or L/C Advance pursuant to this </w:t>
      </w:r>
      <w:r>
        <w:rPr>
          <w:rFonts w:ascii="Times New Roman" w:cs="Times New Roman" w:eastAsia="Times New Roman" w:hAnsi="Times New Roman"/>
          <w:sz w:val="17"/>
          <w:szCs w:val="17"/>
          <w:u w:val="single" w:color="auto"/>
          <w:color w:val="auto"/>
        </w:rPr>
        <w:t>Section 2.03(c)</w:t>
      </w:r>
      <w:r>
        <w:rPr>
          <w:rFonts w:ascii="Times New Roman" w:cs="Times New Roman" w:eastAsia="Times New Roman" w:hAnsi="Times New Roman"/>
          <w:sz w:val="17"/>
          <w:szCs w:val="17"/>
          <w:color w:val="auto"/>
        </w:rPr>
        <w:t xml:space="preserve"> to reimburse the applicable L/C Issuer for any amount drawn under any Letter of Credit, interest in respect of such Lender’s Applicable Percentage of such amount shall be solely for</w:t>
      </w:r>
    </w:p>
    <w:p>
      <w:pPr>
        <w:sectPr>
          <w:pgSz w:w="11900" w:h="16957" w:orient="portrait"/>
          <w:cols w:equalWidth="0" w:num="1">
            <w:col w:w="10764"/>
          </w:cols>
          <w:pgMar w:left="896" w:top="121" w:right="239" w:bottom="0" w:gutter="0" w:footer="0" w:header="0"/>
        </w:sectPr>
      </w:pPr>
    </w:p>
    <w:bookmarkStart w:id="68" w:name="page69"/>
    <w:bookmarkEnd w:id="68"/>
    <w:p>
      <w:pPr>
        <w:ind w:left="620"/>
        <w:spacing w:after="0"/>
        <w:rPr>
          <w:sz w:val="20"/>
          <w:szCs w:val="20"/>
          <w:color w:val="auto"/>
        </w:rPr>
      </w:pPr>
      <w:r>
        <w:rPr>
          <w:rFonts w:ascii="Times New Roman" w:cs="Times New Roman" w:eastAsia="Times New Roman" w:hAnsi="Times New Roman"/>
          <w:sz w:val="18"/>
          <w:szCs w:val="18"/>
          <w:color w:val="auto"/>
        </w:rPr>
        <w:t>the account of such L/C Issuer.</w:t>
      </w:r>
    </w:p>
    <w:p>
      <w:pPr>
        <w:spacing w:after="0" w:line="225" w:lineRule="exact"/>
        <w:rPr>
          <w:sz w:val="20"/>
          <w:szCs w:val="20"/>
          <w:color w:val="auto"/>
        </w:rPr>
      </w:pPr>
    </w:p>
    <w:p>
      <w:pPr>
        <w:ind w:left="620" w:firstLine="645"/>
        <w:spacing w:after="0" w:line="255" w:lineRule="auto"/>
        <w:tabs>
          <w:tab w:leader="none" w:pos="192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Lender’s obligation to make Committed Loans or L/C Advances to reimburse an L/C Issuer for amounts drawn under Letters of Credit, as contemplated by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shall be absolute and unconditional and shall not be affected by any circumstance, including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any setoff, counterclaim, recoupment, defense or other right which such Lender may have against such L/C Issuer, the Borrower or any other Person for any reason whatsoever;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occurrence or continuance of a Default, or (C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any other occurrence, event or condition, whether or not similar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Lender’s obligation to make Committed Loans pursuant to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is subject to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(other than delivery by the Borrower of a Committed Loan Notice). No such making of an L/C Advance shall relieve or otherwise impair the obligation of the Borrower to reimburse an L/C Issuer for the amount of any payment made by such L/C Issuer under any Letter of Credit, together with interest as provided herein.</w:t>
      </w:r>
    </w:p>
    <w:p>
      <w:pPr>
        <w:spacing w:after="0" w:line="185" w:lineRule="exact"/>
        <w:rPr>
          <w:rFonts w:ascii="Times New Roman" w:cs="Times New Roman" w:eastAsia="Times New Roman" w:hAnsi="Times New Roman"/>
          <w:sz w:val="18"/>
          <w:szCs w:val="18"/>
          <w:color w:val="auto"/>
        </w:rPr>
      </w:pPr>
    </w:p>
    <w:p>
      <w:pPr>
        <w:ind w:left="620" w:firstLine="645"/>
        <w:spacing w:after="0" w:line="254" w:lineRule="auto"/>
        <w:tabs>
          <w:tab w:leader="none" w:pos="193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fails to make available to the Administrative Agent for the account of an L/C Issuer any amount required to be paid by such Lender pursuant to the foregoing provisions of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by the time specified in </w:t>
      </w:r>
      <w:r>
        <w:rPr>
          <w:rFonts w:ascii="Times New Roman" w:cs="Times New Roman" w:eastAsia="Times New Roman" w:hAnsi="Times New Roman"/>
          <w:sz w:val="18"/>
          <w:szCs w:val="18"/>
          <w:u w:val="single" w:color="auto"/>
          <w:color w:val="auto"/>
        </w:rPr>
        <w:t>Section 2.03(c)(ii)</w:t>
      </w:r>
      <w:r>
        <w:rPr>
          <w:rFonts w:ascii="Times New Roman" w:cs="Times New Roman" w:eastAsia="Times New Roman" w:hAnsi="Times New Roman"/>
          <w:sz w:val="18"/>
          <w:szCs w:val="18"/>
          <w:color w:val="auto"/>
        </w:rPr>
        <w:t xml:space="preserve">, then, without limiting the other provisions of this Agreement,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greater of the Federal Funds Rate and a rate determined by such L/C Issuer in accordance with banking industry rules on interbank compensation, plus any administrative, processing or similar fees customarily charged by such L/C Issuer in connection with the foregoing. If such Lender pays such amount (with interest and fees as aforesaid), the amount so paid shall constitute such Lender’s Committed Loan included in the relevant Committed Loan or L/C Advance in respect of the relevant L/C Borrowing, as the case may be. A certificate of the applicable L/C Issuer submitted to any Lender (through the Administrative Agent) with respect to any amounts owing under this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color w:val="auto"/>
        </w:rPr>
        <w:t xml:space="preserve"> shall be conclusive absent manifest error.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83820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hanging="664"/>
        <w:spacing w:after="0"/>
        <w:tabs>
          <w:tab w:leader="none" w:pos="12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of Participations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20" w:right="40" w:firstLine="645"/>
        <w:spacing w:after="0" w:line="258" w:lineRule="auto"/>
        <w:tabs>
          <w:tab w:leader="none" w:pos="1938"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after an L/C Issuer has made a payment under any Letter of Credit and has received from any Lender such Lender’s L/C Advance in respect of such payment in accordance with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if the Administrative Agent receives for the account of such L/C Issuer any payment in respect of the related Unreimbursed Amount or interest thereon (whether directly from the Borrower or otherwise, including proceeds of Cash Collateral applied thereto by the Administrative Agent), the Administrative Agent will distribute to such Lender its Applicable Percentage thereof in the same funds as those received by the Administrative Agent.</w:t>
      </w:r>
    </w:p>
    <w:p>
      <w:pPr>
        <w:spacing w:after="0" w:line="183" w:lineRule="exact"/>
        <w:rPr>
          <w:rFonts w:ascii="Times New Roman" w:cs="Times New Roman" w:eastAsia="Times New Roman" w:hAnsi="Times New Roman"/>
          <w:sz w:val="18"/>
          <w:szCs w:val="18"/>
          <w:color w:val="auto"/>
        </w:rPr>
      </w:pPr>
    </w:p>
    <w:p>
      <w:pPr>
        <w:ind w:left="620" w:firstLine="645"/>
        <w:spacing w:after="0" w:line="256" w:lineRule="auto"/>
        <w:tabs>
          <w:tab w:leader="none" w:pos="1947"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payment received by the Administrative Agent for the account of an L/C Issuer pursuant to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xml:space="preserve"> is required to be returned under any of the circumstances described in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(including pursuant to any settlement entered into by such L/C Issuer in its discretion), each Lender shall pay to the Administrative Agent for the account of such L/C Issuer its Applicable Percentage thereof on demand of the Administrative Agent, plus interest thereon from the date of such demand to the date such amount is returned by such Lender, at a rate per annum equal to the Federal Funds Rate from time to time in effect. The obligations of the Lenders under this clause shall survive the payment in full of the Obligations and the termination of this Agreement.</w:t>
      </w:r>
    </w:p>
    <w:p>
      <w:pPr>
        <w:spacing w:after="0" w:line="187" w:lineRule="exact"/>
        <w:rPr>
          <w:rFonts w:ascii="Times New Roman" w:cs="Times New Roman" w:eastAsia="Times New Roman" w:hAnsi="Times New Roman"/>
          <w:sz w:val="18"/>
          <w:szCs w:val="18"/>
          <w:color w:val="auto"/>
        </w:rPr>
      </w:pPr>
    </w:p>
    <w:p>
      <w:pPr>
        <w:ind w:left="-40" w:right="80" w:firstLine="656"/>
        <w:spacing w:after="0" w:line="266" w:lineRule="auto"/>
        <w:tabs>
          <w:tab w:leader="none" w:pos="1267"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The obligation of the Borrower to reimburse the applicable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76" w:lineRule="exact"/>
        <w:rPr>
          <w:rFonts w:ascii="Times New Roman" w:cs="Times New Roman" w:eastAsia="Times New Roman" w:hAnsi="Times New Roman"/>
          <w:sz w:val="18"/>
          <w:szCs w:val="18"/>
          <w:color w:val="auto"/>
        </w:rPr>
      </w:pPr>
    </w:p>
    <w:p>
      <w:pPr>
        <w:ind w:left="1940" w:hanging="675"/>
        <w:spacing w:after="0"/>
        <w:tabs>
          <w:tab w:leader="none" w:pos="194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such Letter of Credit, this Agreement, or any other Loan Document;</w:t>
      </w:r>
    </w:p>
    <w:p>
      <w:pPr>
        <w:spacing w:after="0" w:line="225" w:lineRule="exact"/>
        <w:rPr>
          <w:rFonts w:ascii="Times New Roman" w:cs="Times New Roman" w:eastAsia="Times New Roman" w:hAnsi="Times New Roman"/>
          <w:sz w:val="18"/>
          <w:szCs w:val="18"/>
          <w:color w:val="auto"/>
        </w:rPr>
      </w:pPr>
    </w:p>
    <w:p>
      <w:pPr>
        <w:ind w:left="620" w:right="120" w:firstLine="645"/>
        <w:spacing w:after="0" w:line="261" w:lineRule="auto"/>
        <w:tabs>
          <w:tab w:leader="none" w:pos="1947"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the applicable L/C Issuer or any other Person, whether in connection with this Agreement, the transactions contemplated hereby or by such Letter of Credit or any agreement or instrument relating thereto, or any unrelated transaction;</w:t>
      </w:r>
    </w:p>
    <w:p>
      <w:pPr>
        <w:spacing w:after="0" w:line="180" w:lineRule="exact"/>
        <w:rPr>
          <w:rFonts w:ascii="Times New Roman" w:cs="Times New Roman" w:eastAsia="Times New Roman" w:hAnsi="Times New Roman"/>
          <w:sz w:val="18"/>
          <w:szCs w:val="18"/>
          <w:color w:val="auto"/>
        </w:rPr>
      </w:pPr>
    </w:p>
    <w:p>
      <w:pPr>
        <w:jc w:val="both"/>
        <w:ind w:left="620" w:right="40" w:firstLine="645"/>
        <w:spacing w:after="0" w:line="266" w:lineRule="auto"/>
        <w:tabs>
          <w:tab w:leader="none" w:pos="1957"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76" w:lineRule="exact"/>
        <w:rPr>
          <w:rFonts w:ascii="Times New Roman" w:cs="Times New Roman" w:eastAsia="Times New Roman" w:hAnsi="Times New Roman"/>
          <w:sz w:val="18"/>
          <w:szCs w:val="18"/>
          <w:color w:val="auto"/>
        </w:rPr>
      </w:pPr>
    </w:p>
    <w:p>
      <w:pPr>
        <w:ind w:left="620" w:right="260" w:firstLine="645"/>
        <w:spacing w:after="0" w:line="282" w:lineRule="auto"/>
        <w:tabs>
          <w:tab w:leader="none" w:pos="1933"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by the applicable L/C Issuer of any requirement that exists for such L/C Issuer’s protection and not the protection of the Borrower or any waiver by the applicable L/C Issuer which does not in fact materially prejudice the Borrower;</w:t>
      </w:r>
    </w:p>
    <w:p>
      <w:pPr>
        <w:spacing w:after="0" w:line="161" w:lineRule="exact"/>
        <w:rPr>
          <w:rFonts w:ascii="Times New Roman" w:cs="Times New Roman" w:eastAsia="Times New Roman" w:hAnsi="Times New Roman"/>
          <w:sz w:val="18"/>
          <w:szCs w:val="18"/>
          <w:color w:val="auto"/>
        </w:rPr>
      </w:pPr>
    </w:p>
    <w:p>
      <w:pPr>
        <w:ind w:left="1920" w:hanging="655"/>
        <w:spacing w:after="0"/>
        <w:tabs>
          <w:tab w:leader="none" w:pos="192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honor of a demand for payment presented electronically even if such Letter of Credit requires that demand be in the form of a</w:t>
      </w:r>
    </w:p>
    <w:p>
      <w:pPr>
        <w:spacing w:after="0" w:line="27"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draft;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83820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20" w:right="20" w:firstLine="645"/>
        <w:spacing w:after="0" w:line="266" w:lineRule="auto"/>
        <w:tabs>
          <w:tab w:leader="none" w:pos="193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made by the applicable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76" w:lineRule="exact"/>
        <w:rPr>
          <w:rFonts w:ascii="Times New Roman" w:cs="Times New Roman" w:eastAsia="Times New Roman" w:hAnsi="Times New Roman"/>
          <w:sz w:val="18"/>
          <w:szCs w:val="18"/>
          <w:color w:val="auto"/>
        </w:rPr>
      </w:pPr>
    </w:p>
    <w:p>
      <w:pPr>
        <w:ind w:left="620" w:right="160" w:firstLine="645"/>
        <w:spacing w:after="0" w:line="258" w:lineRule="auto"/>
        <w:tabs>
          <w:tab w:leader="none" w:pos="194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by the applicable L/C Issuer under such Letter of Credit against presentation of a draft or certificate that does not comply with the terms of such Letter of Credit; or any payment made by the applicable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ectPr>
          <w:pgSz w:w="11900" w:h="16838" w:orient="portrait"/>
          <w:cols w:equalWidth="0" w:num="1">
            <w:col w:w="11340"/>
          </w:cols>
          <w:pgMar w:left="280" w:top="121" w:right="279" w:bottom="0" w:gutter="0" w:footer="0" w:header="0"/>
        </w:sectPr>
      </w:pPr>
    </w:p>
    <w:bookmarkStart w:id="69" w:name="page70"/>
    <w:bookmarkEnd w:id="69"/>
    <w:p>
      <w:pPr>
        <w:ind w:left="660" w:right="60" w:firstLine="645"/>
        <w:spacing w:after="0" w:line="282" w:lineRule="auto"/>
        <w:tabs>
          <w:tab w:leader="none" w:pos="199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or happening whatsoever, whether or not similar to any of the foregoing, including any other circumstance that might otherwise constitute a defense available to, or a discharge of, the Borrower or any Subsidiary.</w:t>
      </w:r>
    </w:p>
    <w:p>
      <w:pPr>
        <w:spacing w:after="0" w:line="162" w:lineRule="exact"/>
        <w:rPr>
          <w:sz w:val="20"/>
          <w:szCs w:val="20"/>
          <w:color w:val="auto"/>
        </w:rPr>
      </w:pPr>
    </w:p>
    <w:p>
      <w:pPr>
        <w:ind w:right="80" w:firstLine="648"/>
        <w:spacing w:after="0" w:line="289" w:lineRule="auto"/>
        <w:rPr>
          <w:sz w:val="20"/>
          <w:szCs w:val="20"/>
          <w:color w:val="auto"/>
        </w:rPr>
      </w:pPr>
      <w:r>
        <w:rPr>
          <w:rFonts w:ascii="Times New Roman" w:cs="Times New Roman" w:eastAsia="Times New Roman" w:hAnsi="Times New Roman"/>
          <w:sz w:val="17"/>
          <w:szCs w:val="17"/>
          <w:color w:val="auto"/>
        </w:rPr>
        <w:t>The Borrower shall promptly examine a copy of each Letter of Credit and each amendment thereto that is delivered to it and, in the event of any claim of noncompliance with the Borrower’s instructions or other irregularity, the Borrower will promptly notify the applicable L/C Issuer. The Borrower shall be conclusively deemed to have waived any such claim against the applicable L/C Issuer and its correspondents unless such notice is given as aforesaid.</w:t>
      </w:r>
    </w:p>
    <w:p>
      <w:pPr>
        <w:spacing w:after="0" w:line="158" w:lineRule="exact"/>
        <w:rPr>
          <w:sz w:val="20"/>
          <w:szCs w:val="20"/>
          <w:color w:val="auto"/>
        </w:rPr>
      </w:pPr>
    </w:p>
    <w:p>
      <w:pPr>
        <w:ind w:right="80" w:firstLine="656"/>
        <w:spacing w:after="0" w:line="252" w:lineRule="auto"/>
        <w:tabs>
          <w:tab w:leader="none" w:pos="130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Role of L/C Issuer</w:t>
      </w:r>
      <w:r>
        <w:rPr>
          <w:rFonts w:ascii="Times New Roman" w:cs="Times New Roman" w:eastAsia="Times New Roman" w:hAnsi="Times New Roman"/>
          <w:sz w:val="18"/>
          <w:szCs w:val="18"/>
          <w:color w:val="auto"/>
        </w:rPr>
        <w:t xml:space="preserve">. Each Lender and the Borrower agree that, in paying any drawing under a Letter of Credit, no L/C Issuer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the Administrative Agent, any of their respective Related Parties nor any correspondent, participant or assignee of any L/C Issuer shall be liable to any Lender for (i) 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assumption is not intended to, and shall not, preclude the Borrower’s pursuing such rights and remedies as it may have against the beneficiary or transferee at law or under any other agreement. None of the L/C Issuers, the Administrative Agent, any of their respective Related Parties nor any correspondent, participant or assignee of any L/C Issuer shall be liable or responsible for any of the matters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2.03(e)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anything in such clauses to the contrary notwithstanding, the Borrower may have a claim against an L/C Issuer, and such L/C Issuer may be liable to the Borrower, to the extent, but only to the extent, of any direct, as opposed to special, indirect, consequential, exemplary or punitive, damages suffered by the Borrower which the Borrower proves were caused by such L/C Issuer’s willful misconduct or gross negligence as determined by a court of competent jurisdiction by final and nonappealable judgment. In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furtherance and not in limitation of the foregoing, an L/C Issuer may accept documents that appear on their face to be in order, without responsibility for further investigation, regardless of any notice or information to the contrary, and such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An L/C Issuer may send a Letter of Credit or conduct any communication to or from the beneficiary via the Society for Worldwide Interbank Financial Telecommunication (“</w:t>
      </w:r>
      <w:r>
        <w:rPr>
          <w:rFonts w:ascii="Times New Roman" w:cs="Times New Roman" w:eastAsia="Times New Roman" w:hAnsi="Times New Roman"/>
          <w:sz w:val="18"/>
          <w:szCs w:val="18"/>
          <w:u w:val="single" w:color="auto"/>
          <w:color w:val="auto"/>
        </w:rPr>
        <w:t>SWIFT</w:t>
      </w:r>
      <w:r>
        <w:rPr>
          <w:rFonts w:ascii="Times New Roman" w:cs="Times New Roman" w:eastAsia="Times New Roman" w:hAnsi="Times New Roman"/>
          <w:sz w:val="18"/>
          <w:szCs w:val="18"/>
          <w:color w:val="auto"/>
        </w:rPr>
        <w:t>”) message or overnight courier, or any other commercially reasonable means of communicating with a beneficiary.</w:t>
      </w:r>
    </w:p>
    <w:p>
      <w:pPr>
        <w:spacing w:after="0" w:line="188" w:lineRule="exact"/>
        <w:rPr>
          <w:sz w:val="20"/>
          <w:szCs w:val="20"/>
          <w:color w:val="auto"/>
        </w:rPr>
      </w:pPr>
    </w:p>
    <w:p>
      <w:pPr>
        <w:ind w:firstLine="656"/>
        <w:spacing w:after="0" w:line="255" w:lineRule="auto"/>
        <w:tabs>
          <w:tab w:leader="none" w:pos="131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Applicability of ISP and UCP; Limitation of Liability</w:t>
      </w:r>
      <w:r>
        <w:rPr>
          <w:rFonts w:ascii="Times New Roman" w:cs="Times New Roman" w:eastAsia="Times New Roman" w:hAnsi="Times New Roman"/>
          <w:sz w:val="18"/>
          <w:szCs w:val="18"/>
          <w:color w:val="auto"/>
        </w:rPr>
        <w:t>. Unless otherwise expressly agreed by an L/C Issuer and the Borrower when a Letter of Credit is issued, the rules of the ISP or UCP shall apply to each Letter of Credit. Notwithstanding the foregoing, no L/C Issuer shall be responsible to the Borrower for, and no L/C Issuer’s rights and remedies against the Borrower shall be impaired by, any action or inaction of such L/C Issuer required or permitted under any law, order, or practice that is required or permitted to be applied to any Letter of Credit or this Agreement, including the Law or any order of a jurisdiction where the applicable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8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Fees</w:t>
      </w:r>
      <w:r>
        <w:rPr>
          <w:rFonts w:ascii="Times New Roman" w:cs="Times New Roman" w:eastAsia="Times New Roman" w:hAnsi="Times New Roman"/>
          <w:sz w:val="18"/>
          <w:szCs w:val="18"/>
          <w:color w:val="auto"/>
        </w:rPr>
        <w:t>. The Borrower shall pay to the Administrative Agent for the account of each Lender in accordance, subject to</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with its Applicable Percentage a Letter of Credit fee (the “</w:t>
      </w:r>
      <w:r>
        <w:rPr>
          <w:rFonts w:ascii="Times New Roman" w:cs="Times New Roman" w:eastAsia="Times New Roman" w:hAnsi="Times New Roman"/>
          <w:sz w:val="18"/>
          <w:szCs w:val="18"/>
          <w:u w:val="single" w:color="auto"/>
          <w:color w:val="auto"/>
        </w:rPr>
        <w:t>Letter of Credit Fee</w:t>
      </w:r>
      <w:r>
        <w:rPr>
          <w:rFonts w:ascii="Times New Roman" w:cs="Times New Roman" w:eastAsia="Times New Roman" w:hAnsi="Times New Roman"/>
          <w:sz w:val="18"/>
          <w:szCs w:val="18"/>
          <w:color w:val="auto"/>
        </w:rPr>
        <w:t xml:space="preserve">”) for each Letter of Credit equal to the Applicable Rate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daily amount available to be drawn under such Letter of Credit.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Letter of Credit Fees shall be (i) due and payable on the last Business Day of each March, June, September and December, commencing with the first such date to occur after the issuance of such Letter of Credit, on the expiry date with respect to such Letter of Credit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is continuing, all Letter of Credit Fees shall accrue at the Default Rate.</w:t>
      </w:r>
    </w:p>
    <w:p>
      <w:pPr>
        <w:spacing w:after="0" w:line="188" w:lineRule="exact"/>
        <w:rPr>
          <w:sz w:val="20"/>
          <w:szCs w:val="20"/>
          <w:color w:val="auto"/>
        </w:rPr>
      </w:pPr>
    </w:p>
    <w:p>
      <w:pPr>
        <w:ind w:firstLine="656"/>
        <w:spacing w:after="0" w:line="258" w:lineRule="auto"/>
        <w:tabs>
          <w:tab w:leader="none" w:pos="131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Fronting Fee and Documentary and Processing Charges Payable to L/C Issuer</w:t>
      </w:r>
      <w:r>
        <w:rPr>
          <w:rFonts w:ascii="Times New Roman" w:cs="Times New Roman" w:eastAsia="Times New Roman" w:hAnsi="Times New Roman"/>
          <w:sz w:val="18"/>
          <w:szCs w:val="18"/>
          <w:color w:val="auto"/>
        </w:rPr>
        <w:t xml:space="preserve">. The Borrower shall pay directly to the applicable L/C Issuer for its own account a fronting fee with respect to each Letter of Credit, at the rate per annum equal to the greater of (a) 0.125%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the daily amount available to be drawn under such Letter of Credit and (b) $500, computed on a quarterly basis in arrears. Such fronting fee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expiry date of such Letter of Credit and thereafter on demand.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In addition, the Borrower shall pay directly to the applicable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184" w:lineRule="exact"/>
        <w:rPr>
          <w:sz w:val="20"/>
          <w:szCs w:val="20"/>
          <w:color w:val="auto"/>
        </w:rPr>
      </w:pPr>
    </w:p>
    <w:p>
      <w:pPr>
        <w:ind w:right="660" w:firstLine="656"/>
        <w:spacing w:after="0" w:line="282" w:lineRule="auto"/>
        <w:tabs>
          <w:tab w:leader="none" w:pos="130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with Issuer Documents</w:t>
      </w:r>
      <w:r>
        <w:rPr>
          <w:rFonts w:ascii="Times New Roman" w:cs="Times New Roman" w:eastAsia="Times New Roman" w:hAnsi="Times New Roman"/>
          <w:sz w:val="18"/>
          <w:szCs w:val="18"/>
          <w:color w:val="auto"/>
        </w:rPr>
        <w:t>. In the event of any conflict or inconsistency between the terms hereof and the terms of any Issuer Document, the terms hereof shall control.</w:t>
      </w:r>
    </w:p>
    <w:p>
      <w:pPr>
        <w:spacing w:after="0" w:line="161" w:lineRule="exact"/>
        <w:rPr>
          <w:rFonts w:ascii="Times New Roman" w:cs="Times New Roman" w:eastAsia="Times New Roman" w:hAnsi="Times New Roman"/>
          <w:sz w:val="18"/>
          <w:szCs w:val="18"/>
          <w:color w:val="auto"/>
        </w:rPr>
      </w:pPr>
    </w:p>
    <w:p>
      <w:pPr>
        <w:ind w:firstLine="656"/>
        <w:spacing w:after="0" w:line="261" w:lineRule="auto"/>
        <w:tabs>
          <w:tab w:leader="none" w:pos="130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Letters of Credit Issued for Subsidiaries</w:t>
      </w:r>
      <w:r>
        <w:rPr>
          <w:rFonts w:ascii="Times New Roman" w:cs="Times New Roman" w:eastAsia="Times New Roman" w:hAnsi="Times New Roman"/>
          <w:sz w:val="18"/>
          <w:szCs w:val="18"/>
          <w:color w:val="auto"/>
        </w:rPr>
        <w:t>. Notwithstanding that a Letter of Credit issued or outstanding hereunder is in support of any obligations of, or is for the account of, a Subsidiary, the Borrower shall be obligated to reimburse the applicable L/C Issuer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ectPr>
          <w:pgSz w:w="11900" w:h="16838" w:orient="portrait"/>
          <w:cols w:equalWidth="0" w:num="1">
            <w:col w:w="11420"/>
          </w:cols>
          <w:pgMar w:left="240" w:top="121" w:right="239" w:bottom="0" w:gutter="0" w:footer="0" w:header="0"/>
        </w:sectPr>
      </w:pPr>
    </w:p>
    <w:bookmarkStart w:id="70" w:name="page71"/>
    <w:bookmarkEnd w:id="70"/>
    <w:p>
      <w:pPr>
        <w:ind w:right="400" w:firstLine="656"/>
        <w:spacing w:after="0" w:line="282" w:lineRule="auto"/>
        <w:tabs>
          <w:tab w:leader="none" w:pos="131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Outstanding Letters of Credit</w:t>
      </w:r>
      <w:r>
        <w:rPr>
          <w:rFonts w:ascii="Times New Roman" w:cs="Times New Roman" w:eastAsia="Times New Roman" w:hAnsi="Times New Roman"/>
          <w:sz w:val="18"/>
          <w:szCs w:val="18"/>
          <w:color w:val="auto"/>
        </w:rPr>
        <w:t>. Within 10 days of the end of each month, each L/C Issuer shall deliver to the Administrative Agent, for distribution to the Lenders, an accounting of all Letters of Credit issued by such L/C Issuer and outstanding as of the end of such month.</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2.04</w:t>
      </w:r>
      <w:r>
        <w:rPr>
          <w:sz w:val="20"/>
          <w:szCs w:val="20"/>
          <w:color w:val="auto"/>
        </w:rPr>
        <w:tab/>
      </w:r>
      <w:r>
        <w:rPr>
          <w:rFonts w:ascii="Times New Roman" w:cs="Times New Roman" w:eastAsia="Times New Roman" w:hAnsi="Times New Roman"/>
          <w:sz w:val="17"/>
          <w:szCs w:val="17"/>
          <w:b w:val="1"/>
          <w:bCs w:val="1"/>
          <w:color w:val="auto"/>
        </w:rPr>
        <w:t>[Intentionally Omitted]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2.05</w:t>
      </w:r>
      <w:r>
        <w:rPr>
          <w:sz w:val="20"/>
          <w:szCs w:val="20"/>
          <w:color w:val="auto"/>
        </w:rPr>
        <w:tab/>
      </w:r>
      <w:r>
        <w:rPr>
          <w:rFonts w:ascii="Times New Roman" w:cs="Times New Roman" w:eastAsia="Times New Roman" w:hAnsi="Times New Roman"/>
          <w:sz w:val="17"/>
          <w:szCs w:val="17"/>
          <w:b w:val="1"/>
          <w:bCs w:val="1"/>
          <w:color w:val="auto"/>
        </w:rPr>
        <w:t>Prepayments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656"/>
        <w:spacing w:after="0" w:line="253" w:lineRule="auto"/>
        <w:tabs>
          <w:tab w:leader="none" w:pos="129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upon notice to the Administrative Agent, at any time or from time to time voluntarily prepay Committed Loans in whole or in part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notice must be in a form reasonably acceptable to the Administrative Agent and be received by the Administrative Agent not later than 11:00 a.m. (A) three Business Days prior to any date of prepayment of Eurodollar Rate Loans and (B) on the date of prepayment of Base Rate Committed Loans; (ii) any prepayment of Eurodollar Rate Loans shall be in a principal amount of $1,000,000 or a whole multiple of $500,000 in excess thereof; and (iii) any prepayment of Base Rate Committed Loans shall be in a principal amount of $1,000,000 or a whole multiple of $500,000 in excess thereof or, in each case, if less, the entire principal amount thereof then outstanding. Each such notice shall specify the date and amount of such prepayment and the Type(s) of Committed Loans to be prepaid and, if Eurodollar Rate Loans are to be prepaid, the Interest Period(s) of such Loans. The Administrative Agent will promptly notify each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of prepayment may state that such notice is conditioned upon the effectiveness of other credit facilities or the closing of another transaction, the proceeds of which will be used to prepay any outstanding Committed Loans, in which case such prepayment may be conditional upon the effectiveness of such other credit facilities or the closing of such other transaction. For the avoidance of doubt,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any such conditional notice that does not result in a prepayment on the proposed prepayment date set forth in such notice shall be subject to the provisions of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Any prepayment of a Eurodollar Rate Loan shall be accompanied by all accrued interest on the amount prepaid, together with any additional amounts required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each such prepayment shall be applied to the Committed Loans of the Lenders in accordance with their respective Applicable Percentages.</w:t>
      </w:r>
    </w:p>
    <w:p>
      <w:pPr>
        <w:spacing w:after="0" w:line="180" w:lineRule="exact"/>
        <w:rPr>
          <w:sz w:val="20"/>
          <w:szCs w:val="20"/>
          <w:color w:val="auto"/>
        </w:rPr>
      </w:pPr>
    </w:p>
    <w:p>
      <w:pPr>
        <w:ind w:right="20" w:firstLine="656"/>
        <w:spacing w:after="0" w:line="258" w:lineRule="auto"/>
        <w:tabs>
          <w:tab w:leader="none" w:pos="130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for any reason Availability is at any time less than zero ($0) (including if due to the exclusion of a Borrowing Base Asset pursuant to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or if due to a change in the Appraised Value of a Borrowing Base Asset upon any reappraisal required or permitted under the Agreement), the Borrower shall within two Business Days prepay Loans and/or Cash Collateralize the L/C Obligations in an aggregate amount equal to such excess;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Borrower shall not be required to Cash Collateralize the L/C Obligations pursuant to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unless after the prepayment in full of the Committed Loans, Availability is less than zero ($0).</w:t>
      </w:r>
    </w:p>
    <w:p>
      <w:pPr>
        <w:spacing w:after="0" w:line="180"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2.06 Termination or Reduction of Commitments</w:t>
      </w:r>
      <w:r>
        <w:rPr>
          <w:rFonts w:ascii="Times New Roman" w:cs="Times New Roman" w:eastAsia="Times New Roman" w:hAnsi="Times New Roman"/>
          <w:sz w:val="18"/>
          <w:szCs w:val="18"/>
          <w:color w:val="auto"/>
        </w:rPr>
        <w:t>. The Borrower may, upon notice to the Administrative Agent, terminate the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Commitments, or from time to time permanently reduce the Aggregate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any such notice shall be received by the Administrative Agent not later than 11:00 a.m. three (3) Business Days prior to the date of termination or reduction, (ii) any such partial reduction shall be in an aggregate amount of $5,000,000 or a whole multiple thereof, (iii) the Borrower shall not terminate or reduce the Aggregate Commitments if, after giving effect thereto and to any concurrent prepayments hereunder, Availability would be less than zero ($0) after giving effect to such reduction, and (iv) if, after giving effect to any reduction of the Aggregate Commitments, the Letter of Credit Sublimit exceeds the amount of the Aggregate Commitments, such Sublimit shall be automatically reduced by the amount of such excess. The Administrative Agent will promptly notify the Lenders of any such notice of termination or reduction of the Aggregate Commitments. Any reduction of the Aggregate Commitments shall be applied to the Commitment of each Lender according to its Applicable Percentage. All fees accrued until the effective date of any termination of the Aggregate Commitments shall be paid on the effective date of such termination.</w:t>
      </w:r>
    </w:p>
    <w:p>
      <w:pPr>
        <w:spacing w:after="0" w:line="186"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2.07 Repayment of Loans</w:t>
      </w:r>
      <w:r>
        <w:rPr>
          <w:rFonts w:ascii="Times New Roman" w:cs="Times New Roman" w:eastAsia="Times New Roman" w:hAnsi="Times New Roman"/>
          <w:sz w:val="18"/>
          <w:szCs w:val="18"/>
          <w:color w:val="auto"/>
        </w:rPr>
        <w:t>. The Borrower shall repay to the Lenders on the Maturity Date the aggregate principal amount of Committed Loans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on such date.</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2.08</w:t>
      </w:r>
      <w:r>
        <w:rPr>
          <w:sz w:val="20"/>
          <w:szCs w:val="20"/>
          <w:color w:val="auto"/>
        </w:rPr>
        <w:tab/>
      </w:r>
      <w:r>
        <w:rPr>
          <w:rFonts w:ascii="Times New Roman" w:cs="Times New Roman" w:eastAsia="Times New Roman" w:hAnsi="Times New Roman"/>
          <w:sz w:val="17"/>
          <w:szCs w:val="17"/>
          <w:b w:val="1"/>
          <w:bCs w:val="1"/>
          <w:color w:val="auto"/>
        </w:rPr>
        <w:t>Interest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right="20" w:firstLine="656"/>
        <w:spacing w:after="0" w:line="261" w:lineRule="auto"/>
        <w:tabs>
          <w:tab w:leader="none" w:pos="129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below, (i) each Eurodollar Rate Loan shall bear interest on the outstanding principal amount thereof for each Interest Period at a rate per annum equal to the Eurodollar Rate for such Interest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and (ii) each Base Rate Committed Loan shall bear interest on the outstanding principal amount thereof from the applicable borrowing date at a rate per annum equal to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w:t>
      </w:r>
    </w:p>
    <w:p>
      <w:pPr>
        <w:spacing w:after="0" w:line="180" w:lineRule="exact"/>
        <w:rPr>
          <w:rFonts w:ascii="Times New Roman" w:cs="Times New Roman" w:eastAsia="Times New Roman" w:hAnsi="Times New Roman"/>
          <w:sz w:val="18"/>
          <w:szCs w:val="18"/>
          <w:color w:val="auto"/>
        </w:rPr>
      </w:pPr>
    </w:p>
    <w:p>
      <w:pPr>
        <w:ind w:right="280" w:firstLine="656"/>
        <w:spacing w:after="0" w:line="282" w:lineRule="auto"/>
        <w:tabs>
          <w:tab w:leader="none" w:pos="130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any amount of principal of any Loan is not paid when due (without regard to any applicable grace periods), whether at stated maturity, by acceleration or otherwise,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such amount shall thereafter bear interest at a fluctuating interest rate per annum at all times equal to the Default Rate to the fullest extent permitted by applicable Laws.</w:t>
      </w:r>
    </w:p>
    <w:p>
      <w:pPr>
        <w:spacing w:after="0" w:line="162" w:lineRule="exact"/>
        <w:rPr>
          <w:sz w:val="20"/>
          <w:szCs w:val="20"/>
          <w:color w:val="auto"/>
        </w:rPr>
      </w:pPr>
    </w:p>
    <w:p>
      <w:pPr>
        <w:ind w:left="660" w:right="200" w:firstLine="645"/>
        <w:spacing w:after="0" w:line="261" w:lineRule="auto"/>
        <w:tabs>
          <w:tab w:leader="none" w:pos="1987"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80"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request of the Required Lenders, while any Event of Default exists (other than as set forth in </w:t>
      </w:r>
      <w:r>
        <w:rPr>
          <w:rFonts w:ascii="Times New Roman" w:cs="Times New Roman" w:eastAsia="Times New Roman" w:hAnsi="Times New Roman"/>
          <w:sz w:val="18"/>
          <w:szCs w:val="18"/>
          <w:u w:val="single" w:color="auto"/>
          <w:color w:val="auto"/>
        </w:rPr>
        <w:t>clauses (b)(i)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p>
    <w:p>
      <w:pPr>
        <w:spacing w:after="0" w:line="27" w:lineRule="exact"/>
        <w:rPr>
          <w:rFonts w:ascii="Times New Roman" w:cs="Times New Roman" w:eastAsia="Times New Roman" w:hAnsi="Times New Roman"/>
          <w:sz w:val="18"/>
          <w:szCs w:val="18"/>
          <w:color w:val="auto"/>
        </w:rPr>
      </w:pPr>
    </w:p>
    <w:p>
      <w:pPr>
        <w:ind w:left="660" w:right="160" w:hanging="4"/>
        <w:spacing w:after="0" w:line="261" w:lineRule="auto"/>
        <w:tabs>
          <w:tab w:leader="none" w:pos="925" w:val="left"/>
        </w:tabs>
        <w:numPr>
          <w:ilvl w:val="0"/>
          <w:numId w:val="15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 the Borrower shall pay interest on the principal amount of all outstanding Obligations hereunder at a fluctuating interest rate per annum at all times equal to the Default Rate to the fullest extent permitted by applicable Laws.</w:t>
      </w:r>
    </w:p>
    <w:p>
      <w:pPr>
        <w:sectPr>
          <w:pgSz w:w="11900" w:h="16838" w:orient="portrait"/>
          <w:cols w:equalWidth="0" w:num="1">
            <w:col w:w="11420"/>
          </w:cols>
          <w:pgMar w:left="240" w:top="121" w:right="239" w:bottom="0" w:gutter="0" w:footer="0" w:header="0"/>
        </w:sectPr>
      </w:pPr>
    </w:p>
    <w:bookmarkStart w:id="71" w:name="page72"/>
    <w:bookmarkEnd w:id="71"/>
    <w:p>
      <w:pPr>
        <w:spacing w:after="0" w:line="67" w:lineRule="exact"/>
        <w:rPr>
          <w:sz w:val="20"/>
          <w:szCs w:val="20"/>
          <w:color w:val="auto"/>
        </w:rPr>
      </w:pPr>
    </w:p>
    <w:p>
      <w:pPr>
        <w:ind w:left="1960" w:hanging="655"/>
        <w:spacing w:after="0"/>
        <w:tabs>
          <w:tab w:leader="none" w:pos="196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unpaid interest on past due amounts (including interest on past due interest) shall be due and payable upon demand.</w:t>
      </w:r>
    </w:p>
    <w:p>
      <w:pPr>
        <w:spacing w:after="0" w:line="225" w:lineRule="exact"/>
        <w:rPr>
          <w:rFonts w:ascii="Times New Roman" w:cs="Times New Roman" w:eastAsia="Times New Roman" w:hAnsi="Times New Roman"/>
          <w:sz w:val="18"/>
          <w:szCs w:val="18"/>
          <w:color w:val="auto"/>
        </w:rPr>
      </w:pPr>
    </w:p>
    <w:p>
      <w:pPr>
        <w:ind w:right="160" w:firstLine="656"/>
        <w:spacing w:after="0" w:line="266" w:lineRule="auto"/>
        <w:tabs>
          <w:tab w:leader="none" w:pos="1307"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2.09</w:t>
      </w:r>
      <w:r>
        <w:rPr>
          <w:sz w:val="20"/>
          <w:szCs w:val="20"/>
          <w:color w:val="auto"/>
        </w:rPr>
        <w:tab/>
      </w:r>
      <w:r>
        <w:rPr>
          <w:rFonts w:ascii="Times New Roman" w:cs="Times New Roman" w:eastAsia="Times New Roman" w:hAnsi="Times New Roman"/>
          <w:sz w:val="18"/>
          <w:szCs w:val="18"/>
          <w:b w:val="1"/>
          <w:bCs w:val="1"/>
          <w:color w:val="auto"/>
        </w:rPr>
        <w:t>Fees</w:t>
      </w:r>
      <w:r>
        <w:rPr>
          <w:rFonts w:ascii="Times New Roman" w:cs="Times New Roman" w:eastAsia="Times New Roman" w:hAnsi="Times New Roman"/>
          <w:sz w:val="18"/>
          <w:szCs w:val="18"/>
          <w:color w:val="auto"/>
        </w:rPr>
        <w:t>. In addition to certain fees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subsections (h)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56"/>
        <w:spacing w:after="0" w:line="253" w:lineRule="auto"/>
        <w:tabs>
          <w:tab w:leader="none" w:pos="129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Credit Fees</w:t>
      </w:r>
      <w:r>
        <w:rPr>
          <w:rFonts w:ascii="Times New Roman" w:cs="Times New Roman" w:eastAsia="Times New Roman" w:hAnsi="Times New Roman"/>
          <w:sz w:val="18"/>
          <w:szCs w:val="18"/>
          <w:color w:val="auto"/>
        </w:rPr>
        <w:t>. The Borrower shall pay to the Administrative Agent for the account of each Lender in accordance with its Applicable Percentage, (i) commencing on the six month anniversary of the Closing Date until the Investment Grade Pricing Effective Date, a commitment fee (the “</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xml:space="preserve">”) equal to the Applicable Fee Rate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actual daily amount by which the Aggregate Commitments exceed the sum of (x) the Outstanding Amount of Committed Loans and (y) the Outstanding Amount of L/C Obligations, subject to adjustment as provided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and (ii) at all times on and after the Investment Grade Pricing Effective Date, a facility fee (the “</w:t>
      </w:r>
      <w:r>
        <w:rPr>
          <w:rFonts w:ascii="Times New Roman" w:cs="Times New Roman" w:eastAsia="Times New Roman" w:hAnsi="Times New Roman"/>
          <w:sz w:val="18"/>
          <w:szCs w:val="18"/>
          <w:u w:val="single" w:color="auto"/>
          <w:color w:val="auto"/>
        </w:rPr>
        <w:t>Facility Fee</w:t>
      </w:r>
      <w:r>
        <w:rPr>
          <w:rFonts w:ascii="Times New Roman" w:cs="Times New Roman" w:eastAsia="Times New Roman" w:hAnsi="Times New Roman"/>
          <w:sz w:val="18"/>
          <w:szCs w:val="18"/>
          <w:color w:val="auto"/>
        </w:rPr>
        <w:t xml:space="preserve">”) equal to the Applicable Rate times the actual daily amount of the Aggregate Commitments (or, if the Aggregate Commitments have terminated, on the Outstanding Amount of all Committed Loans and L/C Obligations), regardless of usage, subject to adjustment as provided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The Commitment Fee and Facility Fee shall accrue at all times during the Availability Period (and thereafter so long as any Committed Loans or L/C Obligations remain outstanding), including at any time during which one or more of the conditions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is not met, and shall be due and payable quarterly in arrears on the last Business Day of each March, June, September and December, commencing with the first such date to occur after the six month anniversary of the Closing Date, and on the last day of the Maturity Date (and, if applicable, thereafter on demand). The Commitment Fee and the Facility Fee shall be calculated quarterly in arrears, and if there is any change in the Applicable Fee Rate or the Applicable Rate, as applicable, during any quarter, the actual daily amount shall be</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computed and multiplied by the Applicable Fee Rate or the Applicable Rate, as the case may be, separately for each period during such quarter that such Applicable Fee Rate or Applicable Rate was in effect.</w:t>
      </w:r>
    </w:p>
    <w:p>
      <w:pPr>
        <w:spacing w:after="0" w:line="162" w:lineRule="exact"/>
        <w:rPr>
          <w:sz w:val="20"/>
          <w:szCs w:val="20"/>
          <w:color w:val="auto"/>
        </w:rPr>
      </w:pPr>
    </w:p>
    <w:p>
      <w:pPr>
        <w:ind w:right="60" w:firstLine="656"/>
        <w:spacing w:after="0" w:line="282" w:lineRule="auto"/>
        <w:tabs>
          <w:tab w:leader="none" w:pos="130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Fees</w:t>
      </w:r>
      <w:r>
        <w:rPr>
          <w:rFonts w:ascii="Times New Roman" w:cs="Times New Roman" w:eastAsia="Times New Roman" w:hAnsi="Times New Roman"/>
          <w:sz w:val="18"/>
          <w:szCs w:val="18"/>
          <w:color w:val="auto"/>
        </w:rPr>
        <w:t>. (i) The Borrower shall pay to the Arranger and the Administrative Agent for their own respective accounts fees in the amounts and at the times specified in the Fee Letter. Such fees shall be fully earned when paid and shall not be refundable for any reason whatsoever.</w:t>
      </w:r>
    </w:p>
    <w:p>
      <w:pPr>
        <w:spacing w:after="0" w:line="161" w:lineRule="exact"/>
        <w:rPr>
          <w:rFonts w:ascii="Times New Roman" w:cs="Times New Roman" w:eastAsia="Times New Roman" w:hAnsi="Times New Roman"/>
          <w:sz w:val="18"/>
          <w:szCs w:val="18"/>
          <w:color w:val="auto"/>
        </w:rPr>
      </w:pPr>
    </w:p>
    <w:p>
      <w:pPr>
        <w:ind w:left="660" w:right="280" w:firstLine="645"/>
        <w:spacing w:after="0" w:line="282" w:lineRule="auto"/>
        <w:tabs>
          <w:tab w:leader="none" w:pos="1987"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to the Lenders such fees as shall have been separately agreed upon in writing in the amounts and at the times so specified. Such fees shall be fully earned when paid and shall not be refundable for any reason whatsoever.</w:t>
      </w:r>
    </w:p>
    <w:p>
      <w:pPr>
        <w:spacing w:after="0" w:line="15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2.10 Computation of Interest and Fees</w:t>
      </w:r>
      <w:r>
        <w:rPr>
          <w:rFonts w:ascii="Times New Roman" w:cs="Times New Roman" w:eastAsia="Times New Roman" w:hAnsi="Times New Roman"/>
          <w:sz w:val="18"/>
          <w:szCs w:val="18"/>
          <w:color w:val="auto"/>
        </w:rPr>
        <w:t>. All computations of interest for Base Rate Loans (including Base Rate Loans determined by reference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the Eurodollar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 that is repaid on the same day on which it is made shall, subject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bear interest for one day. Each determination by the Administrative Agent of an interest rate or fee hereunder shall be conclusive and binding for all purposes, absent manifest error.</w:t>
      </w:r>
    </w:p>
    <w:p>
      <w:pPr>
        <w:spacing w:after="0" w:line="183"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2.11</w:t>
      </w:r>
      <w:r>
        <w:rPr>
          <w:sz w:val="20"/>
          <w:szCs w:val="20"/>
          <w:color w:val="auto"/>
        </w:rPr>
        <w:tab/>
      </w:r>
      <w:r>
        <w:rPr>
          <w:rFonts w:ascii="Times New Roman" w:cs="Times New Roman" w:eastAsia="Times New Roman" w:hAnsi="Times New Roman"/>
          <w:sz w:val="18"/>
          <w:szCs w:val="18"/>
          <w:b w:val="1"/>
          <w:bCs w:val="1"/>
          <w:color w:val="auto"/>
        </w:rPr>
        <w:t>Evidence of Debt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656"/>
        <w:spacing w:after="0" w:line="254" w:lineRule="auto"/>
        <w:tabs>
          <w:tab w:leader="none" w:pos="129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89" w:lineRule="exact"/>
        <w:rPr>
          <w:rFonts w:ascii="Times New Roman" w:cs="Times New Roman" w:eastAsia="Times New Roman" w:hAnsi="Times New Roman"/>
          <w:sz w:val="18"/>
          <w:szCs w:val="18"/>
          <w:color w:val="auto"/>
        </w:rPr>
      </w:pPr>
    </w:p>
    <w:p>
      <w:pPr>
        <w:ind w:firstLine="656"/>
        <w:spacing w:after="0" w:line="266" w:lineRule="auto"/>
        <w:tabs>
          <w:tab w:leader="none" w:pos="130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accounts and records referred to in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xml:space="preserve"> above, each Lender and the Administrative Agent shall maintain in accordance with its usual practice accounts or records evidencing the purchases and sales by such Lender of participations in Letters of Credit. In the event of any conflict between the accounts and records maintained by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Administrative Agent and the accounts and records of any Lender in respect of such matters, the accounts and records of the Administrative Agent shall control in the absence of manifest error.</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7"/>
          <w:szCs w:val="17"/>
          <w:b w:val="1"/>
          <w:bCs w:val="1"/>
          <w:color w:val="auto"/>
        </w:rPr>
        <w:t>Payments Generally; Administrative Agent’s Clawback</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100" w:firstLine="656"/>
        <w:spacing w:after="0" w:line="254" w:lineRule="auto"/>
        <w:tabs>
          <w:tab w:leader="none" w:pos="129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Except as otherwise expressly provided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ectPr>
          <w:pgSz w:w="11900" w:h="16906" w:orient="portrait"/>
          <w:cols w:equalWidth="0" w:num="1">
            <w:col w:w="11400"/>
          </w:cols>
          <w:pgMar w:left="240" w:top="121" w:right="259" w:bottom="0" w:gutter="0" w:footer="0" w:header="0"/>
        </w:sectPr>
      </w:pPr>
    </w:p>
    <w:bookmarkStart w:id="72" w:name="page73"/>
    <w:bookmarkEnd w:id="72"/>
    <w:p>
      <w:pPr>
        <w:spacing w:after="0" w:line="81" w:lineRule="exact"/>
        <w:rPr>
          <w:sz w:val="20"/>
          <w:szCs w:val="20"/>
          <w:color w:val="auto"/>
        </w:rPr>
      </w:pPr>
    </w:p>
    <w:p>
      <w:pPr>
        <w:ind w:right="100" w:firstLine="656"/>
        <w:spacing w:after="0" w:line="254" w:lineRule="auto"/>
        <w:tabs>
          <w:tab w:leader="none" w:pos="130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Funding by Lenders; Presumption by Administrative Agent</w:t>
      </w:r>
      <w:r>
        <w:rPr>
          <w:rFonts w:ascii="Times New Roman" w:cs="Times New Roman" w:eastAsia="Times New Roman" w:hAnsi="Times New Roman"/>
          <w:sz w:val="18"/>
          <w:szCs w:val="18"/>
          <w:color w:val="auto"/>
        </w:rPr>
        <w:t xml:space="preserve">. Unless the Administrative Agent shall have received notice from a Lender prior to the proposed date of any Committed Loan of Eurodollar Rate Loans (or, in the case of any Committed Loan of Base Rate Loans, prior to 12:00 noon on the date of such Committed Loan) that such Lender will not make available to the Administrative Agent such Lender’s share of such Committed Loan,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(or, in the case of a Committed Loan of Base Rate Loans, that such Lender has made such share available in accordance with and at the time required by</w:t>
      </w:r>
    </w:p>
    <w:p>
      <w:pPr>
        <w:spacing w:after="0" w:line="3"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and may, in reliance upon such assumption, make available to the Borrower a corresponding amount. In such event, if a Lender has not in fact made its share of the applicable Committed Loan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Committed Loan to the Administrative Agent, then the amount so paid shall constitute such Lender’s Committed Loan included in such Committed Loan. Any payment by the Borrower shall be without prejudice to any claim the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may have against a Lender that shall have failed to make such payment to the Administrative Agent.</w:t>
      </w:r>
    </w:p>
    <w:p>
      <w:pPr>
        <w:spacing w:after="0" w:line="225" w:lineRule="exact"/>
        <w:rPr>
          <w:sz w:val="20"/>
          <w:szCs w:val="20"/>
          <w:color w:val="auto"/>
        </w:rPr>
      </w:pPr>
    </w:p>
    <w:p>
      <w:pPr>
        <w:ind w:left="660" w:right="60" w:firstLine="645"/>
        <w:spacing w:after="0" w:line="254" w:lineRule="auto"/>
        <w:tabs>
          <w:tab w:leader="none" w:pos="1987"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by Borrower; Presumptions by Administrative Agent</w:t>
      </w:r>
      <w:r>
        <w:rPr>
          <w:rFonts w:ascii="Times New Roman" w:cs="Times New Roman" w:eastAsia="Times New Roman" w:hAnsi="Times New Roman"/>
          <w:sz w:val="18"/>
          <w:szCs w:val="18"/>
          <w:color w:val="auto"/>
        </w:rPr>
        <w:t>. Unless the Administrative Agent shall have received notice from the Borrower prior to the date on which any payment is due to the Administrative Agent for the account of the Lenders or any L/C Issuer hereunder that the Borrower will not make such payment, the Administrative Agent may assume that the Borrower has made such payment on such date in accordance herewith and may, in reliance upon such assumption, distribute to the Lenders or the applicable L/C Issuer, as the case may be, the amount due. In such event, if the Borrower has not in fact made such payment, then each of the Lenders or the applicable L/C Issuer, as the case may be, severally agrees to repay to the Administrative Agent forthwith on demand the amount so distributed to such Lender or such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8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notice of the Administrative Agent to any Lender or the Borrower with respect to any amount owing under this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shall be conclusive, absent manifest error.</w:t>
      </w:r>
    </w:p>
    <w:p>
      <w:pPr>
        <w:spacing w:after="0" w:line="162" w:lineRule="exact"/>
        <w:rPr>
          <w:sz w:val="20"/>
          <w:szCs w:val="20"/>
          <w:color w:val="auto"/>
        </w:rPr>
      </w:pPr>
    </w:p>
    <w:p>
      <w:pPr>
        <w:jc w:val="both"/>
        <w:ind w:right="40" w:firstLine="656"/>
        <w:spacing w:after="0" w:line="261" w:lineRule="auto"/>
        <w:tabs>
          <w:tab w:leader="none" w:pos="1307"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Satisfy Conditions Precedent</w:t>
      </w:r>
      <w:r>
        <w:rPr>
          <w:rFonts w:ascii="Times New Roman" w:cs="Times New Roman" w:eastAsia="Times New Roman" w:hAnsi="Times New Roman"/>
          <w:sz w:val="18"/>
          <w:szCs w:val="18"/>
          <w:color w:val="auto"/>
        </w:rPr>
        <w:t xml:space="preserve">. If any Lender makes available to the Administrative Agent funds for any Loan to be made by such Lender as provided in the foregoing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such funds are not made available to the Borrower by the Administrative Agent because the conditions to the applicable Credit Extension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are not satisfied or waived in accordance with the terms hereof, the Administrative Agent shall return such funds (in like funds as received from such Lender) to such Lender, without interest.</w:t>
      </w:r>
    </w:p>
    <w:p>
      <w:pPr>
        <w:spacing w:after="0" w:line="180" w:lineRule="exact"/>
        <w:rPr>
          <w:rFonts w:ascii="Times New Roman" w:cs="Times New Roman" w:eastAsia="Times New Roman" w:hAnsi="Times New Roman"/>
          <w:sz w:val="18"/>
          <w:szCs w:val="18"/>
          <w:color w:val="auto"/>
        </w:rPr>
      </w:pPr>
    </w:p>
    <w:p>
      <w:pPr>
        <w:ind w:right="240" w:firstLine="656"/>
        <w:spacing w:after="0" w:line="258" w:lineRule="auto"/>
        <w:tabs>
          <w:tab w:leader="none" w:pos="130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Lenders Several</w:t>
      </w:r>
      <w:r>
        <w:rPr>
          <w:rFonts w:ascii="Times New Roman" w:cs="Times New Roman" w:eastAsia="Times New Roman" w:hAnsi="Times New Roman"/>
          <w:sz w:val="18"/>
          <w:szCs w:val="18"/>
          <w:color w:val="auto"/>
        </w:rPr>
        <w:t xml:space="preserve">. The obligations of the Lenders hereunder to make Committed Loans, to fund participations in Letters of Credit and to make payments pursuant to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 xml:space="preserve"> are several and not joint. The failure of any Lender to make any Committed Loan, to fund any such participation or to make any payment under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 xml:space="preserve"> on any date required hereunder shall not relieve any other Lender of its corresponding obligation to do so on such date, and no Lender shall be responsible for the failure of any other Lender to so make its Committed Loan, to purchase its participation or to make its payment under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80" w:firstLine="656"/>
        <w:spacing w:after="0" w:line="282" w:lineRule="auto"/>
        <w:tabs>
          <w:tab w:leader="none" w:pos="1307"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Source</w:t>
      </w:r>
      <w:r>
        <w:rPr>
          <w:rFonts w:ascii="Times New Roman" w:cs="Times New Roman" w:eastAsia="Times New Roman" w:hAnsi="Times New Roman"/>
          <w:sz w:val="18"/>
          <w:szCs w:val="18"/>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58"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2.13 Sharing of Payments by Lenders</w:t>
      </w:r>
      <w:r>
        <w:rPr>
          <w:rFonts w:ascii="Times New Roman" w:cs="Times New Roman" w:eastAsia="Times New Roman" w:hAnsi="Times New Roman"/>
          <w:sz w:val="18"/>
          <w:szCs w:val="18"/>
          <w:color w:val="auto"/>
        </w:rPr>
        <w:t>. If any Lender shall, by exercising any right of setoff or counterclaim or otherwise, obtain payment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any principal of or interest on any of the Committed Loans made by it, or the participations in L/C Obligations held by it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resulting in such Lender’s receiving payment of a proportion of the aggregate amount of such Committed Loans or participations and accrued interest thereon greater than its pro rata share thereof as provided herein, then the Lender receiving such greater proportion shall (a) notify the Administrative Agent of such fact, and (b) purchase (for cash at face value) participations in the Committed Loans and subparticipations in L/C Obligations of the other Lenders, or make such other adjustments as shall be equitable, so that the benefit of all such payments shall be shared by the Lenders ratably in accordance with the aggregate amount of principal of and accrued interest on their respective Committed Loans and other amounts owing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84" w:lineRule="exact"/>
        <w:rPr>
          <w:sz w:val="20"/>
          <w:szCs w:val="20"/>
          <w:color w:val="auto"/>
        </w:rPr>
      </w:pPr>
    </w:p>
    <w:p>
      <w:pPr>
        <w:ind w:left="660" w:right="80" w:firstLine="645"/>
        <w:spacing w:after="0" w:line="313" w:lineRule="auto"/>
        <w:tabs>
          <w:tab w:leader="none" w:pos="1978"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38" w:lineRule="exact"/>
        <w:rPr>
          <w:rFonts w:ascii="Times New Roman" w:cs="Times New Roman" w:eastAsia="Times New Roman" w:hAnsi="Times New Roman"/>
          <w:sz w:val="17"/>
          <w:szCs w:val="17"/>
          <w:color w:val="auto"/>
        </w:rPr>
      </w:pPr>
    </w:p>
    <w:p>
      <w:pPr>
        <w:ind w:left="660" w:right="60" w:firstLine="645"/>
        <w:spacing w:after="0" w:line="276" w:lineRule="auto"/>
        <w:tabs>
          <w:tab w:leader="none" w:pos="1987"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this Section shall not be construed to apply to (x) any payment made by or on behalf of the Borrower pursuant to and in accordance with the express terms of this Agreement (including the application of funds arising from the existence of a Defaulting Lender),</w:t>
      </w:r>
    </w:p>
    <w:p>
      <w:pPr>
        <w:jc w:val="both"/>
        <w:ind w:left="660" w:right="20" w:hanging="4"/>
        <w:spacing w:after="0" w:line="255" w:lineRule="auto"/>
        <w:tabs>
          <w:tab w:leader="none" w:pos="91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application of Cash Collateral provided for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or (z) any payment obtained by a Lender as consideration for the assignment of or sale of a participation in any of its Committed Loans or subparticipations in L/C Obligations to any assignee or participant, other than an assignment to the Borrower or any Affiliate thereof (as to which the provisions of this Section shall apply).</w:t>
      </w:r>
    </w:p>
    <w:p>
      <w:pPr>
        <w:spacing w:after="0" w:line="18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ectPr>
          <w:pgSz w:w="11900" w:h="16919" w:orient="portrait"/>
          <w:cols w:equalWidth="0" w:num="1">
            <w:col w:w="11420"/>
          </w:cols>
          <w:pgMar w:left="240" w:top="337" w:right="239" w:bottom="0" w:gutter="0" w:footer="0" w:header="0"/>
        </w:sectPr>
      </w:pPr>
    </w:p>
    <w:bookmarkStart w:id="73" w:name="page74"/>
    <w:bookmarkEnd w:id="73"/>
    <w:p>
      <w:pPr>
        <w:spacing w:after="0" w:line="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2.14</w:t>
      </w:r>
      <w:r>
        <w:rPr>
          <w:sz w:val="20"/>
          <w:szCs w:val="20"/>
          <w:color w:val="auto"/>
        </w:rPr>
        <w:tab/>
      </w:r>
      <w:r>
        <w:rPr>
          <w:rFonts w:ascii="Times New Roman" w:cs="Times New Roman" w:eastAsia="Times New Roman" w:hAnsi="Times New Roman"/>
          <w:sz w:val="17"/>
          <w:szCs w:val="17"/>
          <w:b w:val="1"/>
          <w:bCs w:val="1"/>
          <w:color w:val="auto"/>
        </w:rPr>
        <w:t>Extension of Maturity Date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right="60" w:firstLine="656"/>
        <w:spacing w:after="0" w:line="261" w:lineRule="auto"/>
        <w:tabs>
          <w:tab w:leader="none" w:pos="129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Requests for Extension</w:t>
      </w:r>
      <w:r>
        <w:rPr>
          <w:rFonts w:ascii="Times New Roman" w:cs="Times New Roman" w:eastAsia="Times New Roman" w:hAnsi="Times New Roman"/>
          <w:sz w:val="18"/>
          <w:szCs w:val="18"/>
          <w:color w:val="auto"/>
        </w:rPr>
        <w:t>. The Borrower may, by written notice to the Administrative Agent (such notice, an “</w:t>
      </w:r>
      <w:r>
        <w:rPr>
          <w:rFonts w:ascii="Times New Roman" w:cs="Times New Roman" w:eastAsia="Times New Roman" w:hAnsi="Times New Roman"/>
          <w:sz w:val="18"/>
          <w:szCs w:val="18"/>
          <w:u w:val="single" w:color="auto"/>
          <w:color w:val="auto"/>
        </w:rPr>
        <w:t>Extension Notice</w:t>
      </w:r>
      <w:r>
        <w:rPr>
          <w:rFonts w:ascii="Times New Roman" w:cs="Times New Roman" w:eastAsia="Times New Roman" w:hAnsi="Times New Roman"/>
          <w:sz w:val="18"/>
          <w:szCs w:val="18"/>
          <w:color w:val="auto"/>
        </w:rPr>
        <w:t>”) (who shall promptly notify the Lenders) not earlier than ninety (90) days and not later than thirty (30) days prior to (i) the Initial Maturity Date extend the Maturity Date for an additional one year period from the Initial Maturity Date (such new Maturity Date, the “</w:t>
      </w:r>
      <w:r>
        <w:rPr>
          <w:rFonts w:ascii="Times New Roman" w:cs="Times New Roman" w:eastAsia="Times New Roman" w:hAnsi="Times New Roman"/>
          <w:sz w:val="18"/>
          <w:szCs w:val="18"/>
          <w:u w:val="single" w:color="auto"/>
          <w:color w:val="auto"/>
        </w:rPr>
        <w:t>Extended Maturity Date</w:t>
      </w:r>
      <w:r>
        <w:rPr>
          <w:rFonts w:ascii="Times New Roman" w:cs="Times New Roman" w:eastAsia="Times New Roman" w:hAnsi="Times New Roman"/>
          <w:sz w:val="18"/>
          <w:szCs w:val="18"/>
          <w:color w:val="auto"/>
        </w:rPr>
        <w:t xml:space="preserve">”) and (ii) the Extended Maturity Date extend the Maturity Date for an additional one year period from the Extended Maturity Date subject, in each case, to </w:t>
      </w:r>
      <w:r>
        <w:rPr>
          <w:rFonts w:ascii="Times New Roman" w:cs="Times New Roman" w:eastAsia="Times New Roman" w:hAnsi="Times New Roman"/>
          <w:sz w:val="18"/>
          <w:szCs w:val="18"/>
          <w:u w:val="single" w:color="auto"/>
          <w:color w:val="auto"/>
        </w:rPr>
        <w:t>Sections 2.14(b)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right="80" w:firstLine="656"/>
        <w:spacing w:after="0" w:line="261" w:lineRule="auto"/>
        <w:tabs>
          <w:tab w:leader="none" w:pos="130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Effectiveness of Extensions</w:t>
      </w:r>
      <w:r>
        <w:rPr>
          <w:rFonts w:ascii="Times New Roman" w:cs="Times New Roman" w:eastAsia="Times New Roman" w:hAnsi="Times New Roman"/>
          <w:sz w:val="18"/>
          <w:szCs w:val="18"/>
          <w:color w:val="auto"/>
        </w:rPr>
        <w:t>. As conditions precedent to the effectiveness of each such extension of the Maturity Date, each of the following requirements shall be satisfied or waived on or prior to the Initial Maturity Date or the Extended Maturity Date, as applicable, as determined in good faith by the Administrative Agent (in each case, the first date on which such conditions precedent are satisfied or waived, the “</w:t>
      </w:r>
      <w:r>
        <w:rPr>
          <w:rFonts w:ascii="Times New Roman" w:cs="Times New Roman" w:eastAsia="Times New Roman" w:hAnsi="Times New Roman"/>
          <w:sz w:val="18"/>
          <w:szCs w:val="18"/>
          <w:u w:val="single" w:color="auto"/>
          <w:color w:val="auto"/>
        </w:rPr>
        <w:t>Extension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80" w:hanging="675"/>
        <w:spacing w:after="0"/>
        <w:tabs>
          <w:tab w:leader="none" w:pos="198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an Extension Notice within the period required under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above;</w:t>
      </w:r>
    </w:p>
    <w:p>
      <w:pPr>
        <w:spacing w:after="0" w:line="225" w:lineRule="exact"/>
        <w:rPr>
          <w:rFonts w:ascii="Times New Roman" w:cs="Times New Roman" w:eastAsia="Times New Roman" w:hAnsi="Times New Roman"/>
          <w:sz w:val="18"/>
          <w:szCs w:val="18"/>
          <w:color w:val="auto"/>
        </w:rPr>
      </w:pPr>
    </w:p>
    <w:p>
      <w:pPr>
        <w:ind w:left="660" w:right="280" w:firstLine="645"/>
        <w:spacing w:after="0" w:line="282" w:lineRule="auto"/>
        <w:tabs>
          <w:tab w:leader="none" w:pos="1987"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such Extension Notice and both immediately before and immediately after giving effect to such extension of the Maturity Date, no Default shall have occurred and be continuing;</w:t>
      </w:r>
    </w:p>
    <w:p>
      <w:pPr>
        <w:spacing w:after="0" w:line="161" w:lineRule="exact"/>
        <w:rPr>
          <w:rFonts w:ascii="Times New Roman" w:cs="Times New Roman" w:eastAsia="Times New Roman" w:hAnsi="Times New Roman"/>
          <w:sz w:val="18"/>
          <w:szCs w:val="18"/>
          <w:color w:val="auto"/>
        </w:rPr>
      </w:pPr>
    </w:p>
    <w:p>
      <w:pPr>
        <w:jc w:val="both"/>
        <w:ind w:left="660" w:right="340" w:firstLine="645"/>
        <w:spacing w:after="0" w:line="276" w:lineRule="auto"/>
        <w:tabs>
          <w:tab w:leader="none" w:pos="1997"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Extension Effective Date, immediately after giving effect to the extension of the Initial Maturity Date or the Extended Maturity Date, as the applicable, Total Asset Value shall be at least (x) $900,000,000 in the case of an extension of the Initial Maturity Date, and</w:t>
      </w:r>
    </w:p>
    <w:p>
      <w:pPr>
        <w:ind w:left="920" w:hanging="264"/>
        <w:spacing w:after="0"/>
        <w:tabs>
          <w:tab w:leader="none" w:pos="9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$1,250,000,000 in the case of an extension of the Extended Maturity Date;</w:t>
      </w:r>
    </w:p>
    <w:p>
      <w:pPr>
        <w:spacing w:after="0" w:line="206" w:lineRule="exact"/>
        <w:rPr>
          <w:rFonts w:ascii="Times New Roman" w:cs="Times New Roman" w:eastAsia="Times New Roman" w:hAnsi="Times New Roman"/>
          <w:sz w:val="18"/>
          <w:szCs w:val="18"/>
          <w:color w:val="auto"/>
        </w:rPr>
      </w:pPr>
    </w:p>
    <w:p>
      <w:pPr>
        <w:ind w:left="660" w:right="100" w:firstLine="645"/>
        <w:spacing w:after="0" w:line="261" w:lineRule="auto"/>
        <w:tabs>
          <w:tab w:leader="none" w:pos="1973"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paid to the Administrative Agent, for the pro rata benefit of the Lenders based on their respective Applicable Percentages as of such date, an extension fee in an amount equal to 0.15% multiplied by the Aggregate Commitments as in effect on the date the proposed extension is to become effective (it being agreed that such extension fee shall be fully earned when paid and shall not be refundable for any reason); and</w:t>
      </w:r>
    </w:p>
    <w:p>
      <w:pPr>
        <w:spacing w:after="0" w:line="180" w:lineRule="exact"/>
        <w:rPr>
          <w:rFonts w:ascii="Times New Roman" w:cs="Times New Roman" w:eastAsia="Times New Roman" w:hAnsi="Times New Roman"/>
          <w:sz w:val="18"/>
          <w:szCs w:val="18"/>
          <w:color w:val="auto"/>
        </w:rPr>
      </w:pPr>
    </w:p>
    <w:p>
      <w:pPr>
        <w:ind w:left="660" w:right="40" w:firstLine="645"/>
        <w:spacing w:after="0" w:line="253" w:lineRule="auto"/>
        <w:tabs>
          <w:tab w:leader="none" w:pos="1964"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a certificate of the Borrower dated as of the applicable Extension Effective Date signed by a Responsible Officer of the Borrower (i) (A) certifying and attaching the resolutions adopted by each Loan Party approving or consenting to such extension or (B) certifying that, as of the Extension Effective Date, the resolutions delivered to the Administrative Agent and the Lenders on the Closing Date with respect to each Loan Party (which resolutions include approval for an extension of the Maturity Date for a period that is not less than an additional two years from the Initial Maturity Date) are and remain in full force and effect and have not been modified, rescinded or superseded since the date of adoption and (ii) certifying that, before and after giving effect to such extension, (A) the representations and warranties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the other Loan Documents are true and correct in all material respects (or if qualified by “materiality,” “material adverse effect” or similar language, in all respects (after giving effect to such qualification)) on and as of the date the proposed extension is to become effective, except to the extent that such representations and warranties specifically refer to an earlier date, in which case they are true and correct in all material respects (or if qualified by “materiality,” “material adverse effect” or similar language, in all respects (after giving effect to such qualification)) as of such earlier date, and except that for purposes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subsections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shall be deemed to refer to the most recent statements furnished pursuant to </w:t>
      </w:r>
      <w:r>
        <w:rPr>
          <w:rFonts w:ascii="Times New Roman" w:cs="Times New Roman" w:eastAsia="Times New Roman" w:hAnsi="Times New Roman"/>
          <w:sz w:val="18"/>
          <w:szCs w:val="18"/>
          <w:u w:val="single" w:color="auto"/>
          <w:color w:val="auto"/>
        </w:rPr>
        <w:t>subsections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respectively,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and (B) no Default exists.</w:t>
      </w:r>
    </w:p>
    <w:p>
      <w:pPr>
        <w:spacing w:after="0" w:line="189" w:lineRule="exact"/>
        <w:rPr>
          <w:sz w:val="20"/>
          <w:szCs w:val="20"/>
          <w:color w:val="auto"/>
        </w:rPr>
      </w:pPr>
    </w:p>
    <w:p>
      <w:pPr>
        <w:ind w:right="160" w:firstLine="656"/>
        <w:spacing w:after="0" w:line="266" w:lineRule="auto"/>
        <w:tabs>
          <w:tab w:leader="none" w:pos="1307"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Reaffirmation by Loan Parties</w:t>
      </w:r>
      <w:r>
        <w:rPr>
          <w:rFonts w:ascii="Times New Roman" w:cs="Times New Roman" w:eastAsia="Times New Roman" w:hAnsi="Times New Roman"/>
          <w:sz w:val="18"/>
          <w:szCs w:val="18"/>
          <w:color w:val="auto"/>
        </w:rPr>
        <w:t>. If requested by the Administrative Agent, the Borrower and the other Loan Parties shall have delivered to the Administrative Agent such reaffirmations of their respective obligations under the Loan Documents (after giving effect to the extension), and acknowledgments and certifications that they have no claims, offsets or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defenses with respect to the payment or performance of any of the Obligations, including, without limitation, reaffirmations of the Pledge Agreement and the Guaranty.</w:t>
      </w:r>
    </w:p>
    <w:p>
      <w:pPr>
        <w:spacing w:after="0" w:line="162" w:lineRule="exact"/>
        <w:rPr>
          <w:sz w:val="20"/>
          <w:szCs w:val="20"/>
          <w:color w:val="auto"/>
        </w:rPr>
      </w:pPr>
    </w:p>
    <w:p>
      <w:pPr>
        <w:ind w:left="1320" w:hanging="664"/>
        <w:spacing w:after="0"/>
        <w:tabs>
          <w:tab w:leader="none" w:pos="13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Extension</w:t>
      </w:r>
      <w:r>
        <w:rPr>
          <w:rFonts w:ascii="Times New Roman" w:cs="Times New Roman" w:eastAsia="Times New Roman" w:hAnsi="Times New Roman"/>
          <w:sz w:val="18"/>
          <w:szCs w:val="18"/>
          <w:color w:val="auto"/>
        </w:rPr>
        <w:t>. Any such extension of the Maturity Date shall become effective on the Extension Effective Date.</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Conflicting Provisions</w:t>
      </w:r>
      <w:r>
        <w:rPr>
          <w:rFonts w:ascii="Times New Roman" w:cs="Times New Roman" w:eastAsia="Times New Roman" w:hAnsi="Times New Roman"/>
          <w:sz w:val="18"/>
          <w:szCs w:val="18"/>
          <w:color w:val="auto"/>
        </w:rPr>
        <w:t xml:space="preserve">. This Section shall supersede any provisions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10.01</w:t>
      </w:r>
      <w:r>
        <w:rPr>
          <w:rFonts w:ascii="Times New Roman" w:cs="Times New Roman" w:eastAsia="Times New Roman" w:hAnsi="Times New Roman"/>
          <w:sz w:val="18"/>
          <w:szCs w:val="18"/>
          <w:color w:val="auto"/>
        </w:rPr>
        <w:t xml:space="preserve"> to the contrary.</w:t>
      </w:r>
    </w:p>
    <w:p>
      <w:pPr>
        <w:spacing w:after="0" w:line="22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2.15</w:t>
      </w:r>
      <w:r>
        <w:rPr>
          <w:sz w:val="20"/>
          <w:szCs w:val="20"/>
          <w:color w:val="auto"/>
        </w:rPr>
        <w:tab/>
      </w:r>
      <w:r>
        <w:rPr>
          <w:rFonts w:ascii="Times New Roman" w:cs="Times New Roman" w:eastAsia="Times New Roman" w:hAnsi="Times New Roman"/>
          <w:sz w:val="17"/>
          <w:szCs w:val="17"/>
          <w:b w:val="1"/>
          <w:bCs w:val="1"/>
          <w:color w:val="auto"/>
        </w:rPr>
        <w:t>Increase in Commitments; Addition of Incremental Term Loan Facilities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656"/>
        <w:spacing w:after="0" w:line="270" w:lineRule="auto"/>
        <w:tabs>
          <w:tab w:leader="none" w:pos="1294"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Request for Increase</w:t>
      </w:r>
      <w:r>
        <w:rPr>
          <w:rFonts w:ascii="Times New Roman" w:cs="Times New Roman" w:eastAsia="Times New Roman" w:hAnsi="Times New Roman"/>
          <w:sz w:val="17"/>
          <w:szCs w:val="17"/>
          <w:color w:val="auto"/>
        </w:rPr>
        <w:t>. Upon notice to the Administrative Agent (which shall promptly notify the Lenders), the Borrower may from time to time prior to the then applicable Maturity Date, request an increase in the Aggregate Commitments (each such increase, an “</w:t>
      </w:r>
      <w:r>
        <w:rPr>
          <w:rFonts w:ascii="Times New Roman" w:cs="Times New Roman" w:eastAsia="Times New Roman" w:hAnsi="Times New Roman"/>
          <w:sz w:val="17"/>
          <w:szCs w:val="17"/>
          <w:u w:val="single" w:color="auto"/>
          <w:color w:val="auto"/>
        </w:rPr>
        <w:t>Incremental Revolving Increase</w:t>
      </w:r>
      <w:r>
        <w:rPr>
          <w:rFonts w:ascii="Times New Roman" w:cs="Times New Roman" w:eastAsia="Times New Roman" w:hAnsi="Times New Roman"/>
          <w:sz w:val="17"/>
          <w:szCs w:val="17"/>
          <w:color w:val="auto"/>
        </w:rPr>
        <w:t>”) or add one or more tranches of term loans (each an “</w:t>
      </w:r>
      <w:r>
        <w:rPr>
          <w:rFonts w:ascii="Times New Roman" w:cs="Times New Roman" w:eastAsia="Times New Roman" w:hAnsi="Times New Roman"/>
          <w:sz w:val="17"/>
          <w:szCs w:val="17"/>
          <w:u w:val="single" w:color="auto"/>
          <w:color w:val="auto"/>
        </w:rPr>
        <w:t>Incremental Term Loan Facility</w:t>
      </w:r>
      <w:r>
        <w:rPr>
          <w:rFonts w:ascii="Times New Roman" w:cs="Times New Roman" w:eastAsia="Times New Roman" w:hAnsi="Times New Roman"/>
          <w:sz w:val="17"/>
          <w:szCs w:val="17"/>
          <w:color w:val="auto"/>
        </w:rPr>
        <w:t>”; each Incremental Term Loan Facility and each Incremental Revolving Increase are collectively referred to as “</w:t>
      </w:r>
      <w:r>
        <w:rPr>
          <w:rFonts w:ascii="Times New Roman" w:cs="Times New Roman" w:eastAsia="Times New Roman" w:hAnsi="Times New Roman"/>
          <w:sz w:val="17"/>
          <w:szCs w:val="17"/>
          <w:u w:val="single" w:color="auto"/>
          <w:color w:val="auto"/>
        </w:rPr>
        <w:t>Incremental Facilities</w:t>
      </w:r>
      <w:r>
        <w:rPr>
          <w:rFonts w:ascii="Times New Roman" w:cs="Times New Roman" w:eastAsia="Times New Roman" w:hAnsi="Times New Roman"/>
          <w:sz w:val="17"/>
          <w:szCs w:val="17"/>
          <w:color w:val="auto"/>
        </w:rPr>
        <w:t xml:space="preserve">”) by an amount (for all such Incremental Facilities) not exceeding $200,000,000;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2" w:lineRule="exact"/>
        <w:rPr>
          <w:rFonts w:ascii="Times New Roman" w:cs="Times New Roman" w:eastAsia="Times New Roman" w:hAnsi="Times New Roman"/>
          <w:sz w:val="17"/>
          <w:szCs w:val="17"/>
          <w:color w:val="auto"/>
        </w:rPr>
      </w:pPr>
    </w:p>
    <w:p>
      <w:pPr>
        <w:jc w:val="both"/>
        <w:ind w:right="80" w:firstLine="8"/>
        <w:spacing w:after="0" w:line="250" w:lineRule="auto"/>
        <w:tabs>
          <w:tab w:leader="none" w:pos="21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exists no Default, (ii) each increase must be in a minimum amount of $10,000,000 and in integral multiples of $5,000,000 in excess thereof (or such other amounts as are agreed to by the Borrower and the Administrative Agent), and (iii) the conditions to the making of a Credit Extension set forth in clause</w:t>
      </w:r>
    </w:p>
    <w:p>
      <w:pPr>
        <w:ind w:right="80" w:firstLine="8"/>
        <w:spacing w:after="0" w:line="254" w:lineRule="auto"/>
        <w:tabs>
          <w:tab w:leader="none" w:pos="24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be satisfied or waived. At the time of sending such notice, the Borrower (in consultation with the Administrative Agent) shall specify the Lenders to be approached to provide all or a portion of such increase (subject in each case to any requisite consents required under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and the time period within which each such Lender is requested to respond (which shall in no event be less than ten (10) Business Days from the date of delivery of such notice to such Lenders).</w:t>
      </w:r>
    </w:p>
    <w:p>
      <w:pPr>
        <w:spacing w:after="0" w:line="185" w:lineRule="exact"/>
        <w:rPr>
          <w:rFonts w:ascii="Times New Roman" w:cs="Times New Roman" w:eastAsia="Times New Roman" w:hAnsi="Times New Roman"/>
          <w:sz w:val="18"/>
          <w:szCs w:val="18"/>
          <w:color w:val="auto"/>
        </w:rPr>
      </w:pPr>
    </w:p>
    <w:p>
      <w:pPr>
        <w:jc w:val="both"/>
        <w:ind w:right="160" w:firstLine="656"/>
        <w:spacing w:after="0" w:line="266" w:lineRule="auto"/>
        <w:tabs>
          <w:tab w:leader="none" w:pos="1304"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 Elections to Increase</w:t>
      </w:r>
      <w:r>
        <w:rPr>
          <w:rFonts w:ascii="Times New Roman" w:cs="Times New Roman" w:eastAsia="Times New Roman" w:hAnsi="Times New Roman"/>
          <w:sz w:val="18"/>
          <w:szCs w:val="18"/>
          <w:color w:val="auto"/>
        </w:rPr>
        <w:t xml:space="preserve">. Each applicable Lender shall notify the Administrative Agent within the time period for response described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 xml:space="preserve"> whether or not it agrees to participate in the requested Incremental Facility and, if so, whether by an amount equal to, greater than, or less than the portion of the requested Incremental Facility offered to it. Any Lender not responding within such time period shall be deemed to have declined to</w:t>
      </w:r>
    </w:p>
    <w:p>
      <w:pPr>
        <w:sectPr>
          <w:pgSz w:w="11900" w:h="16919" w:orient="portrait"/>
          <w:cols w:equalWidth="0" w:num="1">
            <w:col w:w="11400"/>
          </w:cols>
          <w:pgMar w:left="240" w:top="333" w:right="259" w:bottom="0" w:gutter="0" w:footer="0" w:header="0"/>
        </w:sectPr>
      </w:pPr>
    </w:p>
    <w:bookmarkStart w:id="74" w:name="page75"/>
    <w:bookmarkEnd w:id="74"/>
    <w:p>
      <w:pPr>
        <w:spacing w:after="0" w:line="50"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participate in the requested Incremental Facility. No Lender shall be required to increase its Revolving Commitment or make term loans under the Incremental Term Loan Facility, as applicable, to facilitate such Incremental Facility.</w:t>
      </w:r>
    </w:p>
    <w:p>
      <w:pPr>
        <w:spacing w:after="0" w:line="162" w:lineRule="exact"/>
        <w:rPr>
          <w:sz w:val="20"/>
          <w:szCs w:val="20"/>
          <w:color w:val="auto"/>
        </w:rPr>
      </w:pPr>
    </w:p>
    <w:p>
      <w:pPr>
        <w:ind w:right="240" w:firstLine="656"/>
        <w:spacing w:after="0" w:line="258" w:lineRule="auto"/>
        <w:tabs>
          <w:tab w:leader="none" w:pos="130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by Administrative Agent; Additional Lenders</w:t>
      </w:r>
      <w:r>
        <w:rPr>
          <w:rFonts w:ascii="Times New Roman" w:cs="Times New Roman" w:eastAsia="Times New Roman" w:hAnsi="Times New Roman"/>
          <w:sz w:val="18"/>
          <w:szCs w:val="18"/>
          <w:color w:val="auto"/>
        </w:rPr>
        <w:t>. The Administrative Agent shall notify the Borrower and each Lender of the Lenders’ responses to each request made hereunder. Subject to the approval of the Administrative Agent (which approvals shall not be unreasonably withheld, delayed or conditioned) and, in the case of an Incremental Revolving Increase, each L/C Issuer, the Borrower may also invite additional Eligible Assignees to become Lenders pursuant to a joinder agreement in form and substance reasonably satisfactory to the Administrative Agent and its counsel (a “</w:t>
      </w:r>
      <w:r>
        <w:rPr>
          <w:rFonts w:ascii="Times New Roman" w:cs="Times New Roman" w:eastAsia="Times New Roman" w:hAnsi="Times New Roman"/>
          <w:sz w:val="18"/>
          <w:szCs w:val="18"/>
          <w:u w:val="single" w:color="auto"/>
          <w:color w:val="auto"/>
        </w:rPr>
        <w:t>New Lender Joinder Agreement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380" w:firstLine="656"/>
        <w:spacing w:after="0" w:line="282" w:lineRule="auto"/>
        <w:tabs>
          <w:tab w:leader="none" w:pos="130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Allocations</w:t>
      </w:r>
      <w:r>
        <w:rPr>
          <w:rFonts w:ascii="Times New Roman" w:cs="Times New Roman" w:eastAsia="Times New Roman" w:hAnsi="Times New Roman"/>
          <w:sz w:val="18"/>
          <w:szCs w:val="18"/>
          <w:color w:val="auto"/>
        </w:rPr>
        <w:t>. If the Revolving Commitments are increased or term loans shall be made under any Incremental Term Loan Facility, as applicable, in accordance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with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the Administrative Agent and the Borrower shall determine the effective date (the “</w:t>
      </w:r>
      <w:r>
        <w:rPr>
          <w:rFonts w:ascii="Times New Roman" w:cs="Times New Roman" w:eastAsia="Times New Roman" w:hAnsi="Times New Roman"/>
          <w:sz w:val="18"/>
          <w:szCs w:val="18"/>
          <w:u w:val="single" w:color="auto"/>
          <w:color w:val="auto"/>
        </w:rPr>
        <w:t>Increase Effective Date</w:t>
      </w:r>
      <w:r>
        <w:rPr>
          <w:rFonts w:ascii="Times New Roman" w:cs="Times New Roman" w:eastAsia="Times New Roman" w:hAnsi="Times New Roman"/>
          <w:sz w:val="18"/>
          <w:szCs w:val="18"/>
          <w:color w:val="auto"/>
        </w:rPr>
        <w:t>”) and the final allocation of such Incremental Facility. The Administrative Agent shall promptly notify the Borrower and the Lenders of the final allocation of such Incremental Facility and the Increase Effective Date.</w:t>
      </w:r>
    </w:p>
    <w:p>
      <w:pPr>
        <w:spacing w:after="0" w:line="176" w:lineRule="exact"/>
        <w:rPr>
          <w:sz w:val="20"/>
          <w:szCs w:val="20"/>
          <w:color w:val="auto"/>
        </w:rPr>
      </w:pPr>
    </w:p>
    <w:p>
      <w:pPr>
        <w:ind w:right="200" w:firstLine="656"/>
        <w:spacing w:after="0" w:line="282" w:lineRule="auto"/>
        <w:tabs>
          <w:tab w:leader="none" w:pos="1307"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Effectiveness of Incremental Facility</w:t>
      </w:r>
      <w:r>
        <w:rPr>
          <w:rFonts w:ascii="Times New Roman" w:cs="Times New Roman" w:eastAsia="Times New Roman" w:hAnsi="Times New Roman"/>
          <w:sz w:val="18"/>
          <w:szCs w:val="18"/>
          <w:color w:val="auto"/>
        </w:rPr>
        <w:t>. As conditions precedent to the effectiveness of each such Incremental Facility, on or prior to the applicable Increase Effective Date:</w:t>
      </w:r>
    </w:p>
    <w:p>
      <w:pPr>
        <w:spacing w:after="0" w:line="161" w:lineRule="exact"/>
        <w:rPr>
          <w:rFonts w:ascii="Times New Roman" w:cs="Times New Roman" w:eastAsia="Times New Roman" w:hAnsi="Times New Roman"/>
          <w:sz w:val="18"/>
          <w:szCs w:val="18"/>
          <w:color w:val="auto"/>
        </w:rPr>
      </w:pPr>
    </w:p>
    <w:p>
      <w:pPr>
        <w:ind w:left="660" w:right="340" w:firstLine="645"/>
        <w:spacing w:after="0" w:line="282" w:lineRule="auto"/>
        <w:tabs>
          <w:tab w:leader="none" w:pos="1978"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deliver to the Administrative Agent a certificate of the Borrower dated as of the Increase Effective Date (in sufficient copies for each Lender) signed by a Responsible Officer of the Borrower:</w:t>
      </w:r>
    </w:p>
    <w:p>
      <w:pPr>
        <w:spacing w:after="0" w:line="161" w:lineRule="exact"/>
        <w:rPr>
          <w:rFonts w:ascii="Times New Roman" w:cs="Times New Roman" w:eastAsia="Times New Roman" w:hAnsi="Times New Roman"/>
          <w:sz w:val="18"/>
          <w:szCs w:val="18"/>
          <w:color w:val="auto"/>
        </w:rPr>
      </w:pPr>
    </w:p>
    <w:p>
      <w:pPr>
        <w:ind w:left="1300" w:right="60" w:firstLine="653"/>
        <w:spacing w:after="0" w:line="261" w:lineRule="auto"/>
        <w:tabs>
          <w:tab w:leader="none" w:pos="2617" w:val="left"/>
        </w:tabs>
        <w:numPr>
          <w:ilvl w:val="2"/>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certifying and attaching the resolutions adopted by each Loan Party approving or consenting to such Incremental Facility or (2) certifying that, as of such Increase Effective Date, the resolutions delivered to the Administrative Agent and the Lenders on the Closing Date (which resolutions include approval to increase the Aggregate Commitments to an amount at least equal to $500,000,000) are and remain in full force and effect and have not been modified, rescinded or superseded since the date of adoption,</w:t>
      </w:r>
    </w:p>
    <w:p>
      <w:pPr>
        <w:spacing w:after="0" w:line="180" w:lineRule="exact"/>
        <w:rPr>
          <w:rFonts w:ascii="Times New Roman" w:cs="Times New Roman" w:eastAsia="Times New Roman" w:hAnsi="Times New Roman"/>
          <w:sz w:val="18"/>
          <w:szCs w:val="18"/>
          <w:color w:val="auto"/>
        </w:rPr>
      </w:pPr>
    </w:p>
    <w:p>
      <w:pPr>
        <w:ind w:left="1300" w:firstLine="653"/>
        <w:spacing w:after="0" w:line="255" w:lineRule="auto"/>
        <w:tabs>
          <w:tab w:leader="none" w:pos="2607" w:val="left"/>
        </w:tabs>
        <w:numPr>
          <w:ilvl w:val="2"/>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certifying that, before and after giving effect to such Incremental Facility, (1) the representations and warranties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the other Loan Documents are true and correct in all material respects (or if qualified by “materiality,” “material adverse effect” or similar language, in all respects (after giving effect to such qualification)) on and as of the Increase Effective Date, except to the extent that such representations and warranties specifically refer to an earlier date, in which case they are true and correct in all material respects (or if qualified by “materiality,” “material adverse effect” or similar language, in all respects (after giving effect to such qualification)) as of such earlier date, and except that for purposes 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subsections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shall be deemed to refer to the most recent statements furnished pursuant to </w:t>
      </w:r>
      <w:r>
        <w:rPr>
          <w:rFonts w:ascii="Times New Roman" w:cs="Times New Roman" w:eastAsia="Times New Roman" w:hAnsi="Times New Roman"/>
          <w:sz w:val="18"/>
          <w:szCs w:val="18"/>
          <w:u w:val="single" w:color="auto"/>
          <w:color w:val="auto"/>
        </w:rPr>
        <w:t>subsections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respectively,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(2) no Default exists, (3) Availability;</w:t>
      </w:r>
    </w:p>
    <w:p>
      <w:pPr>
        <w:spacing w:after="0" w:line="185" w:lineRule="exact"/>
        <w:rPr>
          <w:rFonts w:ascii="Times New Roman" w:cs="Times New Roman" w:eastAsia="Times New Roman" w:hAnsi="Times New Roman"/>
          <w:sz w:val="18"/>
          <w:szCs w:val="18"/>
          <w:color w:val="auto"/>
        </w:rPr>
      </w:pPr>
    </w:p>
    <w:p>
      <w:pPr>
        <w:ind w:left="1300" w:right="580" w:firstLine="653"/>
        <w:spacing w:after="0" w:line="282" w:lineRule="auto"/>
        <w:tabs>
          <w:tab w:leader="none" w:pos="2607" w:val="left"/>
        </w:tabs>
        <w:numPr>
          <w:ilvl w:val="2"/>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Incremental Term Loan Facility, Availability shall equal or exceed zero ($0) on a pro forma basis immediately after giving effect to the closing of such Incremental Term Loan Facility; and</w:t>
      </w:r>
    </w:p>
    <w:p>
      <w:pPr>
        <w:spacing w:after="0" w:line="161"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2"/>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Incremental Term Loan Facility, the Loan Parties will be in compliance with the provisions of</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on a pro forma basis immediately after giving the closing of such Incremental Term Loan Facility;</w:t>
      </w:r>
    </w:p>
    <w:p>
      <w:pPr>
        <w:spacing w:after="0" w:line="207" w:lineRule="exact"/>
        <w:rPr>
          <w:sz w:val="20"/>
          <w:szCs w:val="20"/>
          <w:color w:val="auto"/>
        </w:rPr>
      </w:pPr>
    </w:p>
    <w:p>
      <w:pPr>
        <w:ind w:left="5620" w:right="2640" w:hanging="4315"/>
        <w:spacing w:after="0" w:line="532" w:lineRule="auto"/>
        <w:tabs>
          <w:tab w:leader="none" w:pos="198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of the Lenders providing such Incremental Facility shall be satisfied or waived; 64</w:t>
      </w:r>
    </w:p>
    <w:p>
      <w:pPr>
        <w:spacing w:after="0" w:line="203" w:lineRule="exact"/>
        <w:rPr>
          <w:rFonts w:ascii="Times New Roman" w:cs="Times New Roman" w:eastAsia="Times New Roman" w:hAnsi="Times New Roman"/>
          <w:sz w:val="18"/>
          <w:szCs w:val="18"/>
          <w:color w:val="auto"/>
        </w:rPr>
      </w:pPr>
    </w:p>
    <w:p>
      <w:pPr>
        <w:ind w:left="660" w:right="160" w:firstLine="645"/>
        <w:spacing w:after="0" w:line="257" w:lineRule="auto"/>
        <w:tabs>
          <w:tab w:leader="none" w:pos="1997"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(x) a New Lender Joinder Agreement duly executed by the Borrower and each Eligible Assignee, if any, that is becoming a Lender in connection with such Incremental Facility, which New Lender Joinder Agreement shall be acknowledged and consented to in writing by the Administrative Agent and, in the case of an Incremental Revolving Increase, each L/C Issuer and</w:t>
      </w:r>
    </w:p>
    <w:p>
      <w:pPr>
        <w:spacing w:after="0" w:line="1" w:lineRule="exact"/>
        <w:rPr>
          <w:rFonts w:ascii="Times New Roman" w:cs="Times New Roman" w:eastAsia="Times New Roman" w:hAnsi="Times New Roman"/>
          <w:sz w:val="18"/>
          <w:szCs w:val="18"/>
          <w:color w:val="auto"/>
        </w:rPr>
      </w:pPr>
    </w:p>
    <w:p>
      <w:pPr>
        <w:jc w:val="both"/>
        <w:ind w:left="660" w:right="20" w:hanging="4"/>
        <w:spacing w:after="0" w:line="255" w:lineRule="auto"/>
        <w:tabs>
          <w:tab w:leader="none" w:pos="91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confirmation from each existing Lender, if any, participating in such Incremental Facility of the amount by which its Commitment will be increased, in the case of an Incremental Revolving Increase, which confirmation shall be acknowledged and consented to in writing each L/C Issuer, or the amount of the term loan to be made by such Lender, in the case of an Incremental Term Loan Facility;</w:t>
      </w:r>
    </w:p>
    <w:p>
      <w:pPr>
        <w:spacing w:after="0" w:line="186" w:lineRule="exact"/>
        <w:rPr>
          <w:rFonts w:ascii="Times New Roman" w:cs="Times New Roman" w:eastAsia="Times New Roman" w:hAnsi="Times New Roman"/>
          <w:sz w:val="18"/>
          <w:szCs w:val="18"/>
          <w:color w:val="auto"/>
        </w:rPr>
      </w:pPr>
    </w:p>
    <w:p>
      <w:pPr>
        <w:ind w:left="660" w:right="20" w:firstLine="645"/>
        <w:spacing w:after="0" w:line="261" w:lineRule="auto"/>
        <w:tabs>
          <w:tab w:leader="none" w:pos="1973"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the Administrative Agent or any new Lender or Lender participating in the Incremental Facility, the Administrative Agent shall have received a favorable opinion of counsel (which counsel shall be reasonably acceptable to the Administrative Agent), addressed to the Administrative Agent and each Lender, as to such customary matters concerning the Incremental Facility as the Administrative Agent may reasonably request;</w:t>
      </w:r>
    </w:p>
    <w:p>
      <w:pPr>
        <w:spacing w:after="0" w:line="180"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provide a Note to any new Lender joining on the Increase Effective Date, if requested;</w:t>
      </w:r>
    </w:p>
    <w:p>
      <w:pPr>
        <w:spacing w:after="0" w:line="225" w:lineRule="exact"/>
        <w:rPr>
          <w:rFonts w:ascii="Times New Roman" w:cs="Times New Roman" w:eastAsia="Times New Roman" w:hAnsi="Times New Roman"/>
          <w:sz w:val="18"/>
          <w:szCs w:val="18"/>
          <w:color w:val="auto"/>
        </w:rPr>
      </w:pPr>
    </w:p>
    <w:p>
      <w:pPr>
        <w:ind w:left="660" w:right="40" w:firstLine="645"/>
        <w:spacing w:after="0" w:line="261" w:lineRule="auto"/>
        <w:tabs>
          <w:tab w:leader="none" w:pos="1973"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Mortgage in favor of the Administrative Agent exists at such time on a Borrowing Base Asset, then the Administrative Agent shall have received evidence, in form and substance satisfactory to the Administrative Agent, that no Improvements located on such mortgaged Real Property Asset are located within a Special Flood Hazard Area or, if any are, evidence that the flood insurance prescribed herein has been obtained; and</w:t>
      </w:r>
    </w:p>
    <w:p>
      <w:pPr>
        <w:spacing w:after="0" w:line="180"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have paid to the Bookrunner, for its own account, the fee required to be paid pursuant to the Fee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-2959735</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right="80" w:firstLine="656"/>
        <w:spacing w:after="0" w:line="261" w:lineRule="auto"/>
        <w:tabs>
          <w:tab w:leader="none" w:pos="1301"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Procedures</w:t>
      </w:r>
      <w:r>
        <w:rPr>
          <w:rFonts w:ascii="Times New Roman" w:cs="Times New Roman" w:eastAsia="Times New Roman" w:hAnsi="Times New Roman"/>
          <w:sz w:val="18"/>
          <w:szCs w:val="18"/>
          <w:color w:val="auto"/>
        </w:rPr>
        <w:t xml:space="preserve">. On each Increase Effective Date, promptly following fulfillment of the conditions set forth in clause (e) 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the Administrative Agent shall notify the Lenders of the occurrence of the Incremental Facility effected on such Increase Effective Date and, in the case of a Revolving Credit Increase, the amount of the Commitments and the Applicable Percentage of each Lender as a result thereof, and in the case of an Incremental Term Loan Facility, the allocated portion and applicable percentage of each Lender participating in such Incremental Term Loan Facility and</w:t>
      </w:r>
    </w:p>
    <w:p>
      <w:pPr>
        <w:sectPr>
          <w:pgSz w:w="11900" w:h="16888" w:orient="portrait"/>
          <w:cols w:equalWidth="0" w:num="1">
            <w:col w:w="11400"/>
          </w:cols>
          <w:pgMar w:left="240" w:top="121" w:right="259" w:bottom="0" w:gutter="0" w:footer="0" w:header="0"/>
        </w:sectPr>
      </w:pPr>
    </w:p>
    <w:bookmarkStart w:id="75" w:name="page76"/>
    <w:bookmarkEnd w:id="75"/>
    <w:p>
      <w:pPr>
        <w:spacing w:after="0" w:line="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each such participating Lender shall make a term loan to the Borrowers equal to its allocated portion of such Incremental Term Loan Facility. In the event that an Incremental Revolving Increase results in any change to the Applicable Percentage of any Lender, then on the Increase Effective Date, as applicable,</w:t>
      </w:r>
    </w:p>
    <w:p>
      <w:pPr>
        <w:ind w:right="20" w:firstLine="8"/>
        <w:spacing w:after="0" w:line="254" w:lineRule="auto"/>
        <w:tabs>
          <w:tab w:leader="none" w:pos="21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participation interests of the Lenders in any outstanding Letters of Credit shall be automatically reallocated among the Lenders in accordance with their respective Applicable Percentages after giving effect to such increase, (ii) any new Lender, and any existing Lender whose Commitment has increased, shall pay to the Administrative Agent such amounts as are necessary to fund its new or increased Applicable Percentage of all existing Committed Loans, (iii) the Administrative Agent will use the proceeds thereof to pay to all existing Lenders whose Applicable Percentage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decreasing such amounts as are necessary so that each Lender’s share of all Committed Loans, will be equal to its adjusted Applicable Percentage, and</w:t>
      </w:r>
    </w:p>
    <w:p>
      <w:pPr>
        <w:spacing w:after="0" w:line="27" w:lineRule="exact"/>
        <w:rPr>
          <w:sz w:val="20"/>
          <w:szCs w:val="20"/>
          <w:color w:val="auto"/>
        </w:rPr>
      </w:pPr>
    </w:p>
    <w:p>
      <w:pPr>
        <w:ind w:left="320" w:hanging="312"/>
        <w:spacing w:after="0"/>
        <w:tabs>
          <w:tab w:leader="none" w:pos="32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shall pay any amounts required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on account of the payments made pursuant to clause (iii) of this sentence.</w:t>
      </w:r>
    </w:p>
    <w:p>
      <w:pPr>
        <w:spacing w:after="0" w:line="206" w:lineRule="exact"/>
        <w:rPr>
          <w:rFonts w:ascii="Times New Roman" w:cs="Times New Roman" w:eastAsia="Times New Roman" w:hAnsi="Times New Roman"/>
          <w:sz w:val="18"/>
          <w:szCs w:val="18"/>
          <w:color w:val="auto"/>
        </w:rPr>
      </w:pPr>
    </w:p>
    <w:p>
      <w:pPr>
        <w:jc w:val="both"/>
        <w:ind w:right="60" w:firstLine="656"/>
        <w:spacing w:after="0" w:line="261" w:lineRule="auto"/>
        <w:tabs>
          <w:tab w:leader="none" w:pos="1317"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In the case of an Incremental Term Loan Facility, this Agreement and the other Loan Documents may be amended as necessary or appropriate, in the reasonable opinion of the Administrative Agent and the Borrower, to effect the provisions 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with the consent of the Administrative Agent, each Lender providing such Incremental Term Loan Facility and the Borrower, to give effect to or to evidence the terms of such Incremental Term Loan Facility.</w:t>
      </w:r>
    </w:p>
    <w:p>
      <w:pPr>
        <w:spacing w:after="0" w:line="180"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Conflicting Provisions</w:t>
      </w:r>
      <w:r>
        <w:rPr>
          <w:rFonts w:ascii="Times New Roman" w:cs="Times New Roman" w:eastAsia="Times New Roman" w:hAnsi="Times New Roman"/>
          <w:sz w:val="18"/>
          <w:szCs w:val="18"/>
          <w:color w:val="auto"/>
        </w:rPr>
        <w:t xml:space="preserve">. This Section shall supersede any provisions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10.01</w:t>
      </w:r>
      <w:r>
        <w:rPr>
          <w:rFonts w:ascii="Times New Roman" w:cs="Times New Roman" w:eastAsia="Times New Roman" w:hAnsi="Times New Roman"/>
          <w:sz w:val="18"/>
          <w:szCs w:val="18"/>
          <w:color w:val="auto"/>
        </w:rPr>
        <w:t xml:space="preserve"> to the contrary.</w:t>
      </w:r>
    </w:p>
    <w:p>
      <w:pPr>
        <w:spacing w:after="0" w:line="22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2.16</w:t>
      </w:r>
      <w:r>
        <w:rPr>
          <w:sz w:val="20"/>
          <w:szCs w:val="20"/>
          <w:color w:val="auto"/>
        </w:rPr>
        <w:tab/>
      </w:r>
      <w:r>
        <w:rPr>
          <w:rFonts w:ascii="Times New Roman" w:cs="Times New Roman" w:eastAsia="Times New Roman" w:hAnsi="Times New Roman"/>
          <w:sz w:val="17"/>
          <w:szCs w:val="17"/>
          <w:b w:val="1"/>
          <w:bCs w:val="1"/>
          <w:color w:val="auto"/>
        </w:rPr>
        <w:t>Cash Collateral</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200" w:firstLine="656"/>
        <w:spacing w:after="0" w:line="254" w:lineRule="auto"/>
        <w:tabs>
          <w:tab w:leader="none" w:pos="129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Credit Support Events</w:t>
      </w:r>
      <w:r>
        <w:rPr>
          <w:rFonts w:ascii="Times New Roman" w:cs="Times New Roman" w:eastAsia="Times New Roman" w:hAnsi="Times New Roman"/>
          <w:sz w:val="18"/>
          <w:szCs w:val="18"/>
          <w:color w:val="auto"/>
        </w:rPr>
        <w:t xml:space="preserve">. If (i) an L/C Issuer has honored any full or partial drawing request under any Letter of Credit and such drawing has resulted in an L/C Borrowing, (ii) as of the Letter of Credit Expiration Date, any L/C Obligation for any reason remains outstanding, (iii) the Borrower shall be required to provide Cash Collateral pursuant to </w:t>
      </w:r>
      <w:r>
        <w:rPr>
          <w:rFonts w:ascii="Times New Roman" w:cs="Times New Roman" w:eastAsia="Times New Roman" w:hAnsi="Times New Roman"/>
          <w:sz w:val="18"/>
          <w:szCs w:val="18"/>
          <w:u w:val="single" w:color="auto"/>
          <w:color w:val="auto"/>
        </w:rPr>
        <w:t>Section 8.02(c)</w:t>
      </w:r>
      <w:r>
        <w:rPr>
          <w:rFonts w:ascii="Times New Roman" w:cs="Times New Roman" w:eastAsia="Times New Roman" w:hAnsi="Times New Roman"/>
          <w:sz w:val="18"/>
          <w:szCs w:val="18"/>
          <w:color w:val="auto"/>
        </w:rPr>
        <w:t xml:space="preserve">, or (iv) there shall exist a Defaulting Lender, the Borrower shall immediately (in the case of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above) or within one Business Day (in all other cases) following any request by the Administrative Agent or the applicable L/C Issuer, either (x) in the case of clause (i) or (ii) above, repay the subject L/C Borrowing or L/C Obligation, if applicable, or (y) provide Cash Collateral in an amount not less than the applicable Minimum Collateral Amount (determined in the case of Cash Collateral provided pursuant to</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above, after giving effect to </w:t>
      </w:r>
      <w:r>
        <w:rPr>
          <w:rFonts w:ascii="Times New Roman" w:cs="Times New Roman" w:eastAsia="Times New Roman" w:hAnsi="Times New Roman"/>
          <w:sz w:val="18"/>
          <w:szCs w:val="18"/>
          <w:u w:val="single" w:color="auto"/>
          <w:color w:val="auto"/>
        </w:rPr>
        <w:t>Section 2.17(a)(iv)</w:t>
      </w:r>
      <w:r>
        <w:rPr>
          <w:rFonts w:ascii="Times New Roman" w:cs="Times New Roman" w:eastAsia="Times New Roman" w:hAnsi="Times New Roman"/>
          <w:sz w:val="18"/>
          <w:szCs w:val="18"/>
          <w:color w:val="auto"/>
        </w:rPr>
        <w:t xml:space="preserve"> and any Cash Collateral provided by the Defaulting Lender).</w:t>
      </w:r>
    </w:p>
    <w:p>
      <w:pPr>
        <w:spacing w:after="0" w:line="206" w:lineRule="exact"/>
        <w:rPr>
          <w:rFonts w:ascii="Times New Roman" w:cs="Times New Roman" w:eastAsia="Times New Roman" w:hAnsi="Times New Roman"/>
          <w:sz w:val="18"/>
          <w:szCs w:val="18"/>
          <w:color w:val="auto"/>
        </w:rPr>
      </w:pPr>
    </w:p>
    <w:p>
      <w:pPr>
        <w:ind w:firstLine="656"/>
        <w:spacing w:after="0" w:line="254" w:lineRule="auto"/>
        <w:tabs>
          <w:tab w:leader="none" w:pos="130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xml:space="preserve">. The Borrower, and to the extent provided by any Defaulting Lender, such Defaulting Lender, hereby grants to (and subjects to the control of) the Administrative Agent, for the benefit of the Administrative Agent, the L/C Issuers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18"/>
          <w:szCs w:val="18"/>
          <w:u w:val="single" w:color="auto"/>
          <w:color w:val="auto"/>
        </w:rPr>
        <w:t>Section 2.16(c)</w:t>
      </w:r>
      <w:r>
        <w:rPr>
          <w:rFonts w:ascii="Times New Roman" w:cs="Times New Roman" w:eastAsia="Times New Roman" w:hAnsi="Times New Roman"/>
          <w:sz w:val="18"/>
          <w:szCs w:val="18"/>
          <w:color w:val="auto"/>
        </w:rPr>
        <w:t>. If at any time the Administrative Agent determines that Cash Collateral is subject to any right or claim of any Person other than the Administrative Agent or the L/C Issuers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Borrower shall pay on demand therefor from time to time all customary account opening, activity and other administrative fees and charges in connection with the maintenance and disbursement of Cash Collateral.</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Notwithstanding anything to the contrary contained in this Agreement, Cash Collateral provided under any of this</w:t>
      </w:r>
    </w:p>
    <w:p>
      <w:pPr>
        <w:spacing w:after="0" w:line="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86" w:lineRule="exact"/>
        <w:rPr>
          <w:sz w:val="20"/>
          <w:szCs w:val="20"/>
          <w:color w:val="auto"/>
        </w:rPr>
      </w:pPr>
    </w:p>
    <w:p>
      <w:pPr>
        <w:ind w:firstLine="656"/>
        <w:spacing w:after="0" w:line="255" w:lineRule="auto"/>
        <w:tabs>
          <w:tab w:leader="none" w:pos="130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18"/>
          <w:szCs w:val="18"/>
          <w:u w:val="single" w:color="auto"/>
          <w:color w:val="auto"/>
        </w:rPr>
        <w:t>Section 10.06(b)(vi)</w:t>
      </w:r>
      <w:r>
        <w:rPr>
          <w:rFonts w:ascii="Times New Roman" w:cs="Times New Roman" w:eastAsia="Times New Roman" w:hAnsi="Times New Roman"/>
          <w:sz w:val="18"/>
          <w:szCs w:val="18"/>
          <w:color w:val="auto"/>
        </w:rPr>
        <w:t xml:space="preserve">)) or (ii) the determination by the Administrative Agent and the L/C Issuers that there exists excess Cash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(x) Cash Collateral furnished by or on behalf of the Borrower shall not be released during the continuance of a Default (and following application as provided in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may be otherwise applied in accordance with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and (y) the Person providing Cash Collateral and the L/C Issuers may agree that Cash Collateral shall not be released but instead held to support future anticipated Fronting Exposure or other obligations.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2.17</w:t>
      </w:r>
      <w:r>
        <w:rPr>
          <w:sz w:val="20"/>
          <w:szCs w:val="20"/>
          <w:color w:val="auto"/>
        </w:rPr>
        <w:tab/>
      </w:r>
      <w:r>
        <w:rPr>
          <w:rFonts w:ascii="Times New Roman" w:cs="Times New Roman" w:eastAsia="Times New Roman" w:hAnsi="Times New Roman"/>
          <w:sz w:val="17"/>
          <w:szCs w:val="17"/>
          <w:b w:val="1"/>
          <w:bCs w:val="1"/>
          <w:color w:val="auto"/>
        </w:rPr>
        <w:t>Defaulting Lenders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360" w:firstLine="656"/>
        <w:spacing w:after="0" w:line="282" w:lineRule="auto"/>
        <w:tabs>
          <w:tab w:leader="none" w:pos="129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61" w:lineRule="exact"/>
        <w:rPr>
          <w:rFonts w:ascii="Times New Roman" w:cs="Times New Roman" w:eastAsia="Times New Roman" w:hAnsi="Times New Roman"/>
          <w:sz w:val="18"/>
          <w:szCs w:val="18"/>
          <w:color w:val="auto"/>
        </w:rPr>
      </w:pPr>
    </w:p>
    <w:p>
      <w:pPr>
        <w:ind w:left="660" w:right="420" w:firstLine="645"/>
        <w:spacing w:after="0" w:line="282" w:lineRule="auto"/>
        <w:tabs>
          <w:tab w:leader="none" w:pos="1978"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xml:space="preserve">. Such Defaulting Lender’s right to approve or disapprove any amendment, waiver or consent with respect to this Agreement shall be restricted as set forth in the definition of “Required Lenders” and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right="40" w:firstLine="645"/>
        <w:spacing w:after="0" w:line="271" w:lineRule="auto"/>
        <w:tabs>
          <w:tab w:leader="none" w:pos="1987"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Defaulting Lender Waterfall</w:t>
      </w:r>
      <w:r>
        <w:rPr>
          <w:rFonts w:ascii="Times New Roman" w:cs="Times New Roman" w:eastAsia="Times New Roman" w:hAnsi="Times New Roman"/>
          <w:sz w:val="17"/>
          <w:szCs w:val="17"/>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or otherwise) or received by the Administrative Agent from a Defaulting Lender pursuant to </w:t>
      </w:r>
      <w:r>
        <w:rPr>
          <w:rFonts w:ascii="Times New Roman" w:cs="Times New Roman" w:eastAsia="Times New Roman" w:hAnsi="Times New Roman"/>
          <w:sz w:val="17"/>
          <w:szCs w:val="17"/>
          <w:u w:val="single" w:color="auto"/>
          <w:color w:val="auto"/>
        </w:rPr>
        <w:t>Section 10.08</w:t>
      </w:r>
      <w:r>
        <w:rPr>
          <w:rFonts w:ascii="Times New Roman" w:cs="Times New Roman" w:eastAsia="Times New Roman" w:hAnsi="Times New Roman"/>
          <w:sz w:val="17"/>
          <w:szCs w:val="17"/>
          <w:color w:val="auto"/>
        </w:rPr>
        <w:t xml:space="preserve"> shall be applied at such time or times as may be determined by the Administrative Agent as follows: </w:t>
      </w:r>
      <w:r>
        <w:rPr>
          <w:rFonts w:ascii="Times New Roman" w:cs="Times New Roman" w:eastAsia="Times New Roman" w:hAnsi="Times New Roman"/>
          <w:sz w:val="17"/>
          <w:szCs w:val="17"/>
          <w:i w:val="1"/>
          <w:iCs w:val="1"/>
          <w:color w:val="auto"/>
        </w:rPr>
        <w:t>first</w:t>
      </w:r>
      <w:r>
        <w:rPr>
          <w:rFonts w:ascii="Times New Roman" w:cs="Times New Roman" w:eastAsia="Times New Roman" w:hAnsi="Times New Roman"/>
          <w:sz w:val="17"/>
          <w:szCs w:val="17"/>
          <w:color w:val="auto"/>
        </w:rPr>
        <w:t xml:space="preserve">, to the payment of any amounts owing by such Defaulting Lender to the Administrative Agent hereunder; second, to the payment on a pro rata basis of any amounts owing by such Defaulting Lender to any L/C Issuer hereunder; </w:t>
      </w:r>
      <w:r>
        <w:rPr>
          <w:rFonts w:ascii="Times New Roman" w:cs="Times New Roman" w:eastAsia="Times New Roman" w:hAnsi="Times New Roman"/>
          <w:sz w:val="17"/>
          <w:szCs w:val="17"/>
          <w:i w:val="1"/>
          <w:iCs w:val="1"/>
          <w:color w:val="auto"/>
        </w:rPr>
        <w:t>third</w:t>
      </w:r>
      <w:r>
        <w:rPr>
          <w:rFonts w:ascii="Times New Roman" w:cs="Times New Roman" w:eastAsia="Times New Roman" w:hAnsi="Times New Roman"/>
          <w:sz w:val="17"/>
          <w:szCs w:val="17"/>
          <w:color w:val="auto"/>
        </w:rPr>
        <w:t xml:space="preserve">, to Cash Collateralize the L/C Issuers’ Fronting Exposure with respect to such Defaulting Lender in accordance with </w:t>
      </w:r>
      <w:r>
        <w:rPr>
          <w:rFonts w:ascii="Times New Roman" w:cs="Times New Roman" w:eastAsia="Times New Roman" w:hAnsi="Times New Roman"/>
          <w:sz w:val="17"/>
          <w:szCs w:val="17"/>
          <w:u w:val="single" w:color="auto"/>
          <w:color w:val="auto"/>
        </w:rPr>
        <w:t>Section 2.16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fourth</w:t>
      </w:r>
      <w:r>
        <w:rPr>
          <w:rFonts w:ascii="Times New Roman" w:cs="Times New Roman" w:eastAsia="Times New Roman" w:hAnsi="Times New Roman"/>
          <w:sz w:val="17"/>
          <w:szCs w:val="17"/>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7"/>
          <w:szCs w:val="17"/>
          <w:i w:val="1"/>
          <w:iCs w:val="1"/>
          <w:color w:val="auto"/>
        </w:rPr>
        <w:t>fifth</w:t>
      </w:r>
      <w:r>
        <w:rPr>
          <w:rFonts w:ascii="Times New Roman" w:cs="Times New Roman" w:eastAsia="Times New Roman" w:hAnsi="Times New Roman"/>
          <w:sz w:val="17"/>
          <w:szCs w:val="17"/>
          <w:color w:val="auto"/>
        </w:rPr>
        <w:t>, if so determined by the Administrative Agent and the Borrower, to be held in a deposit account and released pro rata in order to (x) satisfy such Defaulting Lender’s potential future funding obligations</w:t>
      </w:r>
    </w:p>
    <w:p>
      <w:pPr>
        <w:sectPr>
          <w:pgSz w:w="11900" w:h="16921" w:orient="portrait"/>
          <w:cols w:equalWidth="0" w:num="1">
            <w:col w:w="11420"/>
          </w:cols>
          <w:pgMar w:left="240" w:top="121" w:right="239" w:bottom="0" w:gutter="0" w:footer="0" w:header="0"/>
        </w:sectPr>
      </w:pPr>
    </w:p>
    <w:bookmarkStart w:id="76" w:name="page77"/>
    <w:bookmarkEnd w:id="76"/>
    <w:p>
      <w:pPr>
        <w:ind w:left="660" w:right="340"/>
        <w:spacing w:after="0" w:line="282" w:lineRule="auto"/>
        <w:rPr>
          <w:sz w:val="20"/>
          <w:szCs w:val="20"/>
          <w:color w:val="auto"/>
        </w:rPr>
      </w:pPr>
      <w:r>
        <w:rPr>
          <w:rFonts w:ascii="Times New Roman" w:cs="Times New Roman" w:eastAsia="Times New Roman" w:hAnsi="Times New Roman"/>
          <w:sz w:val="18"/>
          <w:szCs w:val="18"/>
          <w:color w:val="auto"/>
        </w:rPr>
        <w:t>with respect to Loans under this Agreement and (y) Cash Collateralize the L/C Issuers’ future Fronting Exposure with respect to such Defaulting Lender with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right="40"/>
        <w:spacing w:after="0" w:line="253" w:lineRule="auto"/>
        <w:rPr>
          <w:sz w:val="20"/>
          <w:szCs w:val="20"/>
          <w:color w:val="auto"/>
        </w:rPr>
      </w:pPr>
      <w:r>
        <w:rPr>
          <w:rFonts w:ascii="Times New Roman" w:cs="Times New Roman" w:eastAsia="Times New Roman" w:hAnsi="Times New Roman"/>
          <w:sz w:val="18"/>
          <w:szCs w:val="18"/>
          <w:color w:val="auto"/>
        </w:rPr>
        <w:t xml:space="preserve">respect to future Letters of Credit issued under this Agreement, in accordance with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to the payment of any amounts owing to the Lenders or the L/C Issuers as a result of any judgment of a court of competent jurisdiction obtained by any Lender or any L/C Issuer against such Defaulting Lender as a result of such Defaulting Lender’s breach of its obligations under this Agreement; </w:t>
      </w: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are held by the Lenders pro rata in accordance with the Commitments hereunder without giving effect to </w:t>
      </w:r>
      <w:r>
        <w:rPr>
          <w:rFonts w:ascii="Times New Roman" w:cs="Times New Roman" w:eastAsia="Times New Roman" w:hAnsi="Times New Roman"/>
          <w:sz w:val="18"/>
          <w:szCs w:val="18"/>
          <w:u w:val="single" w:color="auto"/>
          <w:color w:val="auto"/>
        </w:rPr>
        <w:t>Section 2.17(a)(iv)</w:t>
      </w:r>
      <w:r>
        <w:rPr>
          <w:rFonts w:ascii="Times New Roman" w:cs="Times New Roman" w:eastAsia="Times New Roman" w:hAnsi="Times New Roman"/>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8"/>
          <w:szCs w:val="18"/>
          <w:u w:val="single" w:color="auto"/>
          <w:color w:val="auto"/>
        </w:rPr>
        <w:t>Section 2.17(a)(ii)</w:t>
      </w:r>
      <w:r>
        <w:rPr>
          <w:rFonts w:ascii="Times New Roman" w:cs="Times New Roman" w:eastAsia="Times New Roman" w:hAnsi="Times New Roman"/>
          <w:sz w:val="18"/>
          <w:szCs w:val="18"/>
          <w:color w:val="auto"/>
        </w:rPr>
        <w:t xml:space="preserve"> shall be deemed paid to and redirected by such Defaulting Lender, and each Lender irrevocably consents hereto.</w:t>
      </w:r>
    </w:p>
    <w:p>
      <w:pPr>
        <w:spacing w:after="0" w:line="189" w:lineRule="exact"/>
        <w:rPr>
          <w:sz w:val="20"/>
          <w:szCs w:val="20"/>
          <w:color w:val="auto"/>
        </w:rPr>
      </w:pPr>
    </w:p>
    <w:p>
      <w:pPr>
        <w:ind w:left="2000" w:hanging="695"/>
        <w:spacing w:after="0"/>
        <w:tabs>
          <w:tab w:leader="none" w:pos="20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right="220" w:firstLine="653"/>
        <w:spacing w:after="0" w:line="266" w:lineRule="auto"/>
        <w:tabs>
          <w:tab w:leader="none" w:pos="2617"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Defaulting Lender shall be entitled to receive any Commitment Fee payable under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for any period during which that Lender is a Defaulting Lender (and the Borrower shall not be required to pay any such Commitment Fee that otherwise would have been required to have been paid to that Defaulting Lender).</w:t>
      </w:r>
    </w:p>
    <w:p>
      <w:pPr>
        <w:spacing w:after="0" w:line="176" w:lineRule="exact"/>
        <w:rPr>
          <w:rFonts w:ascii="Times New Roman" w:cs="Times New Roman" w:eastAsia="Times New Roman" w:hAnsi="Times New Roman"/>
          <w:sz w:val="18"/>
          <w:szCs w:val="18"/>
          <w:color w:val="auto"/>
        </w:rPr>
      </w:pPr>
    </w:p>
    <w:p>
      <w:pPr>
        <w:ind w:left="1300" w:right="60" w:firstLine="653"/>
        <w:spacing w:after="0" w:line="256" w:lineRule="auto"/>
        <w:tabs>
          <w:tab w:leader="none" w:pos="2607"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Defaulting Lender shall be entitled to receive (x) Facility Fees payable under </w:t>
      </w:r>
      <w:r>
        <w:rPr>
          <w:rFonts w:ascii="Times New Roman" w:cs="Times New Roman" w:eastAsia="Times New Roman" w:hAnsi="Times New Roman"/>
          <w:sz w:val="18"/>
          <w:szCs w:val="18"/>
          <w:u w:val="single" w:color="auto"/>
          <w:color w:val="auto"/>
        </w:rPr>
        <w:t>Sections 2.09(a)</w:t>
      </w:r>
      <w:r>
        <w:rPr>
          <w:rFonts w:ascii="Times New Roman" w:cs="Times New Roman" w:eastAsia="Times New Roman" w:hAnsi="Times New Roman"/>
          <w:sz w:val="18"/>
          <w:szCs w:val="18"/>
          <w:color w:val="auto"/>
        </w:rPr>
        <w:t xml:space="preserve"> for any period during which that Lender is a Defaulting Lender only to extent allocable to the sum of (1) the outstanding principal amount of the Committed Loans funded by it, and (2) its Applicable Percentage of the stated amount of Letters of Credit for which it has provided Cash Collateral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and (y) Letter of Credit Fees for any period during which that Lender is a Defaulting Lender only to the extent allocable to its Applicable Percentage of the stated amount of Letters of Credit for which it has provided Cash Collateral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300" w:right="180" w:firstLine="653"/>
        <w:spacing w:after="0" w:line="266" w:lineRule="auto"/>
        <w:tabs>
          <w:tab w:leader="none" w:pos="2607"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Facility Fee payable under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or any Letter of Credit Fee not required to be paid to any Defaulting Lender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the Borrower shall (x) pay to each Non-Defaulting Lender that portion of any such fee otherwise payable to such Defaulting Lender with respect to such Defaulting Lender’s participation in L/C Obligations that has been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20"/>
        <w:spacing w:after="0" w:line="266" w:lineRule="auto"/>
        <w:rPr>
          <w:sz w:val="20"/>
          <w:szCs w:val="20"/>
          <w:color w:val="auto"/>
        </w:rPr>
      </w:pPr>
      <w:r>
        <w:rPr>
          <w:rFonts w:ascii="Times New Roman" w:cs="Times New Roman" w:eastAsia="Times New Roman" w:hAnsi="Times New Roman"/>
          <w:sz w:val="18"/>
          <w:szCs w:val="18"/>
          <w:color w:val="auto"/>
        </w:rPr>
        <w:t xml:space="preserve">reallocated to such Non-Defaulting Lender pursuant to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below, (y) pay to the L/C Issuers the amount of any such fee otherwise payable to such Defaulting Lender to the extent allocable to such L/C Issuer’s Fronting Exposure to such Defaulting Lender, and (z) not be required to pay the remaining amount of any such fee.</w:t>
      </w:r>
    </w:p>
    <w:p>
      <w:pPr>
        <w:spacing w:after="0" w:line="176" w:lineRule="exact"/>
        <w:rPr>
          <w:sz w:val="20"/>
          <w:szCs w:val="20"/>
          <w:color w:val="auto"/>
        </w:rPr>
      </w:pPr>
    </w:p>
    <w:p>
      <w:pPr>
        <w:ind w:left="660" w:right="40" w:firstLine="645"/>
        <w:spacing w:after="0" w:line="255" w:lineRule="auto"/>
        <w:tabs>
          <w:tab w:leader="none" w:pos="1973"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 of Applicable Percentages to Reduce Fronting Exposure</w:t>
      </w:r>
      <w:r>
        <w:rPr>
          <w:rFonts w:ascii="Times New Roman" w:cs="Times New Roman" w:eastAsia="Times New Roman" w:hAnsi="Times New Roman"/>
          <w:sz w:val="18"/>
          <w:szCs w:val="18"/>
          <w:color w:val="auto"/>
        </w:rPr>
        <w:t xml:space="preserve">. All or any part of such Defaulting Lender’s participation in L/C Obligations shall be reallocated among the Non-Defaulting Lenders in accordance with their respective Applicable Percentages (calculated without regard to such Defaulting Lender’s Commitment) but only to the extent that such reallocation does not cause the aggregate Revolving Credit Exposure of any Non-Defaulting Lender to exceed such Non-Defaulting Lender’s Commitment. Subject to </w:t>
      </w:r>
      <w:r>
        <w:rPr>
          <w:rFonts w:ascii="Times New Roman" w:cs="Times New Roman" w:eastAsia="Times New Roman" w:hAnsi="Times New Roman"/>
          <w:sz w:val="18"/>
          <w:szCs w:val="18"/>
          <w:u w:val="single" w:color="auto"/>
          <w:color w:val="auto"/>
        </w:rPr>
        <w:t>Section 10.20</w:t>
      </w:r>
      <w:r>
        <w:rPr>
          <w:rFonts w:ascii="Times New Roman" w:cs="Times New Roman" w:eastAsia="Times New Roman" w:hAnsi="Times New Roman"/>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9" w:lineRule="exact"/>
        <w:rPr>
          <w:rFonts w:ascii="Times New Roman" w:cs="Times New Roman" w:eastAsia="Times New Roman" w:hAnsi="Times New Roman"/>
          <w:sz w:val="18"/>
          <w:szCs w:val="18"/>
          <w:color w:val="auto"/>
        </w:rPr>
      </w:pPr>
    </w:p>
    <w:p>
      <w:pPr>
        <w:jc w:val="both"/>
        <w:ind w:left="660" w:right="80" w:firstLine="645"/>
        <w:spacing w:after="0" w:line="266" w:lineRule="auto"/>
        <w:tabs>
          <w:tab w:leader="none" w:pos="1964"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xml:space="preserve">. If the reallocation described in </w:t>
      </w:r>
      <w:r>
        <w:rPr>
          <w:rFonts w:ascii="Times New Roman" w:cs="Times New Roman" w:eastAsia="Times New Roman" w:hAnsi="Times New Roman"/>
          <w:sz w:val="18"/>
          <w:szCs w:val="18"/>
          <w:u w:val="single" w:color="auto"/>
          <w:color w:val="auto"/>
        </w:rPr>
        <w:t>clause (a)(iv)</w:t>
      </w:r>
      <w:r>
        <w:rPr>
          <w:rFonts w:ascii="Times New Roman" w:cs="Times New Roman" w:eastAsia="Times New Roman" w:hAnsi="Times New Roman"/>
          <w:sz w:val="18"/>
          <w:szCs w:val="18"/>
          <w:color w:val="auto"/>
        </w:rPr>
        <w:t xml:space="preserve"> above cannot, or can only partially, be effected, the Borrower shall, without prejudice to any right or remedy available to it hereunder or under applicable Law, Cash Collateralize the L/C Issuers’ Fronting Exposure in accordance with the procedures set forth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right="180" w:firstLine="656"/>
        <w:spacing w:after="0" w:line="254" w:lineRule="auto"/>
        <w:tabs>
          <w:tab w:leader="none" w:pos="130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Cure</w:t>
      </w:r>
      <w:r>
        <w:rPr>
          <w:rFonts w:ascii="Times New Roman" w:cs="Times New Roman" w:eastAsia="Times New Roman" w:hAnsi="Times New Roman"/>
          <w:sz w:val="18"/>
          <w:szCs w:val="18"/>
          <w:color w:val="auto"/>
        </w:rPr>
        <w:t xml:space="preserve">. If the Borrower, the Administrative Agent and the L/C Issuers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Committed Loans and funded and unfunded participations in Letters of Credit to be held on a pro rata basis by the Lenders in accordance with their Applicable Percentages (without giving effect to </w:t>
      </w:r>
      <w:r>
        <w:rPr>
          <w:rFonts w:ascii="Times New Roman" w:cs="Times New Roman" w:eastAsia="Times New Roman" w:hAnsi="Times New Roman"/>
          <w:sz w:val="18"/>
          <w:szCs w:val="18"/>
          <w:u w:val="single" w:color="auto"/>
          <w:color w:val="auto"/>
        </w:rPr>
        <w:t>Section 2.17(a)(iv)</w:t>
      </w:r>
      <w:r>
        <w:rPr>
          <w:rFonts w:ascii="Times New Roman" w:cs="Times New Roman" w:eastAsia="Times New Roman" w:hAnsi="Times New Roman"/>
          <w:sz w:val="18"/>
          <w:szCs w:val="18"/>
          <w:color w:val="auto"/>
        </w:rPr>
        <w:t xml:space="preserve">),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2.18</w:t>
      </w:r>
      <w:r>
        <w:rPr>
          <w:sz w:val="20"/>
          <w:szCs w:val="20"/>
          <w:color w:val="auto"/>
        </w:rPr>
        <w:tab/>
      </w:r>
      <w:r>
        <w:rPr>
          <w:rFonts w:ascii="Times New Roman" w:cs="Times New Roman" w:eastAsia="Times New Roman" w:hAnsi="Times New Roman"/>
          <w:sz w:val="17"/>
          <w:szCs w:val="17"/>
          <w:b w:val="1"/>
          <w:bCs w:val="1"/>
          <w:color w:val="auto"/>
        </w:rPr>
        <w:t>Inclusions, Exclusions and Removals of Borrowing Base Assets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656"/>
        <w:spacing w:after="0" w:line="261" w:lineRule="auto"/>
        <w:tabs>
          <w:tab w:leader="none" w:pos="129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Inclusions of Borrowing Base Assets</w:t>
      </w:r>
      <w:r>
        <w:rPr>
          <w:rFonts w:ascii="Times New Roman" w:cs="Times New Roman" w:eastAsia="Times New Roman" w:hAnsi="Times New Roman"/>
          <w:sz w:val="18"/>
          <w:szCs w:val="18"/>
          <w:color w:val="auto"/>
        </w:rPr>
        <w:t xml:space="preserve">. As of the Closing Date, the Borrowing Base Assets listed on </w:t>
      </w:r>
      <w:r>
        <w:rPr>
          <w:rFonts w:ascii="Times New Roman" w:cs="Times New Roman" w:eastAsia="Times New Roman" w:hAnsi="Times New Roman"/>
          <w:sz w:val="18"/>
          <w:szCs w:val="18"/>
          <w:u w:val="single" w:color="auto"/>
          <w:color w:val="auto"/>
        </w:rPr>
        <w:t>Schedule 2.18</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Borrowing 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Assets List</w:t>
      </w:r>
      <w:r>
        <w:rPr>
          <w:rFonts w:ascii="Times New Roman" w:cs="Times New Roman" w:eastAsia="Times New Roman" w:hAnsi="Times New Roman"/>
          <w:sz w:val="18"/>
          <w:szCs w:val="18"/>
          <w:color w:val="auto"/>
        </w:rPr>
        <w:t>”) shall be the initial Borrowing Base Assets. Additional Ground Net Lease Assets that qualify as Eligible Ground Net Lease Assets and additional Loan Assets that qualify as Eligible Loan Assets may be offered by the Borrower (each such offered Ground Net Lease Asset and each such offered Loan Asset, a</w:t>
      </w:r>
    </w:p>
    <w:p>
      <w:pPr>
        <w:sectPr>
          <w:pgSz w:w="11900" w:h="16838" w:orient="portrait"/>
          <w:cols w:equalWidth="0" w:num="1">
            <w:col w:w="11420"/>
          </w:cols>
          <w:pgMar w:left="240" w:top="121" w:right="239" w:bottom="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Nominated Asset</w:t>
      </w:r>
      <w:r>
        <w:rPr>
          <w:rFonts w:ascii="Times New Roman" w:cs="Times New Roman" w:eastAsia="Times New Roman" w:hAnsi="Times New Roman"/>
          <w:sz w:val="18"/>
          <w:szCs w:val="18"/>
          <w:color w:val="auto"/>
        </w:rPr>
        <w:t>”), and shall be included as Borrowing Base Assets in accordance with the following and any other applicable terms and conditions contained in this Agreement (or as otherwise agreed by the Borrower and Required Lenders):</w:t>
      </w:r>
    </w:p>
    <w:p>
      <w:pPr>
        <w:spacing w:after="0" w:line="162" w:lineRule="exact"/>
        <w:rPr>
          <w:sz w:val="20"/>
          <w:szCs w:val="20"/>
          <w:color w:val="auto"/>
        </w:rPr>
      </w:pPr>
    </w:p>
    <w:p>
      <w:pPr>
        <w:ind w:left="660" w:right="20" w:firstLine="645"/>
        <w:spacing w:after="0" w:line="255" w:lineRule="auto"/>
        <w:tabs>
          <w:tab w:leader="none" w:pos="197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 for Inclusion of Borrowing Base Assets</w:t>
      </w:r>
      <w:r>
        <w:rPr>
          <w:rFonts w:ascii="Times New Roman" w:cs="Times New Roman" w:eastAsia="Times New Roman" w:hAnsi="Times New Roman"/>
          <w:sz w:val="18"/>
          <w:szCs w:val="18"/>
          <w:color w:val="auto"/>
        </w:rPr>
        <w:t>. The Borrower from time to time may request that a Nominated Asset be approved and included as a Borrowing Base Asset by delivering a written request therefor (the “</w:t>
      </w:r>
      <w:r>
        <w:rPr>
          <w:rFonts w:ascii="Times New Roman" w:cs="Times New Roman" w:eastAsia="Times New Roman" w:hAnsi="Times New Roman"/>
          <w:sz w:val="18"/>
          <w:szCs w:val="18"/>
          <w:u w:val="single" w:color="auto"/>
          <w:color w:val="auto"/>
        </w:rPr>
        <w:t>Nominated Asset Notice</w:t>
      </w:r>
      <w:r>
        <w:rPr>
          <w:rFonts w:ascii="Times New Roman" w:cs="Times New Roman" w:eastAsia="Times New Roman" w:hAnsi="Times New Roman"/>
          <w:sz w:val="18"/>
          <w:szCs w:val="18"/>
          <w:color w:val="auto"/>
        </w:rPr>
        <w:t>”) to the Administrative Agent and the Lenders at least thirty (30) days (or such shorter period of time as agreed to by the Administrative Agent in writing) prior to the date proposed in such written request for the inclusion of such Nominated Asset as a Borrowing Base Asset (such date, the “</w:t>
      </w:r>
      <w:r>
        <w:rPr>
          <w:rFonts w:ascii="Times New Roman" w:cs="Times New Roman" w:eastAsia="Times New Roman" w:hAnsi="Times New Roman"/>
          <w:sz w:val="18"/>
          <w:szCs w:val="18"/>
          <w:u w:val="single" w:color="auto"/>
          <w:color w:val="auto"/>
        </w:rPr>
        <w:t>Proposed Inclusion Date</w:t>
      </w:r>
      <w:r>
        <w:rPr>
          <w:rFonts w:ascii="Times New Roman" w:cs="Times New Roman" w:eastAsia="Times New Roman" w:hAnsi="Times New Roman"/>
          <w:sz w:val="18"/>
          <w:szCs w:val="18"/>
          <w:color w:val="auto"/>
        </w:rPr>
        <w:t>”), which notice shall be accompanied by copies of all ground net lease documentation with respect to such Nominated Asset or the underlying mortgaged Real Property Asset with respect to such Nominated Asset, a list of the Subsidiaries comprising the Direct Owner of the Nominated Asset and each Indirect Owner of the Direct Owner and their U.S. taxpayer identification numbers, the street address(es) and legal description of the Nominated Asset, together with a “Standard Flood Hazard Determination Form” for such Nominated Asset;</w:t>
      </w:r>
    </w:p>
    <w:p>
      <w:pPr>
        <w:spacing w:after="0" w:line="185" w:lineRule="exact"/>
        <w:rPr>
          <w:rFonts w:ascii="Times New Roman" w:cs="Times New Roman" w:eastAsia="Times New Roman" w:hAnsi="Times New Roman"/>
          <w:sz w:val="18"/>
          <w:szCs w:val="18"/>
          <w:color w:val="auto"/>
        </w:rPr>
      </w:pPr>
    </w:p>
    <w:p>
      <w:pPr>
        <w:ind w:left="660" w:right="260" w:firstLine="645"/>
        <w:spacing w:after="0" w:line="266" w:lineRule="auto"/>
        <w:tabs>
          <w:tab w:leader="none" w:pos="1987"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Diligence of Nominated Asset</w:t>
      </w:r>
      <w:r>
        <w:rPr>
          <w:rFonts w:ascii="Times New Roman" w:cs="Times New Roman" w:eastAsia="Times New Roman" w:hAnsi="Times New Roman"/>
          <w:sz w:val="18"/>
          <w:szCs w:val="18"/>
          <w:color w:val="auto"/>
        </w:rPr>
        <w:t>. The Borrower shall at its expense provide the Administrative Agent (for distribution to the Lenders) with the following due diligence materials and information with respect to any Nominated Asset at least thirty (30) days (or such shorter period of time as agreed to by the Administrative Agent in writing) prior to the Proposed Inclusion Date for such Nominated Asset:</w:t>
      </w:r>
    </w:p>
    <w:p>
      <w:pPr>
        <w:spacing w:after="0" w:line="176" w:lineRule="exact"/>
        <w:rPr>
          <w:rFonts w:ascii="Times New Roman" w:cs="Times New Roman" w:eastAsia="Times New Roman" w:hAnsi="Times New Roman"/>
          <w:sz w:val="18"/>
          <w:szCs w:val="18"/>
          <w:color w:val="auto"/>
        </w:rPr>
      </w:pPr>
    </w:p>
    <w:p>
      <w:pPr>
        <w:ind w:left="1300" w:right="40" w:firstLine="653"/>
        <w:spacing w:after="0" w:line="282" w:lineRule="auto"/>
        <w:tabs>
          <w:tab w:leader="none" w:pos="2617"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Appraisal dated no earlier than one hundred twenty (120) days prior to the Proposed Inclusion Date (or such other date as the Administrative Agent shall agree in writing);</w:t>
      </w:r>
    </w:p>
    <w:p>
      <w:pPr>
        <w:spacing w:after="0" w:line="161" w:lineRule="exact"/>
        <w:rPr>
          <w:rFonts w:ascii="Times New Roman" w:cs="Times New Roman" w:eastAsia="Times New Roman" w:hAnsi="Times New Roman"/>
          <w:sz w:val="18"/>
          <w:szCs w:val="18"/>
          <w:color w:val="auto"/>
        </w:rPr>
      </w:pPr>
    </w:p>
    <w:p>
      <w:pPr>
        <w:ind w:left="1300" w:right="20" w:firstLine="653"/>
        <w:spacing w:after="0" w:line="255" w:lineRule="auto"/>
        <w:tabs>
          <w:tab w:leader="none" w:pos="2607"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underwriting report prepared by the Borrower describing in reasonable detail the Nominated Asset and the diligence and analysis performed by the Borrower with respect to such Ground Net Lease Asset or such Loan Asset and the underlying mortgaged Real Property Asset, including, to the extent applicable to such type of Nominated Asset, a description of the location, lease terms, tenant lists, property operating statements, loan performance data, information regarding the ground lessee and tenants and their creditworthiness, and issues pertaining to the management and operation of the Nominated Asset and/or the underlying mortgaged Real Property Asset, in each case, consistent with the underwriting reports provided by the Borrower with respect to the Initial Borrowing Base Assets and solely to the extent such information is available to, or expected to be made available to, a Loan Party and are not subject to confidentiality restrictions limiting the ability of the Loan Parties to provide same;</w:t>
      </w:r>
    </w:p>
    <w:p>
      <w:pPr>
        <w:spacing w:after="0" w:line="185" w:lineRule="exact"/>
        <w:rPr>
          <w:rFonts w:ascii="Times New Roman" w:cs="Times New Roman" w:eastAsia="Times New Roman" w:hAnsi="Times New Roman"/>
          <w:sz w:val="18"/>
          <w:szCs w:val="18"/>
          <w:color w:val="auto"/>
        </w:rPr>
      </w:pPr>
    </w:p>
    <w:p>
      <w:pPr>
        <w:jc w:val="both"/>
        <w:ind w:left="1300" w:right="180" w:firstLine="653"/>
        <w:spacing w:after="0" w:line="261" w:lineRule="auto"/>
        <w:tabs>
          <w:tab w:leader="none" w:pos="2607"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title report showing (w) in the case of a Ground Net Lease Asset, that a Wholly-Owned Subsidiary of the Borrower is the fee owner and ground lessor of the Nominated Asset, subject to no encumbrances (including no mortgages) except Permitted Property Encumbrances and other encumbrances approved by the Administrative Agent, (x) in the case of a Loan Asset, that the fee owner, ground lessor and ground lessee of the underlying mortgaged Real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00"/>
        <w:spacing w:after="0" w:line="254" w:lineRule="auto"/>
        <w:rPr>
          <w:sz w:val="20"/>
          <w:szCs w:val="20"/>
          <w:color w:val="auto"/>
        </w:rPr>
      </w:pPr>
      <w:r>
        <w:rPr>
          <w:rFonts w:ascii="Times New Roman" w:cs="Times New Roman" w:eastAsia="Times New Roman" w:hAnsi="Times New Roman"/>
          <w:sz w:val="18"/>
          <w:szCs w:val="18"/>
          <w:color w:val="auto"/>
        </w:rPr>
        <w:t>Property Asset is not an Affiliate of the Borrower (provided that to the extent that such information cannot be ascertained from the title report, a written certification of the Borrower may be used to satisfy the requirement that fee owner, ground lessor and ground lessee of the underlying mortgaged Real Property Asset is not an Affiliate of the Borrower), and such underlying mortgaged Real Property Asset is subject to no encumbrances other than Permitted Property Encumbrances, encumbrances set forth in the documentation for the Loan Asset and the underlying mortgage and any other encumbrances approved by the Administrative Agent, (y) a legal description of the Nominated Asset or the underlying mortgaged Real Property Asset, as applicable, and (z) no title defects exist that could have a material effect on the marketability of the Nominated Asset or the underlying mortgaged Real Property Asset, along with copies of all exceptions to title shown on such title report, and estoppel certificates from the relevant ground lessee and such other parties to such exception documents as the Administrative Agent may specify;</w:t>
      </w:r>
    </w:p>
    <w:p>
      <w:pPr>
        <w:spacing w:after="0" w:line="189" w:lineRule="exact"/>
        <w:rPr>
          <w:sz w:val="20"/>
          <w:szCs w:val="20"/>
          <w:color w:val="auto"/>
        </w:rPr>
      </w:pPr>
    </w:p>
    <w:p>
      <w:pPr>
        <w:ind w:left="1300" w:firstLine="653"/>
        <w:spacing w:after="0" w:line="282" w:lineRule="auto"/>
        <w:tabs>
          <w:tab w:leader="none" w:pos="2617"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Survey dated no more than sixty (60) days prior to the Proposed Inclusion Date in form and substance satisfactory to the Administrative Agent;</w:t>
      </w:r>
    </w:p>
    <w:p>
      <w:pPr>
        <w:spacing w:after="0" w:line="161" w:lineRule="exact"/>
        <w:rPr>
          <w:rFonts w:ascii="Times New Roman" w:cs="Times New Roman" w:eastAsia="Times New Roman" w:hAnsi="Times New Roman"/>
          <w:sz w:val="18"/>
          <w:szCs w:val="18"/>
          <w:color w:val="auto"/>
        </w:rPr>
      </w:pPr>
    </w:p>
    <w:p>
      <w:pPr>
        <w:ind w:left="1300" w:firstLine="653"/>
        <w:spacing w:after="0" w:line="253" w:lineRule="auto"/>
        <w:tabs>
          <w:tab w:leader="none" w:pos="261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 Phase I Environmental Assessment report addressed to the Administrative Agent and prepared by a qualified environmental consultant reasonably acceptable to the Administrative Agent together with a Phase II Environmental Assessment report and any other additional reports and assessments to the extent recommended by the environmental consultant in the Phase I Environmental Assessment, which reports shall be dated no more than ninety (90) days prior to the Proposed Inclusion Date (or such other date agreed to in writing by the Administrative Agent) and shall otherwise be in form and substance satisfactory to the Administrative Agent and in accordance with its guidelines (or if no such guidelines exist, generally accepted industry standards), including a certification by a qualified engineer of such firm that such engineer, or a person working under his/her supervision, (a) has obtained and examined the list of prior owners of the Nominated Asset, (b) has investigated registrations or other listings of the Nominated Asset on appropriate databases, (c) has made an on-site physical examination of such Nominated Asset and (d) has made a visual observation of the surrounding areas and has found no evidence of the presence of Hazardous Materials, or of past or present Hazardous Materials activities, except as disclosed in such report;</w:t>
      </w:r>
    </w:p>
    <w:p>
      <w:pPr>
        <w:spacing w:after="0" w:line="192"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the Nominated Asset or the underlying mortgaged Real Property Asset constitutes a separate lot for zoning</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tax purposes;</w:t>
      </w:r>
    </w:p>
    <w:p>
      <w:pPr>
        <w:spacing w:after="0" w:line="206" w:lineRule="exact"/>
        <w:rPr>
          <w:rFonts w:ascii="Times New Roman" w:cs="Times New Roman" w:eastAsia="Times New Roman" w:hAnsi="Times New Roman"/>
          <w:sz w:val="18"/>
          <w:szCs w:val="18"/>
          <w:color w:val="auto"/>
        </w:rPr>
      </w:pPr>
    </w:p>
    <w:p>
      <w:pPr>
        <w:ind w:left="1300" w:right="60" w:firstLine="653"/>
        <w:spacing w:after="0" w:line="261" w:lineRule="auto"/>
        <w:tabs>
          <w:tab w:leader="none" w:pos="2617"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completed Compliance Certificate as of the last day of the fiscal quarter of the Borrower most recently ended prior to the Proposed Inclusion Date, giving pro forma effect to the inclusion of such Nominated Asset as a Borrowing Base Asset and to the Credit Extension, if any, anticipated to be made contemporaneously with the inclusion of such Nominated Asset or the proceeds of which are expected to be used to acquire such Nominated Asset;</w:t>
      </w:r>
    </w:p>
    <w:p>
      <w:pPr>
        <w:sectPr>
          <w:pgSz w:w="11900" w:h="16838" w:orient="portrait"/>
          <w:cols w:equalWidth="0" w:num="1">
            <w:col w:w="11420"/>
          </w:cols>
          <w:pgMar w:left="240" w:top="121" w:right="239" w:bottom="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78" w:name="page79"/>
    <w:bookmarkEnd w:id="78"/>
    <w:p>
      <w:pPr>
        <w:ind w:left="640" w:right="40" w:firstLine="653"/>
        <w:spacing w:after="0" w:line="261" w:lineRule="auto"/>
        <w:tabs>
          <w:tab w:leader="none" w:pos="1943"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fully completed Borrowing Base Certificate with the information set forth therein being as of the date of delivery of the Nominated Asset Notice and giving pro forma effect to the inclusion of such Nominated Asset as a Borrowing Base Asset to the Credit Extension, if any, anticipated to be made contemporaneously with the inclusion of such Nominated Asset or the proceeds of which are expected to be used to acquire such Nominated Asset;</w:t>
      </w:r>
    </w:p>
    <w:p>
      <w:pPr>
        <w:spacing w:after="0" w:line="180" w:lineRule="exact"/>
        <w:rPr>
          <w:rFonts w:ascii="Times New Roman" w:cs="Times New Roman" w:eastAsia="Times New Roman" w:hAnsi="Times New Roman"/>
          <w:sz w:val="18"/>
          <w:szCs w:val="18"/>
          <w:color w:val="auto"/>
        </w:rPr>
      </w:pPr>
    </w:p>
    <w:p>
      <w:pPr>
        <w:ind w:left="640" w:right="200" w:firstLine="653"/>
        <w:spacing w:after="0" w:line="266" w:lineRule="auto"/>
        <w:tabs>
          <w:tab w:leader="none" w:pos="1941"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UCC, judgment, tax, bankruptcy and litigation searches with respect to the Subsidiary that is (or will be) the Direct Owner of such Nominated Asset, each Subsidiary that is (or will be) an Indirect Owner of such Direct Owner, and, in the case of an asset acquisition, the seller of such Nominated Asset;</w:t>
      </w:r>
    </w:p>
    <w:p>
      <w:pPr>
        <w:spacing w:after="0" w:line="176" w:lineRule="exact"/>
        <w:rPr>
          <w:rFonts w:ascii="Times New Roman" w:cs="Times New Roman" w:eastAsia="Times New Roman" w:hAnsi="Times New Roman"/>
          <w:sz w:val="18"/>
          <w:szCs w:val="18"/>
          <w:color w:val="auto"/>
        </w:rPr>
      </w:pPr>
    </w:p>
    <w:p>
      <w:pPr>
        <w:ind w:left="640" w:right="60" w:firstLine="653"/>
        <w:spacing w:after="0" w:line="261" w:lineRule="auto"/>
        <w:tabs>
          <w:tab w:leader="none" w:pos="1951"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operating results (for the most recent twelve (12) month period) for the Nominated Asset setting forth in such format as previously submitted by the Borrower on account of other Borrowing Base Assets or otherwise as the Administrative Agent may reasonably accept (in each case, solely to the extent such information is available to, or is expected to be made available to, a Loan Party);</w:t>
      </w:r>
    </w:p>
    <w:p>
      <w:pPr>
        <w:spacing w:after="0" w:line="180" w:lineRule="exact"/>
        <w:rPr>
          <w:rFonts w:ascii="Times New Roman" w:cs="Times New Roman" w:eastAsia="Times New Roman" w:hAnsi="Times New Roman"/>
          <w:sz w:val="18"/>
          <w:szCs w:val="18"/>
          <w:color w:val="auto"/>
        </w:rPr>
      </w:pPr>
    </w:p>
    <w:p>
      <w:pPr>
        <w:ind w:left="1960" w:hanging="667"/>
        <w:spacing w:after="0"/>
        <w:tabs>
          <w:tab w:leader="none" w:pos="196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Net Operating Income of all of the Borrowing Base Assets (including the Nominated Asset) for the twelve</w:t>
      </w:r>
    </w:p>
    <w:p>
      <w:pPr>
        <w:spacing w:after="0" w:line="27" w:lineRule="exact"/>
        <w:rPr>
          <w:rFonts w:ascii="Times New Roman" w:cs="Times New Roman" w:eastAsia="Times New Roman" w:hAnsi="Times New Roman"/>
          <w:sz w:val="18"/>
          <w:szCs w:val="18"/>
          <w:color w:val="auto"/>
        </w:rPr>
      </w:pPr>
    </w:p>
    <w:p>
      <w:pPr>
        <w:ind w:left="640" w:right="320" w:firstLine="5"/>
        <w:spacing w:after="0" w:line="261" w:lineRule="auto"/>
        <w:tabs>
          <w:tab w:leader="none" w:pos="98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calendar month period following the date of the Proposed Inclusion Date (in each case, solely to the extent such information is available to, or is expected to be made available to, a Loan Party);</w:t>
      </w:r>
    </w:p>
    <w:p>
      <w:pPr>
        <w:spacing w:after="0" w:line="179" w:lineRule="exact"/>
        <w:rPr>
          <w:rFonts w:ascii="Times New Roman" w:cs="Times New Roman" w:eastAsia="Times New Roman" w:hAnsi="Times New Roman"/>
          <w:sz w:val="18"/>
          <w:szCs w:val="18"/>
          <w:color w:val="auto"/>
        </w:rPr>
      </w:pPr>
    </w:p>
    <w:p>
      <w:pPr>
        <w:ind w:left="640" w:right="160" w:firstLine="653"/>
        <w:spacing w:after="0" w:line="256" w:lineRule="auto"/>
        <w:tabs>
          <w:tab w:leader="none" w:pos="195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items pertaining to such Nominated Asset and each Subsidiary of the Borrower that is the Direct Owner of such Nominated Asset or an Indirect Owner of such Direct Owner as the Administrative Agent or any Lender may reasonably request, including all documentation and other information that the Administrative Agent or any Lender requests in order to comply with its obligations under applicable “know your customer” and anti-money laundering rules and regulations, including the Act, and the results of any such “know your customer” or similar investigation conducted by the Administrative Agent or any Lender shall be reasonably satisfactory to the Administrative Agent or such Lender in all respects.</w:t>
      </w:r>
    </w:p>
    <w:p>
      <w:pPr>
        <w:spacing w:after="0" w:line="188" w:lineRule="exact"/>
        <w:rPr>
          <w:sz w:val="20"/>
          <w:szCs w:val="20"/>
          <w:color w:val="auto"/>
        </w:rPr>
      </w:pPr>
    </w:p>
    <w:p>
      <w:pPr>
        <w:ind w:firstLine="645"/>
        <w:spacing w:after="0" w:line="256" w:lineRule="auto"/>
        <w:tabs>
          <w:tab w:leader="none" w:pos="1337"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of Nominated Asset</w:t>
      </w:r>
      <w:r>
        <w:rPr>
          <w:rFonts w:ascii="Times New Roman" w:cs="Times New Roman" w:eastAsia="Times New Roman" w:hAnsi="Times New Roman"/>
          <w:sz w:val="18"/>
          <w:szCs w:val="18"/>
          <w:color w:val="auto"/>
        </w:rPr>
        <w:t>. The Administrative Agent shall have the right to accept or reject any Nominated Asset with, (x) in the case of a Ground Net Lease Asset, an Appraised Value, and (y) in the case of a Loan Asset, a Loan Asset Value, of $25,000,000 or less. The Administrative Agent and the Required Lenders shall have the right to accept or reject any Nominated Asset with (x) in the case of a Ground Net Lease Asset, an Appraised Value, and (y) in the case of a Loan Asset, a Loan Asset Value, greater than $25,000,000. Any Lender that fails to notify the Administrative Agent within 10 days after receipt of the items set forth in clause (ii)(A) through (M) above shall be deemed to have approved the inclusion of the Nominated Asset as a Borrowing Base Asset. The Administrative Agent shall endeavor to notify the Borrower in writing</w:t>
      </w:r>
    </w:p>
    <w:p>
      <w:pPr>
        <w:spacing w:after="0" w:line="18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83820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within twenty (20) days after receipt of the Nominated Asset Notice whether or not the Administrative Agent and, as applicable, the Required Lenders elect to reject such Nominated Asset as set forth in the first two sentences of this paragraph and, if no notice is received by the Borrower by such time, such Nominated Asset shall be deemed approved.</w:t>
      </w:r>
    </w:p>
    <w:p>
      <w:pPr>
        <w:spacing w:after="0" w:line="176" w:lineRule="exact"/>
        <w:rPr>
          <w:sz w:val="20"/>
          <w:szCs w:val="20"/>
          <w:color w:val="auto"/>
        </w:rPr>
      </w:pPr>
    </w:p>
    <w:p>
      <w:pPr>
        <w:ind w:right="40" w:firstLine="645"/>
        <w:spacing w:after="0" w:line="258" w:lineRule="auto"/>
        <w:tabs>
          <w:tab w:leader="none" w:pos="1313"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Nominated Assets Being Included as Borrowing Base Assets</w:t>
      </w:r>
      <w:r>
        <w:rPr>
          <w:rFonts w:ascii="Times New Roman" w:cs="Times New Roman" w:eastAsia="Times New Roman" w:hAnsi="Times New Roman"/>
          <w:sz w:val="18"/>
          <w:szCs w:val="18"/>
          <w:color w:val="auto"/>
        </w:rPr>
        <w:t xml:space="preserve">. The inclusion of any Nominated Asset approved by the Administrative Agent or by the Administrative Agent and the Required Lenders pursuant to </w:t>
      </w:r>
      <w:r>
        <w:rPr>
          <w:rFonts w:ascii="Times New Roman" w:cs="Times New Roman" w:eastAsia="Times New Roman" w:hAnsi="Times New Roman"/>
          <w:sz w:val="18"/>
          <w:szCs w:val="18"/>
          <w:u w:val="single" w:color="auto"/>
          <w:color w:val="auto"/>
        </w:rPr>
        <w:t>Section 2.18(a)(iii)</w:t>
      </w:r>
      <w:r>
        <w:rPr>
          <w:rFonts w:ascii="Times New Roman" w:cs="Times New Roman" w:eastAsia="Times New Roman" w:hAnsi="Times New Roman"/>
          <w:sz w:val="18"/>
          <w:szCs w:val="18"/>
          <w:color w:val="auto"/>
        </w:rPr>
        <w:t xml:space="preserve"> as a Borrowing Base Asset, is subject to satisfaction of the following conditions precedent (and such Nominated Asset shall be included as a Borrowing Base Asset hereunder commencing on the date on which all such conditions precedent are satisfied (unless waived in writing by the Administrative Agent), (such date, the “</w:t>
      </w:r>
      <w:r>
        <w:rPr>
          <w:rFonts w:ascii="Times New Roman" w:cs="Times New Roman" w:eastAsia="Times New Roman" w:hAnsi="Times New Roman"/>
          <w:sz w:val="18"/>
          <w:szCs w:val="18"/>
          <w:u w:val="single" w:color="auto"/>
          <w:color w:val="auto"/>
        </w:rPr>
        <w:t>Inclusion Effective Date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640" w:right="60" w:firstLine="653"/>
        <w:spacing w:after="0" w:line="261" w:lineRule="auto"/>
        <w:tabs>
          <w:tab w:leader="none" w:pos="1957"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deliver, or cause to be delivered, to the Administrative Agent, at the Borrower’s sole expense, each of which shall be originals, or e-mail (in a .pdf format) or facsimiles (followed promptly by originals) unless otherwise specified, each of which documents to be signed by any Subsidiary shall be properly executed by a Responsible Officer of such signing Subsidiary and dated as of the Inclusion Effective Date and each in form and substance satisfactory to the Administrative Agent and the Required Lenders:</w:t>
      </w:r>
    </w:p>
    <w:p>
      <w:pPr>
        <w:spacing w:after="0" w:line="180" w:lineRule="exact"/>
        <w:rPr>
          <w:rFonts w:ascii="Times New Roman" w:cs="Times New Roman" w:eastAsia="Times New Roman" w:hAnsi="Times New Roman"/>
          <w:sz w:val="18"/>
          <w:szCs w:val="18"/>
          <w:color w:val="auto"/>
        </w:rPr>
      </w:pPr>
    </w:p>
    <w:p>
      <w:pPr>
        <w:jc w:val="both"/>
        <w:ind w:left="640" w:right="60" w:firstLine="1301"/>
        <w:spacing w:after="0" w:line="261" w:lineRule="auto"/>
        <w:tabs>
          <w:tab w:leader="none" w:pos="2589" w:val="left"/>
        </w:tabs>
        <w:numPr>
          <w:ilvl w:val="2"/>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Proposed Inclusion Date is prior to the Investment Grade Release, a joinder agreement in substantially the form attached hereto as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together with all of the items described in </w:t>
      </w:r>
      <w:r>
        <w:rPr>
          <w:rFonts w:ascii="Times New Roman" w:cs="Times New Roman" w:eastAsia="Times New Roman" w:hAnsi="Times New Roman"/>
          <w:sz w:val="18"/>
          <w:szCs w:val="18"/>
          <w:u w:val="single" w:color="auto"/>
          <w:color w:val="auto"/>
        </w:rPr>
        <w:t>Sections 4.01(a)(iv)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4.01(a)(v)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4.01(a)(viii)</w:t>
      </w:r>
      <w:r>
        <w:rPr>
          <w:rFonts w:ascii="Times New Roman" w:cs="Times New Roman" w:eastAsia="Times New Roman" w:hAnsi="Times New Roman"/>
          <w:sz w:val="18"/>
          <w:szCs w:val="18"/>
          <w:color w:val="auto"/>
        </w:rPr>
        <w:t xml:space="preserve"> with respect to each Subsidiary of the Borrower that is the Direct Owner of such Nominated Asset or an Indirect Owner of such Direct Owner (in each case to the extent not already a Subsidiary Guarantor);</w:t>
      </w:r>
    </w:p>
    <w:p>
      <w:pPr>
        <w:spacing w:after="0" w:line="180" w:lineRule="exact"/>
        <w:rPr>
          <w:sz w:val="20"/>
          <w:szCs w:val="20"/>
          <w:color w:val="auto"/>
        </w:rPr>
      </w:pPr>
    </w:p>
    <w:p>
      <w:pPr>
        <w:ind w:left="640" w:right="80" w:firstLine="1301"/>
        <w:spacing w:after="0" w:line="261" w:lineRule="auto"/>
        <w:tabs>
          <w:tab w:leader="none" w:pos="2581"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Inclusion Date is prior to the Investment Grade Release, a joinder agreement and/or pledge amendment with respect to the Pledge Agreement, in form and substance reasonably satisfactory to the Administrative Agent, pursuant to which the Equity Interests in the Direct Owner of such Nominated Asset and the Indirect Owners of such Direct Owner shall be pledged in favor of the Administrative Agent for the benefit of the Secured Parties (in each case to the extent not already pledged as Collateral);</w:t>
      </w:r>
    </w:p>
    <w:p>
      <w:pPr>
        <w:spacing w:after="0" w:line="180" w:lineRule="exact"/>
        <w:rPr>
          <w:rFonts w:ascii="Times New Roman" w:cs="Times New Roman" w:eastAsia="Times New Roman" w:hAnsi="Times New Roman"/>
          <w:sz w:val="18"/>
          <w:szCs w:val="18"/>
          <w:color w:val="auto"/>
        </w:rPr>
      </w:pPr>
    </w:p>
    <w:p>
      <w:pPr>
        <w:ind w:left="640" w:right="140" w:firstLine="653"/>
        <w:spacing w:after="0" w:line="256" w:lineRule="auto"/>
        <w:tabs>
          <w:tab w:leader="none" w:pos="1947"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Inclusion Date is prior to the Investment Grade Release, the Administrative Agent shall have received a Perfection Certificate Supplement and such other agreements and documents, and evidence that all other actions, recordings and filings have been or will contemporaneously be taken, in each case that the Administrative Agent may reasonably deem necessary or desirable in order to create or perfect the Liens created under the Pledge Agreement (including the delivery of the certificates representing any Equity Interests in any Person that have been pledged pursuant to the Pledge Agreement together with undated stock powers or other appropriate instruments of transfer</w:t>
      </w:r>
    </w:p>
    <w:p>
      <w:pPr>
        <w:spacing w:after="0" w:line="18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83820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executed and delivered in blank by a duly authorized officer of the holder(s) of such Equity Interests);</w:t>
      </w:r>
    </w:p>
    <w:p>
      <w:pPr>
        <w:sectPr>
          <w:pgSz w:w="11900" w:h="16838" w:orient="portrait"/>
          <w:cols w:equalWidth="0" w:num="1">
            <w:col w:w="10720"/>
          </w:cols>
          <w:pgMar w:left="900" w:top="580" w:right="279" w:bottom="0" w:gutter="0" w:footer="0" w:header="0"/>
        </w:sectPr>
      </w:pPr>
    </w:p>
    <w:bookmarkStart w:id="79" w:name="page80"/>
    <w:bookmarkEnd w:id="79"/>
    <w:p>
      <w:pPr>
        <w:ind w:left="1280" w:right="20" w:firstLine="653"/>
        <w:spacing w:after="0" w:line="266" w:lineRule="auto"/>
        <w:tabs>
          <w:tab w:leader="none" w:pos="2587"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all such termination statements and other documents as may be necessary to terminate all Liens on such Nominated Asset and the Collateral, other than Permitted Property Encumbrances and Permitted Equity Encumbrances;</w:t>
      </w:r>
    </w:p>
    <w:p>
      <w:pPr>
        <w:spacing w:after="0" w:line="176" w:lineRule="exact"/>
        <w:rPr>
          <w:rFonts w:ascii="Times New Roman" w:cs="Times New Roman" w:eastAsia="Times New Roman" w:hAnsi="Times New Roman"/>
          <w:sz w:val="18"/>
          <w:szCs w:val="18"/>
          <w:color w:val="auto"/>
        </w:rPr>
      </w:pPr>
    </w:p>
    <w:p>
      <w:pPr>
        <w:ind w:left="1280" w:right="20" w:firstLine="653"/>
        <w:spacing w:after="0" w:line="258" w:lineRule="auto"/>
        <w:tabs>
          <w:tab w:leader="none" w:pos="2597"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Inclusion Date is prior to the Investment Grade Release, the Borrower shall have provided, or caused to be provided, to the Administrative Agent evidence (which shall include certificates of insurance acceptable to the Administrative Agent and its insurance consultant) that all insurance policies required to be in effect with respect to pursuant to the terms of this Agreement are in effect with respect to the Nominated Asset and the underlying mortgaged Real Property Asset, together with evidence of the payment of premiums therefor that are then due and payable;</w:t>
      </w:r>
    </w:p>
    <w:p>
      <w:pPr>
        <w:spacing w:after="0" w:line="183" w:lineRule="exact"/>
        <w:rPr>
          <w:rFonts w:ascii="Times New Roman" w:cs="Times New Roman" w:eastAsia="Times New Roman" w:hAnsi="Times New Roman"/>
          <w:sz w:val="18"/>
          <w:szCs w:val="18"/>
          <w:color w:val="auto"/>
        </w:rPr>
      </w:pPr>
    </w:p>
    <w:p>
      <w:pPr>
        <w:ind w:left="1280" w:right="20" w:firstLine="653"/>
        <w:spacing w:after="0" w:line="258" w:lineRule="auto"/>
        <w:tabs>
          <w:tab w:leader="none" w:pos="259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delivered to the Administrative Agent, if required by the Administrative Agent, favorable opinions of counsel to the Loan Parties, addressed to the Administrative Agent and each Lender, in form and substance reasonably satisfactory to the Administrative Agent, and as to such matters as the Administrative Agent may reasonably request concerning the Loan Documents and Loan Parties executing Loan Documents and all Persons that are becoming Loan Parties in connection with the inclusion of such Nominated Property as a Borrowing Base Asset and the Nominated Asset;</w:t>
      </w:r>
    </w:p>
    <w:p>
      <w:pPr>
        <w:spacing w:after="0" w:line="183" w:lineRule="exact"/>
        <w:rPr>
          <w:rFonts w:ascii="Times New Roman" w:cs="Times New Roman" w:eastAsia="Times New Roman" w:hAnsi="Times New Roman"/>
          <w:sz w:val="18"/>
          <w:szCs w:val="18"/>
          <w:color w:val="auto"/>
        </w:rPr>
      </w:pPr>
    </w:p>
    <w:p>
      <w:pPr>
        <w:ind w:left="1280" w:firstLine="653"/>
        <w:spacing w:after="0" w:line="270" w:lineRule="auto"/>
        <w:tabs>
          <w:tab w:leader="none" w:pos="2594" w:val="left"/>
        </w:tabs>
        <w:numPr>
          <w:ilvl w:val="1"/>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shall have delivered to the Administrative Agent a certificate of a Responsible Officer certifying (1) that no Default has occurred and is continuing or would result from the inclusion of such Nominated Asset as a Borrowing Base Asset; (2) that all financial and operating information delivered to the Administrative Agent pursuant to </w:t>
      </w:r>
      <w:r>
        <w:rPr>
          <w:rFonts w:ascii="Times New Roman" w:cs="Times New Roman" w:eastAsia="Times New Roman" w:hAnsi="Times New Roman"/>
          <w:sz w:val="17"/>
          <w:szCs w:val="17"/>
          <w:u w:val="single" w:color="auto"/>
          <w:color w:val="auto"/>
        </w:rPr>
        <w:t>Section 2.18(a)(ii)</w:t>
      </w:r>
      <w:r>
        <w:rPr>
          <w:rFonts w:ascii="Times New Roman" w:cs="Times New Roman" w:eastAsia="Times New Roman" w:hAnsi="Times New Roman"/>
          <w:sz w:val="17"/>
          <w:szCs w:val="17"/>
          <w:color w:val="auto"/>
        </w:rPr>
        <w:t>, to the knowledge of the Borrower, contains no material misstatement of fact or omit to state any material fact that would make such information not be true and correct; and</w:t>
      </w:r>
    </w:p>
    <w:p>
      <w:pPr>
        <w:spacing w:after="0" w:line="2" w:lineRule="exact"/>
        <w:rPr>
          <w:rFonts w:ascii="Times New Roman" w:cs="Times New Roman" w:eastAsia="Times New Roman" w:hAnsi="Times New Roman"/>
          <w:sz w:val="17"/>
          <w:szCs w:val="17"/>
          <w:color w:val="auto"/>
        </w:rPr>
      </w:pPr>
    </w:p>
    <w:p>
      <w:pPr>
        <w:ind w:left="1280" w:right="100" w:firstLine="5"/>
        <w:spacing w:after="0" w:line="255" w:lineRule="auto"/>
        <w:tabs>
          <w:tab w:leader="none" w:pos="153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such property satisfies (or will satisfy concurrently with such inclusion and the satisfaction of the conditions precedent in this </w:t>
      </w:r>
      <w:r>
        <w:rPr>
          <w:rFonts w:ascii="Times New Roman" w:cs="Times New Roman" w:eastAsia="Times New Roman" w:hAnsi="Times New Roman"/>
          <w:sz w:val="18"/>
          <w:szCs w:val="18"/>
          <w:u w:val="single" w:color="auto"/>
          <w:color w:val="auto"/>
        </w:rPr>
        <w:t>Section 2.18(a)(iv)</w:t>
      </w:r>
      <w:r>
        <w:rPr>
          <w:rFonts w:ascii="Times New Roman" w:cs="Times New Roman" w:eastAsia="Times New Roman" w:hAnsi="Times New Roman"/>
          <w:sz w:val="18"/>
          <w:szCs w:val="18"/>
          <w:color w:val="auto"/>
        </w:rPr>
        <w:t xml:space="preserve">) each of the criteria set forth in the definition of Eligible Ground Net Lease Asset or Eligible Loan Asset, as applicable, and would not be required to be excluded as a Borrowing Base Asset pursuant to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left="1280" w:right="80" w:firstLine="653"/>
        <w:spacing w:after="0" w:line="261" w:lineRule="auto"/>
        <w:tabs>
          <w:tab w:leader="none" w:pos="2597"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fully completed Borrowing Base Certificate with the information set forth therein being as of the Inclusion Effective Date and giving pro forma effect to the inclusion of such Nominated Asset as a Borrowing Base Asset to the Credit Extension, if any, anticipated to be made contemporaneously with the inclusion of such Nominated Asset or the proceeds of which are expected to be used to acquire such Nominated Asset;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280" w:right="40" w:firstLine="653"/>
        <w:spacing w:after="0" w:line="261" w:lineRule="auto"/>
        <w:tabs>
          <w:tab w:leader="none" w:pos="2583"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completed Compliance Certificate as of the last day of the fiscal quarter of the Borrower most recently ended prior to the Inclusion Effective Date, giving pro forma effect to the inclusion of such Nominated Asset as a Borrowing Base Asset and to the Credit Extension, if any, anticipated to be made contemporaneously with the inclusion of such Nominated Asset or the proceeds of which are expected to be used to acquire such Nominated Asset;</w:t>
      </w:r>
    </w:p>
    <w:p>
      <w:pPr>
        <w:spacing w:after="0" w:line="180" w:lineRule="exact"/>
        <w:rPr>
          <w:rFonts w:ascii="Times New Roman" w:cs="Times New Roman" w:eastAsia="Times New Roman" w:hAnsi="Times New Roman"/>
          <w:sz w:val="18"/>
          <w:szCs w:val="18"/>
          <w:color w:val="auto"/>
        </w:rPr>
      </w:pPr>
    </w:p>
    <w:p>
      <w:pPr>
        <w:ind w:left="2580" w:hanging="647"/>
        <w:spacing w:after="0"/>
        <w:tabs>
          <w:tab w:leader="none" w:pos="258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updated Borrowing Base Assets List; and</w:t>
      </w:r>
    </w:p>
    <w:p>
      <w:pPr>
        <w:spacing w:after="0" w:line="225" w:lineRule="exact"/>
        <w:rPr>
          <w:rFonts w:ascii="Times New Roman" w:cs="Times New Roman" w:eastAsia="Times New Roman" w:hAnsi="Times New Roman"/>
          <w:sz w:val="18"/>
          <w:szCs w:val="18"/>
          <w:color w:val="auto"/>
        </w:rPr>
      </w:pPr>
    </w:p>
    <w:p>
      <w:pPr>
        <w:ind w:left="2600" w:hanging="667"/>
        <w:spacing w:after="0"/>
        <w:tabs>
          <w:tab w:leader="none" w:pos="260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Inclusion Date is after the occurrence of a Springing Mortgage Covenant Event relating to clause (a) or</w:t>
      </w:r>
    </w:p>
    <w:p>
      <w:pPr>
        <w:spacing w:after="0" w:line="27" w:lineRule="exact"/>
        <w:rPr>
          <w:rFonts w:ascii="Times New Roman" w:cs="Times New Roman" w:eastAsia="Times New Roman" w:hAnsi="Times New Roman"/>
          <w:sz w:val="18"/>
          <w:szCs w:val="18"/>
          <w:color w:val="auto"/>
        </w:rPr>
      </w:pPr>
    </w:p>
    <w:p>
      <w:pPr>
        <w:ind w:left="1280" w:right="340" w:firstLine="5"/>
        <w:spacing w:after="0" w:line="261" w:lineRule="auto"/>
        <w:tabs>
          <w:tab w:leader="none" w:pos="153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definition thereof, the Borrower shall have caused the Direct Owner of the Nominated Asset to execute (as applicable) and/or deliver to the Administrative Agent each of the items described in </w:t>
      </w:r>
      <w:r>
        <w:rPr>
          <w:rFonts w:ascii="Times New Roman" w:cs="Times New Roman" w:eastAsia="Times New Roman" w:hAnsi="Times New Roman"/>
          <w:sz w:val="18"/>
          <w:szCs w:val="18"/>
          <w:u w:val="single" w:color="auto"/>
          <w:color w:val="auto"/>
        </w:rPr>
        <w:t>Section 6.12(a)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640" w:right="620" w:firstLine="645"/>
        <w:spacing w:after="0" w:line="266" w:lineRule="auto"/>
        <w:tabs>
          <w:tab w:leader="none" w:pos="1944"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Appraisals</w:t>
      </w:r>
      <w:r>
        <w:rPr>
          <w:rFonts w:ascii="Times New Roman" w:cs="Times New Roman" w:eastAsia="Times New Roman" w:hAnsi="Times New Roman"/>
          <w:sz w:val="18"/>
          <w:szCs w:val="18"/>
          <w:color w:val="auto"/>
        </w:rPr>
        <w:t xml:space="preserve">. Any delay in the completion of the Appraisals of the Nominated Assets shall be the sole risk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Administrative Agent shall use good faith efforts to obtain or otherwise approve the applicable Appraisals as soon as reasonably possible.</w:t>
      </w:r>
    </w:p>
    <w:p>
      <w:pPr>
        <w:spacing w:after="0" w:line="176" w:lineRule="exact"/>
        <w:rPr>
          <w:rFonts w:ascii="Times New Roman" w:cs="Times New Roman" w:eastAsia="Times New Roman" w:hAnsi="Times New Roman"/>
          <w:sz w:val="18"/>
          <w:szCs w:val="18"/>
          <w:color w:val="auto"/>
        </w:rPr>
      </w:pPr>
    </w:p>
    <w:p>
      <w:pPr>
        <w:ind w:left="-20" w:firstLine="656"/>
        <w:spacing w:after="0" w:line="282" w:lineRule="auto"/>
        <w:tabs>
          <w:tab w:leader="none" w:pos="128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Exclusion of Borrowing Base Assets</w:t>
      </w:r>
      <w:r>
        <w:rPr>
          <w:rFonts w:ascii="Times New Roman" w:cs="Times New Roman" w:eastAsia="Times New Roman" w:hAnsi="Times New Roman"/>
          <w:sz w:val="18"/>
          <w:szCs w:val="18"/>
          <w:color w:val="auto"/>
        </w:rPr>
        <w:t>. Any of the following shall result in the Appraised Value, in the case of an Ground Net Lease Asset, or the Loan Asset Value, in the case of a Loan Asset, of the applicable Borrowing Base Asset being deemed to be zero:</w:t>
      </w:r>
    </w:p>
    <w:p>
      <w:pPr>
        <w:spacing w:after="0" w:line="161" w:lineRule="exact"/>
        <w:rPr>
          <w:rFonts w:ascii="Times New Roman" w:cs="Times New Roman" w:eastAsia="Times New Roman" w:hAnsi="Times New Roman"/>
          <w:sz w:val="18"/>
          <w:szCs w:val="18"/>
          <w:color w:val="auto"/>
        </w:rPr>
      </w:pPr>
    </w:p>
    <w:p>
      <w:pPr>
        <w:ind w:left="640" w:right="80" w:firstLine="645"/>
        <w:spacing w:after="0" w:line="256" w:lineRule="auto"/>
        <w:tabs>
          <w:tab w:leader="none" w:pos="1958"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of Eligibility Status</w:t>
      </w:r>
      <w:r>
        <w:rPr>
          <w:rFonts w:ascii="Times New Roman" w:cs="Times New Roman" w:eastAsia="Times New Roman" w:hAnsi="Times New Roman"/>
          <w:sz w:val="18"/>
          <w:szCs w:val="18"/>
          <w:color w:val="auto"/>
        </w:rPr>
        <w:t>. Immediately, if such Borrowing Base Asset fails to satisfy any of the criteria set forth in the definition of Eligible Ground Net Lease Asset or Eligible Loan Asset, as applicable, (unless each such failure is susceptible to cure within a period of fifteen (15) Business Days and the Loan Parties have undertaken to cure each such failure within such period, in which case the Appraised Value or the Loan Asset Value, as applicable, of such Borrowing Base Asset will remain at the then existing Appraised Value or Loan Asset Value, as applicable, and only be considered to be zero at the end of such period in the event that such Borrowing Base Asset fails to satisfy all of the applicable criteria prior thereto).</w:t>
      </w:r>
    </w:p>
    <w:p>
      <w:pPr>
        <w:spacing w:after="0" w:line="188" w:lineRule="exact"/>
        <w:rPr>
          <w:sz w:val="20"/>
          <w:szCs w:val="20"/>
          <w:color w:val="auto"/>
        </w:rPr>
      </w:pPr>
    </w:p>
    <w:p>
      <w:pPr>
        <w:ind w:left="1960" w:hanging="675"/>
        <w:spacing w:after="0"/>
        <w:tabs>
          <w:tab w:leader="none" w:pos="196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Dispositions</w:t>
      </w:r>
      <w:r>
        <w:rPr>
          <w:rFonts w:ascii="Times New Roman" w:cs="Times New Roman" w:eastAsia="Times New Roman" w:hAnsi="Times New Roman"/>
          <w:sz w:val="18"/>
          <w:szCs w:val="18"/>
          <w:color w:val="auto"/>
        </w:rPr>
        <w:t>. Immediately, upon a Disposition of all assets comprising such Borrowing Base Asset.</w:t>
      </w:r>
    </w:p>
    <w:p>
      <w:pPr>
        <w:spacing w:after="0" w:line="225" w:lineRule="exact"/>
        <w:rPr>
          <w:rFonts w:ascii="Times New Roman" w:cs="Times New Roman" w:eastAsia="Times New Roman" w:hAnsi="Times New Roman"/>
          <w:sz w:val="18"/>
          <w:szCs w:val="18"/>
          <w:color w:val="auto"/>
        </w:rPr>
      </w:pPr>
    </w:p>
    <w:p>
      <w:pPr>
        <w:ind w:left="1980" w:hanging="695"/>
        <w:spacing w:after="0"/>
        <w:tabs>
          <w:tab w:leader="none" w:pos="198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Releases</w:t>
      </w:r>
      <w:r>
        <w:rPr>
          <w:rFonts w:ascii="Times New Roman" w:cs="Times New Roman" w:eastAsia="Times New Roman" w:hAnsi="Times New Roman"/>
          <w:sz w:val="18"/>
          <w:szCs w:val="18"/>
          <w:color w:val="auto"/>
        </w:rPr>
        <w:t xml:space="preserve">. Immediately, upon the release of such Borrowing Base Asset pursuant to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64"/>
        <w:spacing w:after="0"/>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of Borrowing Base Assets and Releases of Collateral and Subsidiary Guarantors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0" w:firstLine="645"/>
        <w:spacing w:after="0" w:line="282" w:lineRule="auto"/>
        <w:tabs>
          <w:tab w:leader="none" w:pos="1958"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satisfaction of each of the Release Conditions with respect to any proposed Release Transaction, the release contemplated by such Release Transaction shall be effective automatically and without further action of any Person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right="180" w:firstLine="653"/>
        <w:spacing w:after="0" w:line="261" w:lineRule="auto"/>
        <w:tabs>
          <w:tab w:leader="none" w:pos="2597"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Release Transaction involves release of a Subsidiary Guarantor from its obligations under the Guaranty, the Administrative Agent shall, at the sole expense of the Borrower, execute and deliver such documents as the Loan Parties may reasonably request as necessary or desirable to evidence the release of the applicable Subsidiary Guarantor from its obligations under the Guaranty;</w:t>
      </w:r>
    </w:p>
    <w:p>
      <w:pPr>
        <w:sectPr>
          <w:pgSz w:w="11900" w:h="16838" w:orient="portrait"/>
          <w:cols w:equalWidth="0" w:num="1">
            <w:col w:w="11380"/>
          </w:cols>
          <w:pgMar w:left="260" w:top="337" w:right="259" w:bottom="0" w:gutter="0" w:footer="0" w:header="0"/>
        </w:sectPr>
      </w:pPr>
    </w:p>
    <w:bookmarkStart w:id="80" w:name="page81"/>
    <w:bookmarkEnd w:id="80"/>
    <w:p>
      <w:pPr>
        <w:spacing w:after="0" w:line="77" w:lineRule="exact"/>
        <w:rPr>
          <w:sz w:val="20"/>
          <w:szCs w:val="20"/>
          <w:color w:val="auto"/>
        </w:rPr>
      </w:pPr>
    </w:p>
    <w:p>
      <w:pPr>
        <w:ind w:left="1300" w:right="40" w:firstLine="653"/>
        <w:spacing w:after="0" w:line="261" w:lineRule="auto"/>
        <w:tabs>
          <w:tab w:leader="none" w:pos="2607"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Release Transaction involves release of the Lien of the Administrative Agent on any Loan Asset or Ground Net Lease Asset, the Administrative Agent shall, at the sole expense of the Borrower, execute and deliver such documents as the Loan Parties may reasonably request as necessary or desirable to evidence the release of the Lien of the Administrative Agent on such Loan Asset or Ground Net Lease Asset; and</w:t>
      </w:r>
    </w:p>
    <w:p>
      <w:pPr>
        <w:spacing w:after="0" w:line="180" w:lineRule="exact"/>
        <w:rPr>
          <w:rFonts w:ascii="Times New Roman" w:cs="Times New Roman" w:eastAsia="Times New Roman" w:hAnsi="Times New Roman"/>
          <w:sz w:val="18"/>
          <w:szCs w:val="18"/>
          <w:color w:val="auto"/>
        </w:rPr>
      </w:pPr>
    </w:p>
    <w:p>
      <w:pPr>
        <w:ind w:left="1300" w:right="80" w:firstLine="653"/>
        <w:spacing w:after="0" w:line="255" w:lineRule="auto"/>
        <w:tabs>
          <w:tab w:leader="none" w:pos="2607"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Release Transaction involves release of the Lien of the Administrative Agent on any Equity Interest in a Subsidiary Guarantor or owned, directly or indirectly by a Subsidiary Guarantor, the Administrative Agent shall, at the sole expense of the Borrower, execute and deliver such documents as the Loan Parties may reasonably request as necessary or desirable to evidence the release of the Lien of the Administrative Agent on such Equity Interest and/or the release of the applicable Subsidiary Guarantor from its obligations under the Pledge Agreement (including, in the case of this clause (C) and clauses (A) and (B) above, executing documents reasonably in advance to the extent practicable in order to facilitate releases, including placing documents into escrow on terms acceptable to the Administrative Agent);</w:t>
      </w:r>
    </w:p>
    <w:p>
      <w:pPr>
        <w:spacing w:after="0" w:line="189"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w:t>
      </w:r>
    </w:p>
    <w:p>
      <w:pPr>
        <w:spacing w:after="0" w:line="225" w:lineRule="exact"/>
        <w:rPr>
          <w:rFonts w:ascii="Times New Roman" w:cs="Times New Roman" w:eastAsia="Times New Roman" w:hAnsi="Times New Roman"/>
          <w:sz w:val="18"/>
          <w:szCs w:val="18"/>
          <w:color w:val="auto"/>
        </w:rPr>
      </w:pPr>
    </w:p>
    <w:p>
      <w:pPr>
        <w:ind w:left="1300" w:right="260" w:firstLine="653"/>
        <w:spacing w:after="0" w:line="266" w:lineRule="auto"/>
        <w:tabs>
          <w:tab w:leader="none" w:pos="2617"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release pursuant to a Release Transaction of the type contemplated in either clause (i)(A) or (i)(C) above, all Borrowing Base Assets owned or ground leased, directly or indirectly, by the applicable Subsidiary Guarantor shall be removed from the calculation of the Borrowing Base Amount; and</w:t>
      </w:r>
    </w:p>
    <w:p>
      <w:pPr>
        <w:spacing w:after="0" w:line="176" w:lineRule="exact"/>
        <w:rPr>
          <w:rFonts w:ascii="Times New Roman" w:cs="Times New Roman" w:eastAsia="Times New Roman" w:hAnsi="Times New Roman"/>
          <w:sz w:val="18"/>
          <w:szCs w:val="18"/>
          <w:color w:val="auto"/>
        </w:rPr>
      </w:pPr>
    </w:p>
    <w:p>
      <w:pPr>
        <w:ind w:left="1300" w:right="160" w:firstLine="653"/>
        <w:spacing w:after="0" w:line="266" w:lineRule="auto"/>
        <w:tabs>
          <w:tab w:leader="none" w:pos="2607"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release pursuant to a Release Transaction of the type contemplated in clause (i)(B) above, the Loan Asset or the Ground Net Lease Asset, as applicable, that is the subject of the Lien release shall be removed from the calculation of the Borrowing Base Amount.</w:t>
      </w:r>
    </w:p>
    <w:p>
      <w:pPr>
        <w:spacing w:after="0" w:line="176"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promptly notify the Lenders following the consummation of any proposed Release Transaction.</w:t>
      </w:r>
    </w:p>
    <w:p>
      <w:pPr>
        <w:spacing w:after="0" w:line="225" w:lineRule="exact"/>
        <w:rPr>
          <w:rFonts w:ascii="Times New Roman" w:cs="Times New Roman" w:eastAsia="Times New Roman" w:hAnsi="Times New Roman"/>
          <w:sz w:val="18"/>
          <w:szCs w:val="18"/>
          <w:color w:val="auto"/>
        </w:rPr>
      </w:pPr>
    </w:p>
    <w:p>
      <w:pPr>
        <w:ind w:left="660" w:right="20" w:firstLine="645"/>
        <w:spacing w:after="0" w:line="266" w:lineRule="auto"/>
        <w:tabs>
          <w:tab w:leader="none" w:pos="1973"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understood and agreed that no release pursuant to this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shall impair or otherwise adversely affect the Liens, security interests, guarantees and other rights of the Administrative Agent or the Secured Parties under the Loan Documents not being released (or as to the parties to the Loan Documents and the Collateral subject to the Loan Documents not being released).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ARTICLE III.</w:t>
      </w:r>
      <w:r>
        <w:rPr>
          <w:sz w:val="20"/>
          <w:szCs w:val="20"/>
          <w:color w:val="auto"/>
        </w:rPr>
        <w:tab/>
      </w:r>
      <w:r>
        <w:rPr>
          <w:rFonts w:ascii="Times New Roman" w:cs="Times New Roman" w:eastAsia="Times New Roman" w:hAnsi="Times New Roman"/>
          <w:sz w:val="17"/>
          <w:szCs w:val="17"/>
          <w:b w:val="1"/>
          <w:bCs w:val="1"/>
          <w:color w:val="auto"/>
        </w:rPr>
        <w:t>TAXES, YIELD PROTECTION AND ILLEGALITY</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3.01</w:t>
      </w:r>
      <w:r>
        <w:rPr>
          <w:sz w:val="20"/>
          <w:szCs w:val="20"/>
          <w:color w:val="auto"/>
        </w:rPr>
        <w:tab/>
      </w: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300" w:hanging="644"/>
        <w:spacing w:after="0"/>
        <w:tabs>
          <w:tab w:leader="none" w:pos="13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Free of Taxes; Obligation to Withhold; Payments on Account of Taxes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firstLine="645"/>
        <w:spacing w:after="0" w:line="258" w:lineRule="auto"/>
        <w:tabs>
          <w:tab w:leader="none" w:pos="1978"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and all payments by or on account of any obligation of any Loan Party under any Loan Document shall be made without deduction or withholding for any Taxes, except as required by applicable Laws. If any applicable Laws (as determined in the good faith discretion of the Administrative Agent or a Loan Party)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Times New Roman" w:cs="Times New Roman" w:eastAsia="Times New Roman" w:hAnsi="Times New Roman"/>
          <w:sz w:val="18"/>
          <w:szCs w:val="18"/>
          <w:u w:val="single" w:color="auto"/>
          <w:color w:val="auto"/>
        </w:rPr>
        <w:t>subsection (e)</w:t>
      </w:r>
      <w:r>
        <w:rPr>
          <w:rFonts w:ascii="Times New Roman" w:cs="Times New Roman" w:eastAsia="Times New Roman" w:hAnsi="Times New Roman"/>
          <w:sz w:val="18"/>
          <w:szCs w:val="18"/>
          <w:color w:val="auto"/>
        </w:rPr>
        <w:t xml:space="preserve"> below.</w:t>
      </w:r>
    </w:p>
    <w:p>
      <w:pPr>
        <w:spacing w:after="0" w:line="183" w:lineRule="exact"/>
        <w:rPr>
          <w:rFonts w:ascii="Times New Roman" w:cs="Times New Roman" w:eastAsia="Times New Roman" w:hAnsi="Times New Roman"/>
          <w:sz w:val="18"/>
          <w:szCs w:val="18"/>
          <w:color w:val="auto"/>
        </w:rPr>
      </w:pPr>
    </w:p>
    <w:p>
      <w:pPr>
        <w:ind w:left="660" w:right="80" w:firstLine="645"/>
        <w:spacing w:after="0" w:line="255" w:lineRule="auto"/>
        <w:tabs>
          <w:tab w:leader="none" w:pos="1987"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Loan Party or the Administrative Agent shall be required by the Code to withhold or deduct any Taxes, including both United States Federal backup withholding and withholding taxes, from any payment, then (A) such Loan Party or the Administrative Agent shall withhold or make such deductions as are determined by such Loan Party or the Administrative Agent to be required based upon the information and documentation it has received pursuant to </w:t>
      </w:r>
      <w:r>
        <w:rPr>
          <w:rFonts w:ascii="Times New Roman" w:cs="Times New Roman" w:eastAsia="Times New Roman" w:hAnsi="Times New Roman"/>
          <w:sz w:val="18"/>
          <w:szCs w:val="18"/>
          <w:u w:val="single" w:color="auto"/>
          <w:color w:val="auto"/>
        </w:rPr>
        <w:t>subsection (e)</w:t>
      </w:r>
      <w:r>
        <w:rPr>
          <w:rFonts w:ascii="Times New Roman" w:cs="Times New Roman" w:eastAsia="Times New Roman" w:hAnsi="Times New Roman"/>
          <w:sz w:val="18"/>
          <w:szCs w:val="18"/>
          <w:color w:val="auto"/>
        </w:rPr>
        <w:t xml:space="preserve"> below, (B) such Loan Party or the Administrative Agent shall timely pay the full amount withheld or deducted to the relevant Governmental Authority in accordance with the Code,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applicable Recipient receives an amount equal to the sum it would have received had no such withholding or deduction been made.</w:t>
      </w:r>
    </w:p>
    <w:p>
      <w:pPr>
        <w:spacing w:after="0" w:line="185" w:lineRule="exact"/>
        <w:rPr>
          <w:rFonts w:ascii="Times New Roman" w:cs="Times New Roman" w:eastAsia="Times New Roman" w:hAnsi="Times New Roman"/>
          <w:sz w:val="18"/>
          <w:szCs w:val="18"/>
          <w:color w:val="auto"/>
        </w:rPr>
      </w:pPr>
    </w:p>
    <w:p>
      <w:pPr>
        <w:ind w:left="660" w:right="40" w:firstLine="645"/>
        <w:spacing w:after="0" w:line="257" w:lineRule="auto"/>
        <w:tabs>
          <w:tab w:leader="none" w:pos="1997"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Loan Party or the Administrative Agent shall be required by any applicable Laws other than the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Times New Roman" w:cs="Times New Roman" w:eastAsia="Times New Roman" w:hAnsi="Times New Roman"/>
          <w:sz w:val="18"/>
          <w:szCs w:val="18"/>
          <w:u w:val="single" w:color="auto"/>
          <w:color w:val="auto"/>
        </w:rPr>
        <w:t>subsection (e)</w:t>
      </w:r>
      <w:r>
        <w:rPr>
          <w:rFonts w:ascii="Times New Roman" w:cs="Times New Roman" w:eastAsia="Times New Roman" w:hAnsi="Times New Roman"/>
          <w:sz w:val="18"/>
          <w:szCs w:val="18"/>
          <w:color w:val="auto"/>
        </w:rPr>
        <w:t xml:space="preserve"> below,</w:t>
      </w:r>
    </w:p>
    <w:p>
      <w:pPr>
        <w:spacing w:after="0" w:line="1" w:lineRule="exact"/>
        <w:rPr>
          <w:rFonts w:ascii="Times New Roman" w:cs="Times New Roman" w:eastAsia="Times New Roman" w:hAnsi="Times New Roman"/>
          <w:sz w:val="18"/>
          <w:szCs w:val="18"/>
          <w:color w:val="auto"/>
        </w:rPr>
      </w:pPr>
    </w:p>
    <w:p>
      <w:pPr>
        <w:ind w:left="660" w:right="1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applicable Recipient receives an amount equal to the sum it would have received had no such withholding or deduction been made.</w:t>
      </w:r>
    </w:p>
    <w:p>
      <w:pPr>
        <w:spacing w:after="0" w:line="187" w:lineRule="exact"/>
        <w:rPr>
          <w:rFonts w:ascii="Times New Roman" w:cs="Times New Roman" w:eastAsia="Times New Roman" w:hAnsi="Times New Roman"/>
          <w:sz w:val="18"/>
          <w:szCs w:val="18"/>
          <w:color w:val="auto"/>
        </w:rPr>
      </w:pPr>
    </w:p>
    <w:p>
      <w:pPr>
        <w:ind w:right="120" w:firstLine="656"/>
        <w:spacing w:after="0" w:line="282" w:lineRule="auto"/>
        <w:tabs>
          <w:tab w:leader="none" w:pos="130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the Borrower</w:t>
      </w:r>
      <w:r>
        <w:rPr>
          <w:rFonts w:ascii="Times New Roman" w:cs="Times New Roman" w:eastAsia="Times New Roman" w:hAnsi="Times New Roman"/>
          <w:sz w:val="18"/>
          <w:szCs w:val="18"/>
          <w:color w:val="auto"/>
        </w:rPr>
        <w:t xml:space="preserve">. Without limiting the provisions of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xml:space="preserve"> above, the Loan Parties shall timely pay to the relevant Governmental Authority in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applicable law, or at the option of the Administrative Agent timely reimburse it for the payment of, any Other Taxes.</w:t>
      </w:r>
    </w:p>
    <w:p>
      <w:pPr>
        <w:spacing w:after="0" w:line="225" w:lineRule="exact"/>
        <w:rPr>
          <w:sz w:val="20"/>
          <w:szCs w:val="20"/>
          <w:color w:val="auto"/>
        </w:rPr>
      </w:pPr>
    </w:p>
    <w:p>
      <w:pPr>
        <w:ind w:right="200" w:firstLine="656"/>
        <w:spacing w:after="0" w:line="261" w:lineRule="auto"/>
        <w:tabs>
          <w:tab w:leader="none" w:pos="1307"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Indemnifications</w:t>
      </w:r>
      <w:r>
        <w:rPr>
          <w:rFonts w:ascii="Times New Roman" w:cs="Times New Roman" w:eastAsia="Times New Roman" w:hAnsi="Times New Roman"/>
          <w:sz w:val="18"/>
          <w:szCs w:val="18"/>
          <w:color w:val="auto"/>
        </w:rPr>
        <w:t xml:space="preserve">. (i) Each of the Loan Parties shall, and does hereby, jointly and severally indemnify each Recipient, and shall make payment in respect thereof within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payable or paid by such Recipient or required to be withheld or deducted from a payment to such Recipient, and any penalties, interest and reasonable expenses arising therefrom or with respect thereto, whether or not such Indemnified</w:t>
      </w:r>
    </w:p>
    <w:p>
      <w:pPr>
        <w:sectPr>
          <w:pgSz w:w="11900" w:h="16915" w:orient="portrait"/>
          <w:cols w:equalWidth="0" w:num="1">
            <w:col w:w="11420"/>
          </w:cols>
          <w:pgMar w:left="240" w:top="121" w:right="239" w:bottom="0" w:gutter="0" w:footer="0" w:header="0"/>
        </w:sectPr>
      </w:pPr>
    </w:p>
    <w:bookmarkStart w:id="81" w:name="page82"/>
    <w:bookmarkEnd w:id="81"/>
    <w:p>
      <w:pPr>
        <w:spacing w:after="0" w:line="7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Taxes were correctly or legally imposed or asserted by the relevant Governmental Authority. A certificate as to the amount of such payment or liability delivered to the Borrower by a Lender or an L/C Issuer (with a copy to the Administrative Agent), or by the Administrative Agent on its own behalf or on behalf of a Lender or an L/C Issuer, shall be conclusive absent manifest error. Each of the Loan Parties shall, and does hereby, jointly and severally indemnify the Administrative Agent, and shall make payment in respect thereof within 10 days after demand therefor, for any amount which a Lender or an L/C Issuer for any reason fails to pay indefeasibly to the Administrative Agent as required pursuant to </w:t>
      </w:r>
      <w:r>
        <w:rPr>
          <w:rFonts w:ascii="Times New Roman" w:cs="Times New Roman" w:eastAsia="Times New Roman" w:hAnsi="Times New Roman"/>
          <w:sz w:val="18"/>
          <w:szCs w:val="18"/>
          <w:u w:val="single" w:color="auto"/>
          <w:color w:val="auto"/>
        </w:rPr>
        <w:t>Section 3.01(c)(ii)</w:t>
      </w:r>
      <w:r>
        <w:rPr>
          <w:rFonts w:ascii="Times New Roman" w:cs="Times New Roman" w:eastAsia="Times New Roman" w:hAnsi="Times New Roman"/>
          <w:sz w:val="18"/>
          <w:szCs w:val="18"/>
          <w:color w:val="auto"/>
        </w:rPr>
        <w:t xml:space="preserve"> below.</w:t>
      </w:r>
    </w:p>
    <w:p>
      <w:pPr>
        <w:spacing w:after="0" w:line="184" w:lineRule="exact"/>
        <w:rPr>
          <w:sz w:val="20"/>
          <w:szCs w:val="20"/>
          <w:color w:val="auto"/>
        </w:rPr>
      </w:pPr>
    </w:p>
    <w:p>
      <w:pPr>
        <w:ind w:left="660" w:firstLine="645"/>
        <w:spacing w:after="0" w:line="253" w:lineRule="auto"/>
        <w:tabs>
          <w:tab w:leader="none" w:pos="1987"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and each L/C Issuer shall, and does hereby, severally indemnify, and shall make payment in respect thereof within 10 days after demand therefor, (x) the Administrative Agent against any Indemnified Taxes attributable to such Lender or such L/C Issuer (but only to the extent that any Loan Party has not already indemnified the Administrative Agent for such Indemnified Taxes and without limiting the obligation of the Loan Parties to do so), (y) the Administrative Agent and the Loan Parties, as applicable, against any Taxes attributable to such Lender’s failure to comply with the provisions of </w:t>
      </w:r>
      <w:r>
        <w:rPr>
          <w:rFonts w:ascii="Times New Roman" w:cs="Times New Roman" w:eastAsia="Times New Roman" w:hAnsi="Times New Roman"/>
          <w:sz w:val="18"/>
          <w:szCs w:val="18"/>
          <w:u w:val="single" w:color="auto"/>
          <w:color w:val="auto"/>
        </w:rPr>
        <w:t>Section 10.06(d)</w:t>
      </w:r>
      <w:r>
        <w:rPr>
          <w:rFonts w:ascii="Times New Roman" w:cs="Times New Roman" w:eastAsia="Times New Roman" w:hAnsi="Times New Roman"/>
          <w:sz w:val="18"/>
          <w:szCs w:val="18"/>
          <w:color w:val="auto"/>
        </w:rPr>
        <w:t xml:space="preserve"> relating to the maintenance of a Participant Register and (z) the Administrative Agent and the Loan Parties, as applicable, against any Excluded Taxes attributable to such Lender or such L/C Issuer,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each L/C Issuer hereby authorizes the Administrative Agent to set off and apply any and all amounts at any time owing to such Lender or such L/C Issuer, as the case may be, under this Agreement or any other Loan Document against any amount due to the Administrative Agent under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ind w:right="20" w:firstLine="656"/>
        <w:spacing w:after="0" w:line="261" w:lineRule="auto"/>
        <w:tabs>
          <w:tab w:leader="none" w:pos="1304"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xml:space="preserve">. As soon as practicable after any payment of Taxes by the Borrower to a Governmental Authority as provided in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Borrower shall deliver to the Administrative Agent the original or a certified copy of a receipt issued by such Governmental Authority evidencing such payment, a copy of any return required by Laws to report such payment or other evidence of such payment reasonably satisfactory to the Administrative Agent.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 Tax Documentation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20" w:firstLine="645"/>
        <w:spacing w:after="0" w:line="253" w:lineRule="auto"/>
        <w:tabs>
          <w:tab w:leader="none" w:pos="1978"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8"/>
          <w:szCs w:val="18"/>
          <w:u w:val="single" w:color="auto"/>
          <w:color w:val="auto"/>
        </w:rPr>
        <w:t>Section 3.01(e)(ii)(A)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p>
    <w:p>
      <w:pPr>
        <w:spacing w:after="0" w:line="1" w:lineRule="exact"/>
        <w:rPr>
          <w:rFonts w:ascii="Times New Roman" w:cs="Times New Roman" w:eastAsia="Times New Roman" w:hAnsi="Times New Roman"/>
          <w:sz w:val="18"/>
          <w:szCs w:val="18"/>
          <w:color w:val="auto"/>
        </w:rPr>
      </w:pPr>
    </w:p>
    <w:p>
      <w:pPr>
        <w:ind w:left="660" w:right="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9"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in the event that the Borrower is a U.S. Person,</w:t>
      </w:r>
    </w:p>
    <w:p>
      <w:pPr>
        <w:spacing w:after="0" w:line="225" w:lineRule="exact"/>
        <w:rPr>
          <w:rFonts w:ascii="Times New Roman" w:cs="Times New Roman" w:eastAsia="Times New Roman" w:hAnsi="Times New Roman"/>
          <w:sz w:val="18"/>
          <w:szCs w:val="18"/>
          <w:color w:val="auto"/>
        </w:rPr>
      </w:pPr>
    </w:p>
    <w:p>
      <w:pPr>
        <w:ind w:left="1300" w:right="140" w:firstLine="653"/>
        <w:spacing w:after="0" w:line="261" w:lineRule="auto"/>
        <w:tabs>
          <w:tab w:leader="none" w:pos="2617" w:val="left"/>
        </w:tabs>
        <w:numPr>
          <w:ilvl w:val="2"/>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80" w:lineRule="exact"/>
        <w:rPr>
          <w:rFonts w:ascii="Times New Roman" w:cs="Times New Roman" w:eastAsia="Times New Roman" w:hAnsi="Times New Roman"/>
          <w:sz w:val="18"/>
          <w:szCs w:val="18"/>
          <w:color w:val="auto"/>
        </w:rPr>
      </w:pPr>
    </w:p>
    <w:p>
      <w:pPr>
        <w:ind w:left="1300" w:right="20" w:firstLine="653"/>
        <w:spacing w:after="0" w:line="261" w:lineRule="auto"/>
        <w:tabs>
          <w:tab w:leader="none" w:pos="2607" w:val="left"/>
        </w:tabs>
        <w:numPr>
          <w:ilvl w:val="2"/>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80" w:lineRule="exact"/>
        <w:rPr>
          <w:rFonts w:ascii="Times New Roman" w:cs="Times New Roman" w:eastAsia="Times New Roman" w:hAnsi="Times New Roman"/>
          <w:sz w:val="18"/>
          <w:szCs w:val="18"/>
          <w:color w:val="auto"/>
        </w:rPr>
      </w:pPr>
    </w:p>
    <w:p>
      <w:pPr>
        <w:ind w:left="3260" w:hanging="659"/>
        <w:spacing w:after="0"/>
        <w:tabs>
          <w:tab w:leader="none" w:pos="3260" w:val="left"/>
        </w:tabs>
        <w:numPr>
          <w:ilvl w:val="3"/>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w:t>
      </w:r>
    </w:p>
    <w:p>
      <w:pPr>
        <w:spacing w:after="0" w:line="27" w:lineRule="exact"/>
        <w:rPr>
          <w:rFonts w:ascii="Times New Roman" w:cs="Times New Roman" w:eastAsia="Times New Roman" w:hAnsi="Times New Roman"/>
          <w:sz w:val="18"/>
          <w:szCs w:val="18"/>
          <w:color w:val="auto"/>
        </w:rPr>
      </w:pPr>
    </w:p>
    <w:p>
      <w:pPr>
        <w:ind w:left="1300" w:right="160" w:firstLine="5"/>
        <w:spacing w:after="0" w:line="250" w:lineRule="auto"/>
        <w:tabs>
          <w:tab w:leader="none" w:pos="1555"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payments of interest under any Loan Document, executed copies of IRS Form W-8BEN-E (or W-8BEN, as applicable) establishing an exemption from, or reduction of, U.S. federal withholding Tax pursuant to the “interest” article of such tax treaty and</w:t>
      </w:r>
    </w:p>
    <w:p>
      <w:pPr>
        <w:ind w:left="130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186" w:lineRule="exact"/>
        <w:rPr>
          <w:sz w:val="20"/>
          <w:szCs w:val="20"/>
          <w:color w:val="auto"/>
        </w:rPr>
      </w:pPr>
    </w:p>
    <w:p>
      <w:pPr>
        <w:ind w:left="5620" w:right="5380" w:hanging="3019"/>
        <w:spacing w:after="0" w:line="578" w:lineRule="auto"/>
        <w:tabs>
          <w:tab w:leader="none" w:pos="3242"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executed copies of IRS Form W-8ECI;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3240" w:hanging="639"/>
        <w:spacing w:after="0"/>
        <w:tabs>
          <w:tab w:leader="none" w:pos="324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the exemption for portfolio interest under</w:t>
      </w:r>
    </w:p>
    <w:p>
      <w:pPr>
        <w:spacing w:after="0" w:line="27" w:lineRule="exact"/>
        <w:rPr>
          <w:sz w:val="20"/>
          <w:szCs w:val="20"/>
          <w:color w:val="auto"/>
        </w:rPr>
      </w:pPr>
    </w:p>
    <w:p>
      <w:pPr>
        <w:ind w:left="1300" w:right="140"/>
        <w:spacing w:after="0" w:line="250" w:lineRule="auto"/>
        <w:rPr>
          <w:sz w:val="20"/>
          <w:szCs w:val="20"/>
          <w:color w:val="auto"/>
        </w:rPr>
      </w:pPr>
      <w:r>
        <w:rPr>
          <w:rFonts w:ascii="Times New Roman" w:cs="Times New Roman" w:eastAsia="Times New Roman" w:hAnsi="Times New Roman"/>
          <w:sz w:val="18"/>
          <w:szCs w:val="18"/>
          <w:color w:val="auto"/>
        </w:rPr>
        <w:t xml:space="preserve">Section 881(c) of the Code, (x) a certificate substantially in the form of </w:t>
      </w:r>
      <w:r>
        <w:rPr>
          <w:rFonts w:ascii="Times New Roman" w:cs="Times New Roman" w:eastAsia="Times New Roman" w:hAnsi="Times New Roman"/>
          <w:sz w:val="18"/>
          <w:szCs w:val="18"/>
          <w:u w:val="single" w:color="auto"/>
          <w:color w:val="auto"/>
        </w:rPr>
        <w:t>Exhibit G-1</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 percent shareholder” of the Borrower within the meaning of Section 881(c)</w:t>
      </w:r>
    </w:p>
    <w:p>
      <w:pPr>
        <w:spacing w:after="0" w:line="1" w:lineRule="exact"/>
        <w:rPr>
          <w:sz w:val="20"/>
          <w:szCs w:val="20"/>
          <w:color w:val="auto"/>
        </w:rPr>
      </w:pPr>
    </w:p>
    <w:p>
      <w:pPr>
        <w:ind w:left="1300" w:right="840"/>
        <w:spacing w:after="0" w:line="261" w:lineRule="auto"/>
        <w:rPr>
          <w:sz w:val="20"/>
          <w:szCs w:val="20"/>
          <w:color w:val="auto"/>
        </w:rPr>
      </w:pPr>
      <w:r>
        <w:rPr>
          <w:rFonts w:ascii="Times New Roman" w:cs="Times New Roman" w:eastAsia="Times New Roman" w:hAnsi="Times New Roman"/>
          <w:sz w:val="18"/>
          <w:szCs w:val="18"/>
          <w:color w:val="auto"/>
        </w:rPr>
        <w:t>(3)(B) of the Code, or a “controlled foreign corporation” described in Section 881(c)(3)(C) of the Code (a “</w:t>
      </w:r>
      <w:r>
        <w:rPr>
          <w:rFonts w:ascii="Times New Roman" w:cs="Times New Roman" w:eastAsia="Times New Roman" w:hAnsi="Times New Roman"/>
          <w:sz w:val="18"/>
          <w:szCs w:val="18"/>
          <w:u w:val="single" w:color="auto"/>
          <w:color w:val="auto"/>
        </w:rPr>
        <w:t>U.S. Tax 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and (y) executed copies of IRS Form W-8BEN-E (or W-8BEN, as applicable); or</w:t>
      </w:r>
    </w:p>
    <w:p>
      <w:pPr>
        <w:spacing w:after="0" w:line="180" w:lineRule="exact"/>
        <w:rPr>
          <w:sz w:val="20"/>
          <w:szCs w:val="20"/>
          <w:color w:val="auto"/>
        </w:rPr>
      </w:pPr>
    </w:p>
    <w:p>
      <w:pPr>
        <w:ind w:left="1300" w:right="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(IV) to the extent a Foreign Lender is not the beneficial owner, executed copies of IRS Form W-8IMY, accompanied by IRS Form W-8ECI, IRS Form W-8BEN-E (or W-8BEN, as applicable), a U.S. Tax Compliance Certificate substantially in the form of </w:t>
      </w:r>
      <w:r>
        <w:rPr>
          <w:rFonts w:ascii="Times New Roman" w:cs="Times New Roman" w:eastAsia="Times New Roman" w:hAnsi="Times New Roman"/>
          <w:sz w:val="18"/>
          <w:szCs w:val="18"/>
          <w:u w:val="single" w:color="auto"/>
          <w:color w:val="auto"/>
        </w:rPr>
        <w:t>Exhibit G-2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G-3</w:t>
      </w:r>
      <w:r>
        <w:rPr>
          <w:rFonts w:ascii="Times New Roman" w:cs="Times New Roman" w:eastAsia="Times New Roman" w:hAnsi="Times New Roman"/>
          <w:sz w:val="18"/>
          <w:szCs w:val="18"/>
          <w:color w:val="auto"/>
        </w:rPr>
        <w:t>, IRS Form W-9, and/or other certification documents from each beneficial owner, as applicable; provided that if the Foreign Lender is a partnership and one or more direct or indirect partners of such Foreign Lender are claiming the portfolio interest</w:t>
      </w:r>
    </w:p>
    <w:p>
      <w:pPr>
        <w:sectPr>
          <w:pgSz w:w="11900" w:h="16915" w:orient="portrait"/>
          <w:cols w:equalWidth="0" w:num="1">
            <w:col w:w="11420"/>
          </w:cols>
          <w:pgMar w:left="240" w:top="121" w:right="239" w:bottom="0" w:gutter="0" w:footer="0" w:header="0"/>
        </w:sectPr>
      </w:pPr>
    </w:p>
    <w:bookmarkStart w:id="82" w:name="page83"/>
    <w:bookmarkEnd w:id="82"/>
    <w:p>
      <w:pPr>
        <w:spacing w:after="0" w:line="76" w:lineRule="exact"/>
        <w:rPr>
          <w:sz w:val="20"/>
          <w:szCs w:val="20"/>
          <w:color w:val="auto"/>
        </w:rPr>
      </w:pPr>
    </w:p>
    <w:p>
      <w:pPr>
        <w:ind w:left="1300" w:right="100"/>
        <w:spacing w:after="0" w:line="282" w:lineRule="auto"/>
        <w:rPr>
          <w:sz w:val="20"/>
          <w:szCs w:val="20"/>
          <w:color w:val="auto"/>
        </w:rPr>
      </w:pPr>
      <w:r>
        <w:rPr>
          <w:rFonts w:ascii="Times New Roman" w:cs="Times New Roman" w:eastAsia="Times New Roman" w:hAnsi="Times New Roman"/>
          <w:sz w:val="18"/>
          <w:szCs w:val="18"/>
          <w:color w:val="auto"/>
        </w:rPr>
        <w:t xml:space="preserve">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G-4</w:t>
      </w:r>
      <w:r>
        <w:rPr>
          <w:rFonts w:ascii="Times New Roman" w:cs="Times New Roman" w:eastAsia="Times New Roman" w:hAnsi="Times New Roman"/>
          <w:sz w:val="18"/>
          <w:szCs w:val="18"/>
          <w:color w:val="auto"/>
        </w:rPr>
        <w:t xml:space="preserve"> on behalf of each such direct and indirect partner;</w:t>
      </w:r>
    </w:p>
    <w:p>
      <w:pPr>
        <w:spacing w:after="0" w:line="162" w:lineRule="exact"/>
        <w:rPr>
          <w:sz w:val="20"/>
          <w:szCs w:val="20"/>
          <w:color w:val="auto"/>
        </w:rPr>
      </w:pPr>
    </w:p>
    <w:p>
      <w:pPr>
        <w:ind w:left="1300" w:firstLine="653"/>
        <w:spacing w:after="0" w:line="256" w:lineRule="auto"/>
        <w:tabs>
          <w:tab w:leader="none" w:pos="2607"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87" w:lineRule="exact"/>
        <w:rPr>
          <w:rFonts w:ascii="Times New Roman" w:cs="Times New Roman" w:eastAsia="Times New Roman" w:hAnsi="Times New Roman"/>
          <w:sz w:val="18"/>
          <w:szCs w:val="18"/>
          <w:color w:val="auto"/>
        </w:rPr>
      </w:pPr>
    </w:p>
    <w:p>
      <w:pPr>
        <w:ind w:left="1300" w:right="80" w:firstLine="653"/>
        <w:spacing w:after="0" w:line="257" w:lineRule="auto"/>
        <w:tabs>
          <w:tab w:leader="none" w:pos="2617"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w:t>
      </w:r>
    </w:p>
    <w:p>
      <w:pPr>
        <w:spacing w:after="0" w:line="1" w:lineRule="exact"/>
        <w:rPr>
          <w:rFonts w:ascii="Times New Roman" w:cs="Times New Roman" w:eastAsia="Times New Roman" w:hAnsi="Times New Roman"/>
          <w:sz w:val="18"/>
          <w:szCs w:val="18"/>
          <w:color w:val="auto"/>
        </w:rPr>
      </w:pPr>
    </w:p>
    <w:p>
      <w:pPr>
        <w:ind w:left="13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0" w:firstLine="645"/>
        <w:spacing w:after="0" w:line="266" w:lineRule="auto"/>
        <w:tabs>
          <w:tab w:leader="none" w:pos="1997"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agrees that if any form or certification it previously delivered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76" w:lineRule="exact"/>
        <w:rPr>
          <w:rFonts w:ascii="Times New Roman" w:cs="Times New Roman" w:eastAsia="Times New Roman" w:hAnsi="Times New Roman"/>
          <w:sz w:val="18"/>
          <w:szCs w:val="18"/>
          <w:color w:val="auto"/>
        </w:rPr>
      </w:pPr>
    </w:p>
    <w:p>
      <w:pPr>
        <w:ind w:firstLine="656"/>
        <w:spacing w:after="0" w:line="252" w:lineRule="auto"/>
        <w:tabs>
          <w:tab w:leader="none" w:pos="1301"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xml:space="preserve">. Unless required by applicable Laws, at no time shall the Administrative Agent have any obligation to file for or otherwise pursue on behalf of a Lender or an L/C Issuer, or have any obligation to pay to any Lender or any L/C Issuer, any refund of Taxes withheld or deducted from funds paid for the account of such Lender or such L/C Issuer, as the case may be. If any Recipient determines, in its sole discretion that it has received a refund of any Taxes as to which it has been indemnified by any Loan Party or with respect to which any Loan Party has paid additional amounts pursuant to this Section 3.01, it shall pay to the Loan Party an amount equal to such refund (but only to the extent of indemnity payments made, or additional amounts paid, a Loan Party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Loan Party, upon the request of the Recipient, agrees to repay the amount paid over to the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spacing w:after="0" w:line="198" w:lineRule="exact"/>
        <w:rPr>
          <w:rFonts w:ascii="Times New Roman" w:cs="Times New Roman" w:eastAsia="Times New Roman" w:hAnsi="Times New Roman"/>
          <w:sz w:val="18"/>
          <w:szCs w:val="18"/>
          <w:color w:val="auto"/>
        </w:rPr>
      </w:pPr>
    </w:p>
    <w:p>
      <w:pPr>
        <w:ind w:right="60" w:firstLine="656"/>
        <w:spacing w:after="0" w:line="266" w:lineRule="auto"/>
        <w:tabs>
          <w:tab w:leader="none" w:pos="1317"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or an L/C Issuer, the termination of the Commitments and the repayment, satisfaction or discharge of all other Obligations.</w:t>
      </w:r>
    </w:p>
    <w:p>
      <w:pPr>
        <w:spacing w:after="0" w:line="17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3.02 Illegality</w:t>
      </w:r>
      <w:r>
        <w:rPr>
          <w:rFonts w:ascii="Times New Roman" w:cs="Times New Roman" w:eastAsia="Times New Roman" w:hAnsi="Times New Roman"/>
          <w:sz w:val="18"/>
          <w:szCs w:val="18"/>
          <w:color w:val="auto"/>
        </w:rPr>
        <w:t>. If any Lender determines in good faith that any Law has made it unlawful, or that any Governmental Authority has asserted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is unlawful, for any Lender or its Lending Office to perform any of its obligations hereunder or make, maintain or fund or charge interest with respect to any Credit Extension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 (i) any obligation of such Lender to issue, make, maintain, fund or charge interest with respect to any such Credit Extension or continue Eurodollar Rate Loans or to convert Base Rate Committed Loans to Eurodollar Rate Loans shall be suspended, and</w:t>
      </w:r>
    </w:p>
    <w:p>
      <w:pPr>
        <w:spacing w:after="0" w:line="4" w:lineRule="exact"/>
        <w:rPr>
          <w:sz w:val="20"/>
          <w:szCs w:val="20"/>
          <w:color w:val="auto"/>
        </w:rPr>
      </w:pPr>
    </w:p>
    <w:p>
      <w:pPr>
        <w:ind w:right="340" w:firstLine="8"/>
        <w:spacing w:after="0" w:line="261" w:lineRule="auto"/>
        <w:tabs>
          <w:tab w:leader="none" w:pos="26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7"/>
          <w:szCs w:val="17"/>
          <w:color w:val="auto"/>
        </w:rPr>
        <w:t>illegality, be determined by the Administrative Agent without reference to the Eurodollar Rate component of the Base Rate, in each case until such Lender notifies the Administrative Agent and the Borrower that the circumstances giving rise to such determination no longer exist. Upon receipt of such notice,</w:t>
      </w:r>
    </w:p>
    <w:p>
      <w:pPr>
        <w:spacing w:after="0" w:line="1" w:lineRule="exact"/>
        <w:rPr>
          <w:sz w:val="20"/>
          <w:szCs w:val="20"/>
          <w:color w:val="auto"/>
        </w:rPr>
      </w:pPr>
    </w:p>
    <w:p>
      <w:pPr>
        <w:ind w:firstLine="8"/>
        <w:spacing w:after="0" w:line="251" w:lineRule="auto"/>
        <w:tabs>
          <w:tab w:leader="none" w:pos="25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upon demand from such Lender (with a copy to the Administrative Agent), prepay or, if applicable, convert all Eurodollar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(y)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w:t>
      </w:r>
    </w:p>
    <w:p>
      <w:pPr>
        <w:spacing w:after="0" w:line="190"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3.03 Inability to Determine Rates</w:t>
      </w:r>
      <w:r>
        <w:rPr>
          <w:rFonts w:ascii="Times New Roman" w:cs="Times New Roman" w:eastAsia="Times New Roman" w:hAnsi="Times New Roman"/>
          <w:sz w:val="18"/>
          <w:szCs w:val="18"/>
          <w:color w:val="auto"/>
        </w:rPr>
        <w:t>. If in connection with any request for a Eurodollar Rate Loan or a conversion to or continuation thereof,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Administrative Agent determines that (i) Dollar deposits are not being offered to banks in the London interbank Eurodollar market for the applicable amount and Interest Period of such Eurodollar Rate Loan, or (ii) adequate and reasonable means do not exist for determining the Eurodollar Rate for any requested Interest Period with respect to a proposed Eurodollar Rate Loan or in connection with an existing or proposed Base Rate Loan (in each case with</w:t>
      </w:r>
    </w:p>
    <w:p>
      <w:pPr>
        <w:sectPr>
          <w:pgSz w:w="11900" w:h="16915" w:orient="portrait"/>
          <w:cols w:equalWidth="0" w:num="1">
            <w:col w:w="11400"/>
          </w:cols>
          <w:pgMar w:left="240" w:top="121" w:right="259" w:bottom="0" w:gutter="0" w:footer="0" w:header="0"/>
        </w:sectPr>
      </w:pPr>
    </w:p>
    <w:bookmarkStart w:id="83" w:name="page84"/>
    <w:bookmarkEnd w:id="83"/>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respect to </w:t>
      </w:r>
      <w:r>
        <w:rPr>
          <w:rFonts w:ascii="Times New Roman" w:cs="Times New Roman" w:eastAsia="Times New Roman" w:hAnsi="Times New Roman"/>
          <w:sz w:val="18"/>
          <w:szCs w:val="18"/>
          <w:u w:val="single" w:color="auto"/>
          <w:color w:val="auto"/>
        </w:rPr>
        <w:t>clause (a)(i)</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u w:val="single" w:color="auto"/>
          <w:color w:val="auto"/>
        </w:rPr>
        <w:t>Impacted Loans</w:t>
      </w:r>
      <w:r>
        <w:rPr>
          <w:rFonts w:ascii="Times New Roman" w:cs="Times New Roman" w:eastAsia="Times New Roman" w:hAnsi="Times New Roman"/>
          <w:sz w:val="18"/>
          <w:szCs w:val="18"/>
          <w:color w:val="auto"/>
        </w:rPr>
        <w:t>”), or (b) the Administrative Agent or the Required Lenders determine that for any reason the Eurodollar Rate for any requested Interest Period with respect to a proposed Eurodollar Rate Loan does not adequately and fairly reflect the cost to such Lenders of funding such Eurodollar Rate Loan, then in each case of each of clause (a) and (b) above, the Administrative Agent will promptly so notify the Borrower and each Lender. Thereafter, (x) the obligation of the Lenders to make or maintain Eurodollar Rate Loans shall be suspended, (to the extent of the affected Eurodollar Rate Loans or Interest Periods), and (y) in the event of a determination described in the preceding sentence with respect to the Eurodollar Rate component of the Base Rate, the utilization of the Eurodollar Rate 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Committed Loan of Base Rate Loans in the amount specified therein.</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if the Administrative Agent has made the determination described in clause (a) (i) of this section, the Administrative Agent, in consultation with the Borrower and the affected Lenders, may establish an alternative interest rate for the Impacted Loans, in which case, such alternative rate of interest shall apply with respect to the Impacted Loans until (1) the Administrative Agent revokes the notice delivered with respect to the Impacted Loans under clause (a) of the first sentence of this section, (2) the Required Lenders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notify the Administrative Agent and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3.04</w:t>
      </w:r>
      <w:r>
        <w:rPr>
          <w:sz w:val="20"/>
          <w:szCs w:val="20"/>
          <w:color w:val="auto"/>
        </w:rPr>
        <w:tab/>
      </w:r>
      <w:r>
        <w:rPr>
          <w:rFonts w:ascii="Times New Roman" w:cs="Times New Roman" w:eastAsia="Times New Roman" w:hAnsi="Times New Roman"/>
          <w:sz w:val="17"/>
          <w:szCs w:val="17"/>
          <w:b w:val="1"/>
          <w:bCs w:val="1"/>
          <w:color w:val="auto"/>
        </w:rPr>
        <w:t>Increased Costs; Reserves on Eurodollar Rate Loans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300" w:hanging="644"/>
        <w:spacing w:after="0"/>
        <w:tabs>
          <w:tab w:leader="none" w:pos="13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Increased Costs Generally</w:t>
      </w:r>
      <w:r>
        <w:rPr>
          <w:rFonts w:ascii="Times New Roman" w:cs="Times New Roman" w:eastAsia="Times New Roman" w:hAnsi="Times New Roman"/>
          <w:sz w:val="18"/>
          <w:szCs w:val="18"/>
          <w:color w:val="auto"/>
        </w:rPr>
        <w:t>. If any Change in Law shall:</w:t>
      </w:r>
    </w:p>
    <w:p>
      <w:pPr>
        <w:spacing w:after="0" w:line="225" w:lineRule="exact"/>
        <w:rPr>
          <w:rFonts w:ascii="Times New Roman" w:cs="Times New Roman" w:eastAsia="Times New Roman" w:hAnsi="Times New Roman"/>
          <w:sz w:val="18"/>
          <w:szCs w:val="18"/>
          <w:color w:val="auto"/>
        </w:rPr>
      </w:pPr>
    </w:p>
    <w:p>
      <w:pPr>
        <w:ind w:left="660" w:right="60" w:firstLine="645"/>
        <w:spacing w:after="0" w:line="266" w:lineRule="auto"/>
        <w:tabs>
          <w:tab w:leader="none" w:pos="1978"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Times New Roman" w:cs="Times New Roman" w:eastAsia="Times New Roman" w:hAnsi="Times New Roman"/>
          <w:sz w:val="18"/>
          <w:szCs w:val="18"/>
          <w:u w:val="single" w:color="auto"/>
          <w:color w:val="auto"/>
        </w:rPr>
        <w:t>Section 3.04(e</w:t>
      </w:r>
      <w:r>
        <w:rPr>
          <w:rFonts w:ascii="Times New Roman" w:cs="Times New Roman" w:eastAsia="Times New Roman" w:hAnsi="Times New Roman"/>
          <w:sz w:val="18"/>
          <w:szCs w:val="18"/>
          <w:color w:val="auto"/>
        </w:rPr>
        <w:t>)) or any L/C Issuer;</w:t>
      </w:r>
    </w:p>
    <w:p>
      <w:pPr>
        <w:spacing w:after="0" w:line="176" w:lineRule="exact"/>
        <w:rPr>
          <w:rFonts w:ascii="Times New Roman" w:cs="Times New Roman" w:eastAsia="Times New Roman" w:hAnsi="Times New Roman"/>
          <w:sz w:val="18"/>
          <w:szCs w:val="18"/>
          <w:color w:val="auto"/>
        </w:rPr>
      </w:pPr>
    </w:p>
    <w:p>
      <w:pPr>
        <w:ind w:left="660" w:right="160" w:firstLine="645"/>
        <w:spacing w:after="0" w:line="266" w:lineRule="auto"/>
        <w:tabs>
          <w:tab w:leader="none" w:pos="1987"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76" w:lineRule="exact"/>
        <w:rPr>
          <w:rFonts w:ascii="Times New Roman" w:cs="Times New Roman" w:eastAsia="Times New Roman" w:hAnsi="Times New Roman"/>
          <w:sz w:val="18"/>
          <w:szCs w:val="18"/>
          <w:color w:val="auto"/>
        </w:rPr>
      </w:pPr>
    </w:p>
    <w:p>
      <w:pPr>
        <w:ind w:left="660" w:right="540" w:firstLine="645"/>
        <w:spacing w:after="0" w:line="282" w:lineRule="auto"/>
        <w:tabs>
          <w:tab w:leader="none" w:pos="1997"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any L/C Issuer or the London interbank market any other condition, cost or expense affecting this Agreement or Eurodollar Rate Loans made by such Lender or any Letter of Credit or participation therein;</w:t>
      </w:r>
    </w:p>
    <w:p>
      <w:pPr>
        <w:spacing w:after="0" w:line="16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of making, converting to, continuing or maintaining any Loan (or of maintaining its obligation to make any such Loan), or to increase the cost to such Lender or such L/C Issuer of participating in, issuing or maintaining any Letter of Credit (or of maintaining its obligation to participate in or to issue any Letter of Credit), or to reduce the amount of any sum received or receivable by such Lender or such L/C Issuer hereunder (whether of principal, interest or any other amount) then, upon request of such Lender or such L/C Issuer, the Borrower will pay to such Lender or such L/C Issuer, as the case may be, such additional amount or amounts as will compensate such Lender or such L/C Issuer, as the case may be, for such additional costs incurred or reduction suffered.</w:t>
      </w:r>
    </w:p>
    <w:p>
      <w:pPr>
        <w:spacing w:after="0" w:line="188" w:lineRule="exact"/>
        <w:rPr>
          <w:sz w:val="20"/>
          <w:szCs w:val="20"/>
          <w:color w:val="auto"/>
        </w:rPr>
      </w:pPr>
    </w:p>
    <w:p>
      <w:pPr>
        <w:ind w:firstLine="656"/>
        <w:spacing w:after="0" w:line="256" w:lineRule="auto"/>
        <w:tabs>
          <w:tab w:leader="none" w:pos="1304"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Requirements</w:t>
      </w:r>
      <w:r>
        <w:rPr>
          <w:rFonts w:ascii="Times New Roman" w:cs="Times New Roman" w:eastAsia="Times New Roman" w:hAnsi="Times New Roman"/>
          <w:sz w:val="18"/>
          <w:szCs w:val="18"/>
          <w:color w:val="auto"/>
        </w:rPr>
        <w:t>. If any Lender or any L/C Issuer determines that any Change in Law affecting such Lender or such L/C Issuer or any Lending Office of such Lender or such Lender’s or 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held by, such Lender, or the Letters of Credit issued by such L/C Issuer, to a level below that which such Lender or such L/C Issuer or such Lender’s or such L/C Issuer’s holding company could have achieved but for such Change in Law (taking into</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20"/>
        <w:spacing w:after="0" w:line="289" w:lineRule="auto"/>
        <w:rPr>
          <w:sz w:val="20"/>
          <w:szCs w:val="20"/>
          <w:color w:val="auto"/>
        </w:rPr>
      </w:pPr>
      <w:r>
        <w:rPr>
          <w:rFonts w:ascii="Times New Roman" w:cs="Times New Roman" w:eastAsia="Times New Roman" w:hAnsi="Times New Roman"/>
          <w:sz w:val="17"/>
          <w:szCs w:val="17"/>
          <w:color w:val="auto"/>
        </w:rPr>
        <w:t>consideration such Lender’s or such L/C Issuer’s policies and the policies of such Lender’s or such L/C Issuer’s holding company with respect to capital adequacy and liquidity), then from time to time the Borrower will pay to such Lender or such L/C Issuer, as the case may be, such additional amount or amounts as will compensate such Lender or such L/C Issuer or such Lender’s or such L/C Issuer’s holding company for any such reduction suffered.</w:t>
      </w:r>
    </w:p>
    <w:p>
      <w:pPr>
        <w:spacing w:after="0" w:line="158" w:lineRule="exact"/>
        <w:rPr>
          <w:sz w:val="20"/>
          <w:szCs w:val="20"/>
          <w:color w:val="auto"/>
        </w:rPr>
      </w:pPr>
    </w:p>
    <w:p>
      <w:pPr>
        <w:ind w:right="100" w:firstLine="656"/>
        <w:spacing w:after="0" w:line="261" w:lineRule="auto"/>
        <w:tabs>
          <w:tab w:leader="none" w:pos="1307"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 for Reimbursement</w:t>
      </w:r>
      <w:r>
        <w:rPr>
          <w:rFonts w:ascii="Times New Roman" w:cs="Times New Roman" w:eastAsia="Times New Roman" w:hAnsi="Times New Roman"/>
          <w:sz w:val="18"/>
          <w:szCs w:val="18"/>
          <w:color w:val="auto"/>
        </w:rPr>
        <w:t xml:space="preserve">. A certificate of a Lender or an L/C Issuer setting forth the amount or amounts necessary to compensate such Lender or such L/C Issuer or its holding company, as the case may be, as specified in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Section and delivered to the Borrower shall be conclusive absent manifest error. The Borrower shall pay such Lender or such L/C Issuer, as the case may be, the amount shown as due on any such certificate within 10 days after receipt thereof.</w:t>
      </w:r>
    </w:p>
    <w:p>
      <w:pPr>
        <w:spacing w:after="0" w:line="180" w:lineRule="exact"/>
        <w:rPr>
          <w:rFonts w:ascii="Times New Roman" w:cs="Times New Roman" w:eastAsia="Times New Roman" w:hAnsi="Times New Roman"/>
          <w:sz w:val="18"/>
          <w:szCs w:val="18"/>
          <w:color w:val="auto"/>
        </w:rPr>
      </w:pPr>
    </w:p>
    <w:p>
      <w:pPr>
        <w:ind w:right="20" w:firstLine="656"/>
        <w:spacing w:after="0" w:line="255" w:lineRule="auto"/>
        <w:tabs>
          <w:tab w:leader="none" w:pos="130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 in Requests</w:t>
      </w:r>
      <w:r>
        <w:rPr>
          <w:rFonts w:ascii="Times New Roman" w:cs="Times New Roman" w:eastAsia="Times New Roman" w:hAnsi="Times New Roman"/>
          <w:sz w:val="18"/>
          <w:szCs w:val="18"/>
          <w:color w:val="auto"/>
        </w:rPr>
        <w:t xml:space="preserve">. Failure or delay on the part of any Lender or any L/C Issuer to demand compensation pursuant to the foregoing provisions of this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shall not constitute a waiver of such Lender’s or such L/C Issuer’s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or an L/C Issuer pursuant to the foregoing provisions of this Section for any increased costs incurred or reductions suffered more than nine months prior to the date that such Lender or such L/C Issuer, as the case may be, notifies the Borrower of the Change in Law giving rise to such increased costs or reductions and of such Lender’s or such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ectPr>
          <w:pgSz w:w="11900" w:h="16838" w:orient="portrait"/>
          <w:cols w:equalWidth="0" w:num="1">
            <w:col w:w="11400"/>
          </w:cols>
          <w:pgMar w:left="240" w:top="121" w:right="259" w:bottom="0" w:gutter="0" w:footer="0" w:header="0"/>
        </w:sectPr>
      </w:pPr>
    </w:p>
    <w:bookmarkStart w:id="84" w:name="page85"/>
    <w:bookmarkEnd w:id="84"/>
    <w:p>
      <w:pPr>
        <w:spacing w:after="0" w:line="50" w:lineRule="exact"/>
        <w:rPr>
          <w:sz w:val="20"/>
          <w:szCs w:val="20"/>
          <w:color w:val="auto"/>
        </w:rPr>
      </w:pPr>
    </w:p>
    <w:p>
      <w:pPr>
        <w:ind w:right="80" w:firstLine="656"/>
        <w:spacing w:after="0" w:line="255" w:lineRule="auto"/>
        <w:tabs>
          <w:tab w:leader="none" w:pos="1307"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Reserves on Eurodollar Rate Loans</w:t>
      </w:r>
      <w:r>
        <w:rPr>
          <w:rFonts w:ascii="Times New Roman" w:cs="Times New Roman" w:eastAsia="Times New Roman" w:hAnsi="Times New Roman"/>
          <w:sz w:val="18"/>
          <w:szCs w:val="18"/>
          <w:color w:val="auto"/>
        </w:rPr>
        <w:t>. The Borrower shall pay to each Lender, as long as such Lender shall be required to maintain reserves with respect to liabilities or assets consisting of or including Eurocurrency funds or deposits (currently known as “</w:t>
      </w:r>
      <w:r>
        <w:rPr>
          <w:rFonts w:ascii="Times New Roman" w:cs="Times New Roman" w:eastAsia="Times New Roman" w:hAnsi="Times New Roman"/>
          <w:sz w:val="18"/>
          <w:szCs w:val="18"/>
          <w:u w:val="single" w:color="auto"/>
          <w:color w:val="auto"/>
        </w:rPr>
        <w:t>Eurocurrency liabilities</w:t>
      </w:r>
      <w:r>
        <w:rPr>
          <w:rFonts w:ascii="Times New Roman" w:cs="Times New Roman" w:eastAsia="Times New Roman" w:hAnsi="Times New Roman"/>
          <w:sz w:val="18"/>
          <w:szCs w:val="18"/>
          <w:color w:val="auto"/>
        </w:rPr>
        <w:t xml:space="preserve">”), additional interest on the unpaid principal amount of each Eurodollar Rate Loan equal to the actual costs of such reserves allocated to such Loan by such Lender (as determined by such Lender in good faith, which determination shall be conclusive), which shall be due and payable on each date on which interest is payable on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Borrower shall have received at least 10 days’ prior notice (with a copy to the Administrative Agent) of such additional interest from such Lender. If a Lender fails to give notice 10 days prior to the relevant Interest Payment Date, such additional interest shall be due and payable 10 days from receipt of such notice.</w:t>
      </w:r>
    </w:p>
    <w:p>
      <w:pPr>
        <w:spacing w:after="0" w:line="18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3.05 Compensation for Losses</w:t>
      </w:r>
      <w:r>
        <w:rPr>
          <w:rFonts w:ascii="Times New Roman" w:cs="Times New Roman" w:eastAsia="Times New Roman" w:hAnsi="Times New Roman"/>
          <w:sz w:val="18"/>
          <w:szCs w:val="18"/>
          <w:color w:val="auto"/>
        </w:rPr>
        <w:t>. Upon demand of any Lender (with a copy to the Administrative Agent) from time to time, the Borrower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compensate such Lender for and hold such Lender harmless from any loss, cost or expense incurred by it as a result of:</w:t>
      </w:r>
    </w:p>
    <w:p>
      <w:pPr>
        <w:spacing w:after="0" w:line="159" w:lineRule="exact"/>
        <w:rPr>
          <w:sz w:val="20"/>
          <w:szCs w:val="20"/>
          <w:color w:val="auto"/>
        </w:rPr>
      </w:pPr>
    </w:p>
    <w:p>
      <w:pPr>
        <w:ind w:right="480" w:firstLine="656"/>
        <w:spacing w:after="0" w:line="282" w:lineRule="auto"/>
        <w:tabs>
          <w:tab w:leader="none" w:pos="129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40" w:firstLine="656"/>
        <w:spacing w:after="0" w:line="282" w:lineRule="auto"/>
        <w:tabs>
          <w:tab w:leader="none" w:pos="1304"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161" w:lineRule="exact"/>
        <w:rPr>
          <w:rFonts w:ascii="Times New Roman" w:cs="Times New Roman" w:eastAsia="Times New Roman" w:hAnsi="Times New Roman"/>
          <w:sz w:val="18"/>
          <w:szCs w:val="18"/>
          <w:color w:val="auto"/>
        </w:rPr>
      </w:pPr>
    </w:p>
    <w:p>
      <w:pPr>
        <w:ind w:right="440" w:firstLine="656"/>
        <w:spacing w:after="0" w:line="282" w:lineRule="auto"/>
        <w:tabs>
          <w:tab w:leader="none" w:pos="1307"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assignment of a Eurodollar Rate Loan on a day other than the last day of the Interest Period therefor as a result of a request by the Borrower pursuant to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 xml:space="preserve">For purposes of calculating amounts payable by the Borrower to the Lenders under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each Lender shall be deemed to have funded each Eurodollar Rate Loan made by it at the Eurodollar Rate for such Loan by a matching deposit or other borrowing in the London interbank eurodollar market for a comparable amount and for a comparable period, whether or not such Eurodollar Rate Loan was in fact so funded.</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3.06</w:t>
      </w:r>
      <w:r>
        <w:rPr>
          <w:sz w:val="20"/>
          <w:szCs w:val="20"/>
          <w:color w:val="auto"/>
        </w:rPr>
        <w:tab/>
      </w:r>
      <w:r>
        <w:rPr>
          <w:rFonts w:ascii="Times New Roman" w:cs="Times New Roman" w:eastAsia="Times New Roman" w:hAnsi="Times New Roman"/>
          <w:sz w:val="17"/>
          <w:szCs w:val="17"/>
          <w:b w:val="1"/>
          <w:bCs w:val="1"/>
          <w:color w:val="auto"/>
        </w:rPr>
        <w:t>Mitigation Obligations; Replacement of Lenders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20" w:firstLine="656"/>
        <w:spacing w:after="0" w:line="253" w:lineRule="auto"/>
        <w:tabs>
          <w:tab w:leader="none" w:pos="129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a Different Lending Office</w:t>
      </w:r>
      <w:r>
        <w:rPr>
          <w:rFonts w:ascii="Times New Roman" w:cs="Times New Roman" w:eastAsia="Times New Roman" w:hAnsi="Times New Roman"/>
          <w:sz w:val="18"/>
          <w:szCs w:val="18"/>
          <w:color w:val="auto"/>
        </w:rPr>
        <w:t xml:space="preserve">. Each Lender may make any Credit Extension to the Borrower through any Lending Office, provided that the exercise of this option shall not affect the obligation of the Borrower to repay the Credit Extension in accordance with the terms of this Agreement. If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requires the Borrower to pay any Indemnified Taxes or additional amounts to any Lender, any L/C Issuer, or any Governmental Authority for the account of any Lender or any L/C Issuer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if any Lender gives a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then at the request of the Borrower such Lender or such L/C Issuer shall, as applicable, use reasonable efforts to designate a different Lending Office for funding or booking its Loans hereunder or to assign its rights and obligations hereunder to another of its offices, branches or affiliates, if, in the judgment of such Lender or such L/C Issuer, such designation or assignment (i) would eliminate or reduce amounts payable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as the case may be, in the future, or eliminate the need for the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as applicable, and (ii) in each case, would not subject such Lender or such L/C Issuer, as the case may be, to unreimbursed costs or expense and would not otherwise be disadvantageous to such Lender or such L/C Issuer, as the case may be. The Borrower hereby agrees to pay all reasonable costs and expenses incurred by any Lender or any L/C Issuer in connection with any such designation or assignment.</w:t>
      </w:r>
    </w:p>
    <w:p>
      <w:pPr>
        <w:spacing w:after="0" w:line="192" w:lineRule="exact"/>
        <w:rPr>
          <w:rFonts w:ascii="Times New Roman" w:cs="Times New Roman" w:eastAsia="Times New Roman" w:hAnsi="Times New Roman"/>
          <w:sz w:val="18"/>
          <w:szCs w:val="18"/>
          <w:color w:val="auto"/>
        </w:rPr>
      </w:pPr>
    </w:p>
    <w:p>
      <w:pPr>
        <w:ind w:right="220" w:firstLine="656"/>
        <w:spacing w:after="0" w:line="261" w:lineRule="auto"/>
        <w:tabs>
          <w:tab w:leader="none" w:pos="130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Lenders</w:t>
      </w:r>
      <w:r>
        <w:rPr>
          <w:rFonts w:ascii="Times New Roman" w:cs="Times New Roman" w:eastAsia="Times New Roman" w:hAnsi="Times New Roman"/>
          <w:sz w:val="18"/>
          <w:szCs w:val="18"/>
          <w:color w:val="auto"/>
        </w:rPr>
        <w:t xml:space="preserve">. If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if the Borrower is required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and, in each case, such Lender has declined or is unable to designate a different lending office in accordance with </w:t>
      </w:r>
      <w:r>
        <w:rPr>
          <w:rFonts w:ascii="Times New Roman" w:cs="Times New Roman" w:eastAsia="Times New Roman" w:hAnsi="Times New Roman"/>
          <w:sz w:val="18"/>
          <w:szCs w:val="18"/>
          <w:u w:val="single" w:color="auto"/>
          <w:color w:val="auto"/>
        </w:rPr>
        <w:t>Section 3.06(a)</w:t>
      </w:r>
      <w:r>
        <w:rPr>
          <w:rFonts w:ascii="Times New Roman" w:cs="Times New Roman" w:eastAsia="Times New Roman" w:hAnsi="Times New Roman"/>
          <w:sz w:val="18"/>
          <w:szCs w:val="18"/>
          <w:color w:val="auto"/>
        </w:rPr>
        <w:t xml:space="preserve">, the Borrower may replace such Lender in accordance with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3.07 Survival</w:t>
      </w:r>
      <w:r>
        <w:rPr>
          <w:rFonts w:ascii="Times New Roman" w:cs="Times New Roman" w:eastAsia="Times New Roman" w:hAnsi="Times New Roman"/>
          <w:sz w:val="18"/>
          <w:szCs w:val="18"/>
          <w:color w:val="auto"/>
        </w:rPr>
        <w:t>. All of the Borrower’s obligations under this Article III shall survive termination of the Aggregate Commitments, repayment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other Obligations hereunder, and resignation of the Administrative Agent.</w:t>
      </w:r>
    </w:p>
    <w:p>
      <w:pPr>
        <w:spacing w:after="0" w:line="155" w:lineRule="exact"/>
        <w:rPr>
          <w:sz w:val="20"/>
          <w:szCs w:val="20"/>
          <w:color w:val="auto"/>
        </w:rPr>
      </w:pPr>
    </w:p>
    <w:p>
      <w:pPr>
        <w:jc w:val="center"/>
        <w:ind w:right="-39"/>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ARTICLE IV.</w:t>
        <w:tab/>
        <w:t>CONDITIONS PRECEDENT TO CREDIT EXTENSIONS</w:t>
      </w:r>
    </w:p>
    <w:p>
      <w:pPr>
        <w:spacing w:after="0" w:line="225" w:lineRule="exact"/>
        <w:rPr>
          <w:sz w:val="20"/>
          <w:szCs w:val="20"/>
          <w:color w:val="auto"/>
        </w:rPr>
      </w:pPr>
    </w:p>
    <w:p>
      <w:pPr>
        <w:ind w:right="5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4.01 Conditions of Effectiveness</w:t>
      </w:r>
      <w:r>
        <w:rPr>
          <w:rFonts w:ascii="Times New Roman" w:cs="Times New Roman" w:eastAsia="Times New Roman" w:hAnsi="Times New Roman"/>
          <w:sz w:val="18"/>
          <w:szCs w:val="18"/>
          <w:color w:val="auto"/>
        </w:rPr>
        <w:t>. This Agreement shall become effective on the date that the Signature Pages (as defined in the Escrow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are released from escrow in accordance with the terms of the Escrow Agreement:</w:t>
      </w:r>
    </w:p>
    <w:p>
      <w:pPr>
        <w:spacing w:after="0" w:line="159" w:lineRule="exact"/>
        <w:rPr>
          <w:sz w:val="20"/>
          <w:szCs w:val="20"/>
          <w:color w:val="auto"/>
        </w:rPr>
      </w:pPr>
    </w:p>
    <w:p>
      <w:pPr>
        <w:ind w:firstLine="656"/>
        <w:spacing w:after="0" w:line="261" w:lineRule="auto"/>
        <w:tabs>
          <w:tab w:leader="none" w:pos="129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Agent’s receipt of the following, each of which shall be originals, email (in a .pdf format) or telecopies (followed promptly by originals) unless otherwise specified, each properly executed (if applicable) by a Responsible Officer of the signing Loan Party, each dated the Closing Date (or, in the case of certificates of governmental officials, a recent date before the Closing Date) and each in form and substance satisfactory to the Administrative Agent and each of the Lenders:</w:t>
      </w:r>
    </w:p>
    <w:p>
      <w:pPr>
        <w:spacing w:after="0" w:line="180"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counterparts of this Agreement, sufficient in number for distribution to the Administrative Agent, each Lender and the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w:t>
      </w:r>
    </w:p>
    <w:p>
      <w:pPr>
        <w:spacing w:after="0" w:line="206"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 executed by the Borrower in favor of each Lender requesting a Note;</w:t>
      </w:r>
    </w:p>
    <w:p>
      <w:pPr>
        <w:spacing w:after="0" w:line="225" w:lineRule="exact"/>
        <w:rPr>
          <w:rFonts w:ascii="Times New Roman" w:cs="Times New Roman" w:eastAsia="Times New Roman" w:hAnsi="Times New Roman"/>
          <w:sz w:val="18"/>
          <w:szCs w:val="18"/>
          <w:color w:val="auto"/>
        </w:rPr>
      </w:pPr>
    </w:p>
    <w:p>
      <w:pPr>
        <w:ind w:left="660" w:right="40" w:firstLine="645"/>
        <w:spacing w:after="0" w:line="261" w:lineRule="auto"/>
        <w:tabs>
          <w:tab w:leader="none" w:pos="1997"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each case, solely with respect to Collateral required to be granted on the Closing Date (and for the avoidance of doubt and notwithstanding anything to the contrary herein, excluding as Collateral the Equity Interest of the Operating Partnership and any direct or indirect owner thereof) a pledge agreement (together with each pledge agreement supplement delivered pursuant to </w:t>
      </w:r>
      <w:r>
        <w:rPr>
          <w:rFonts w:ascii="Times New Roman" w:cs="Times New Roman" w:eastAsia="Times New Roman" w:hAnsi="Times New Roman"/>
          <w:sz w:val="18"/>
          <w:szCs w:val="18"/>
          <w:u w:val="single" w:color="auto"/>
          <w:color w:val="auto"/>
        </w:rPr>
        <w:t>Section 2.18(a)</w:t>
      </w:r>
      <w:r>
        <w:rPr>
          <w:rFonts w:ascii="Times New Roman" w:cs="Times New Roman" w:eastAsia="Times New Roman" w:hAnsi="Times New Roman"/>
          <w:sz w:val="18"/>
          <w:szCs w:val="18"/>
          <w:color w:val="auto"/>
        </w:rPr>
        <w:t>, as amended, the “</w:t>
      </w:r>
      <w:r>
        <w:rPr>
          <w:rFonts w:ascii="Times New Roman" w:cs="Times New Roman" w:eastAsia="Times New Roman" w:hAnsi="Times New Roman"/>
          <w:sz w:val="18"/>
          <w:szCs w:val="18"/>
          <w:u w:val="single" w:color="auto"/>
          <w:color w:val="auto"/>
        </w:rPr>
        <w:t>Pledge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duly executed by the applicable Grantors, together with:</w:t>
      </w:r>
    </w:p>
    <w:p>
      <w:pPr>
        <w:sectPr>
          <w:pgSz w:w="11900" w:h="16888" w:orient="portrait"/>
          <w:cols w:equalWidth="0" w:num="1">
            <w:col w:w="11400"/>
          </w:cols>
          <w:pgMar w:left="240" w:top="121" w:right="259" w:bottom="0" w:gutter="0" w:footer="0" w:header="0"/>
        </w:sectPr>
      </w:pPr>
    </w:p>
    <w:bookmarkStart w:id="85" w:name="page86"/>
    <w:bookmarkEnd w:id="85"/>
    <w:p>
      <w:pPr>
        <w:spacing w:after="0" w:line="95" w:lineRule="exact"/>
        <w:rPr>
          <w:sz w:val="20"/>
          <w:szCs w:val="20"/>
          <w:color w:val="auto"/>
        </w:rPr>
      </w:pPr>
    </w:p>
    <w:p>
      <w:pPr>
        <w:ind w:left="644" w:right="20" w:firstLine="653"/>
        <w:spacing w:after="0" w:line="282" w:lineRule="auto"/>
        <w:tabs>
          <w:tab w:leader="none" w:pos="1961"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or instruments, if any, representing the Collateral pledged thereunder accompanied by all endorsements and/or powers required by the Pledge Agreement,</w:t>
      </w:r>
    </w:p>
    <w:p>
      <w:pPr>
        <w:spacing w:after="0" w:line="161" w:lineRule="exact"/>
        <w:rPr>
          <w:rFonts w:ascii="Times New Roman" w:cs="Times New Roman" w:eastAsia="Times New Roman" w:hAnsi="Times New Roman"/>
          <w:sz w:val="18"/>
          <w:szCs w:val="18"/>
          <w:color w:val="auto"/>
        </w:rPr>
      </w:pPr>
    </w:p>
    <w:p>
      <w:pPr>
        <w:ind w:left="644" w:right="180" w:firstLine="653"/>
        <w:spacing w:after="0" w:line="261" w:lineRule="auto"/>
        <w:tabs>
          <w:tab w:leader="none" w:pos="1951"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(x) all proper financing statements have been or contemporaneously therewith will be duly filed under the Uniform Commercial Code of all applicable jurisdictions and (y) all applicable perfection requirements that the Administrative Agent reasonably may deem necessary or desirable in order to perfect the Liens created under the Pledge Agreement, covering the Collateral described in the Pledge Agreement,</w:t>
      </w:r>
    </w:p>
    <w:p>
      <w:pPr>
        <w:spacing w:after="0" w:line="180" w:lineRule="exact"/>
        <w:rPr>
          <w:rFonts w:ascii="Times New Roman" w:cs="Times New Roman" w:eastAsia="Times New Roman" w:hAnsi="Times New Roman"/>
          <w:sz w:val="18"/>
          <w:szCs w:val="18"/>
          <w:color w:val="auto"/>
        </w:rPr>
      </w:pPr>
    </w:p>
    <w:p>
      <w:pPr>
        <w:ind w:left="1964" w:hanging="667"/>
        <w:spacing w:after="0"/>
        <w:tabs>
          <w:tab w:leader="none" w:pos="196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requests for information listing all effective financing statements filed in the jurisdictions referred to in</w:t>
      </w:r>
    </w:p>
    <w:p>
      <w:pPr>
        <w:spacing w:after="0" w:line="27" w:lineRule="exact"/>
        <w:rPr>
          <w:sz w:val="20"/>
          <w:szCs w:val="20"/>
          <w:color w:val="auto"/>
        </w:rPr>
      </w:pPr>
    </w:p>
    <w:p>
      <w:pPr>
        <w:ind w:left="644" w:right="120"/>
        <w:spacing w:after="0" w:line="255" w:lineRule="auto"/>
        <w:rPr>
          <w:sz w:val="20"/>
          <w:szCs w:val="20"/>
          <w:color w:val="auto"/>
        </w:rPr>
      </w:pPr>
      <w:r>
        <w:rPr>
          <w:rFonts w:ascii="Times New Roman" w:cs="Times New Roman" w:eastAsia="Times New Roman" w:hAnsi="Times New Roman"/>
          <w:sz w:val="18"/>
          <w:szCs w:val="18"/>
          <w:color w:val="auto"/>
        </w:rPr>
        <w:t>clause (B) above that name any Grantor as debtor, together with (x) copies of such other financing statements and (y) if any such financing statement covers Collateral, termination statements (or similar documents) for filing in all applicable jurisdictions as may be necessary to terminate any such effective financing statements (or equivalent filings), and</w:t>
      </w:r>
    </w:p>
    <w:p>
      <w:pPr>
        <w:spacing w:after="0" w:line="186"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83820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4" w:hanging="667"/>
        <w:spacing w:after="0"/>
        <w:tabs>
          <w:tab w:leader="none" w:pos="1964" w:val="left"/>
        </w:tabs>
        <w:numPr>
          <w:ilvl w:val="2"/>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Perfection Certificate duly executed by each Grantor;</w:t>
      </w:r>
    </w:p>
    <w:p>
      <w:pPr>
        <w:spacing w:after="0" w:line="225" w:lineRule="exact"/>
        <w:rPr>
          <w:rFonts w:ascii="Times New Roman" w:cs="Times New Roman" w:eastAsia="Times New Roman" w:hAnsi="Times New Roman"/>
          <w:sz w:val="18"/>
          <w:szCs w:val="18"/>
          <w:color w:val="auto"/>
        </w:rPr>
      </w:pPr>
    </w:p>
    <w:p>
      <w:pPr>
        <w:ind w:left="644" w:right="260" w:firstLine="653"/>
        <w:spacing w:after="0" w:line="282" w:lineRule="auto"/>
        <w:tabs>
          <w:tab w:leader="none" w:pos="1954" w:val="left"/>
        </w:tabs>
        <w:numPr>
          <w:ilvl w:val="2"/>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all other actions, recordings and filings that the Administrative Agent may deem reasonably necessary or desirable in order to perfect the Liens created under the Pledge Agreement have been taken;</w:t>
      </w:r>
    </w:p>
    <w:p>
      <w:pPr>
        <w:spacing w:after="0" w:line="161" w:lineRule="exact"/>
        <w:rPr>
          <w:rFonts w:ascii="Times New Roman" w:cs="Times New Roman" w:eastAsia="Times New Roman" w:hAnsi="Times New Roman"/>
          <w:sz w:val="18"/>
          <w:szCs w:val="18"/>
          <w:color w:val="auto"/>
        </w:rPr>
      </w:pPr>
    </w:p>
    <w:p>
      <w:pPr>
        <w:ind w:left="4" w:right="20" w:firstLine="645"/>
        <w:spacing w:after="0" w:line="266" w:lineRule="auto"/>
        <w:tabs>
          <w:tab w:leader="none" w:pos="1317"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w:t>
      </w:r>
    </w:p>
    <w:p>
      <w:pPr>
        <w:spacing w:after="0" w:line="176" w:lineRule="exact"/>
        <w:rPr>
          <w:rFonts w:ascii="Times New Roman" w:cs="Times New Roman" w:eastAsia="Times New Roman" w:hAnsi="Times New Roman"/>
          <w:sz w:val="18"/>
          <w:szCs w:val="18"/>
          <w:color w:val="auto"/>
        </w:rPr>
      </w:pPr>
    </w:p>
    <w:p>
      <w:pPr>
        <w:ind w:left="4" w:right="100" w:firstLine="645"/>
        <w:spacing w:after="0" w:line="261" w:lineRule="auto"/>
        <w:tabs>
          <w:tab w:leader="none" w:pos="1308"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documents and certifications as the Administrative Agent may reasonably require to evidence that each Loan Party is duly organized or formed, and that each Loan Party is validly existing, in good standing and qualified to engage in business in each jurisdiction where its ownership, lease or operation of properties or the conduct of its business requires such qualification, except to the extent that failure to do so would not, individually or in the aggregate, reasonably be expected to have a Material Adverse Effect;</w:t>
      </w:r>
    </w:p>
    <w:p>
      <w:pPr>
        <w:spacing w:after="0" w:line="180" w:lineRule="exact"/>
        <w:rPr>
          <w:rFonts w:ascii="Times New Roman" w:cs="Times New Roman" w:eastAsia="Times New Roman" w:hAnsi="Times New Roman"/>
          <w:sz w:val="18"/>
          <w:szCs w:val="18"/>
          <w:color w:val="auto"/>
        </w:rPr>
      </w:pPr>
    </w:p>
    <w:p>
      <w:pPr>
        <w:jc w:val="both"/>
        <w:ind w:left="4" w:right="260" w:firstLine="645"/>
        <w:spacing w:after="0" w:line="266" w:lineRule="auto"/>
        <w:tabs>
          <w:tab w:leader="none" w:pos="1317"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opinion of Clifford Chance US LLP, counsel to the Loan Parties, and Venable LLP, special Maryland counsel to the Borrower, addressed to the Administrative Agent and each Lender, as to such matters concerning the Loan Parties and the Loan Documents as the Required Lenders may reasonably request;</w:t>
      </w:r>
    </w:p>
    <w:p>
      <w:pPr>
        <w:spacing w:after="0" w:line="176" w:lineRule="exact"/>
        <w:rPr>
          <w:rFonts w:ascii="Times New Roman" w:cs="Times New Roman" w:eastAsia="Times New Roman" w:hAnsi="Times New Roman"/>
          <w:sz w:val="18"/>
          <w:szCs w:val="18"/>
          <w:color w:val="auto"/>
        </w:rPr>
      </w:pPr>
    </w:p>
    <w:p>
      <w:pPr>
        <w:jc w:val="both"/>
        <w:ind w:left="4" w:right="420" w:firstLine="645"/>
        <w:spacing w:after="0" w:line="261" w:lineRule="auto"/>
        <w:tabs>
          <w:tab w:leader="none" w:pos="1327"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 Responsible Officer of each Loan Party either (A) attaching copies of all consents, licenses and approvals required in connection with the execution, delivery and performance by such Loan Party and the validity against such Loan Party of the Loan Documents to which it is a party, and such consents, licenses and approvals shall be in full force and effect, or (B) stating that no such consents, licenses or approvals are so required;</w:t>
      </w:r>
    </w:p>
    <w:p>
      <w:pPr>
        <w:spacing w:after="0" w:line="180" w:lineRule="exact"/>
        <w:rPr>
          <w:rFonts w:ascii="Times New Roman" w:cs="Times New Roman" w:eastAsia="Times New Roman" w:hAnsi="Times New Roman"/>
          <w:sz w:val="18"/>
          <w:szCs w:val="18"/>
          <w:color w:val="auto"/>
        </w:rPr>
      </w:pPr>
    </w:p>
    <w:p>
      <w:pPr>
        <w:ind w:left="1324" w:hanging="675"/>
        <w:spacing w:after="0"/>
        <w:tabs>
          <w:tab w:leader="none" w:pos="1324"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signed by a Responsible Officer of the Borrower (x) certifying that (1) the conditions specified in </w:t>
      </w:r>
      <w:r>
        <w:rPr>
          <w:rFonts w:ascii="Times New Roman" w:cs="Times New Roman" w:eastAsia="Times New Roman" w:hAnsi="Times New Roman"/>
          <w:sz w:val="18"/>
          <w:szCs w:val="18"/>
          <w:u w:val="single" w:color="auto"/>
          <w:color w:val="auto"/>
        </w:rPr>
        <w:t>Sections 4.02(a)</w:t>
      </w:r>
      <w:r>
        <w:rPr>
          <w:rFonts w:ascii="Times New Roman" w:cs="Times New Roman" w:eastAsia="Times New Roman" w:hAnsi="Times New Roman"/>
          <w:sz w:val="18"/>
          <w:szCs w:val="18"/>
          <w:color w:val="auto"/>
        </w:rPr>
        <w:t xml:space="preserve"> and</w:t>
      </w:r>
    </w:p>
    <w:p>
      <w:pPr>
        <w:spacing w:after="0" w:line="27" w:lineRule="exact"/>
        <w:rPr>
          <w:rFonts w:ascii="Times New Roman" w:cs="Times New Roman" w:eastAsia="Times New Roman" w:hAnsi="Times New Roman"/>
          <w:sz w:val="18"/>
          <w:szCs w:val="18"/>
          <w:color w:val="auto"/>
        </w:rPr>
      </w:pPr>
    </w:p>
    <w:p>
      <w:pPr>
        <w:ind w:left="4" w:right="40" w:hanging="4"/>
        <w:spacing w:after="0" w:line="251" w:lineRule="auto"/>
        <w:tabs>
          <w:tab w:leader="none" w:pos="259" w:val="left"/>
        </w:tabs>
        <w:numPr>
          <w:ilvl w:val="0"/>
          <w:numId w:val="22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have been satisfied, (2) there has been no event or circumstance since the date of the Audited Financial Statements that has had or would reasonably be expected to have, either individually or in the aggregate, a Material Adverse Effect, (3) the Borrower is not subject to any present or contingent Environmental Claim which, if adversely determined, would reasonably be expected to have a Material Adverse Effect on the Borrower, and (4) no action, suit, investigation or proceeding is pending or, to the knowledge of any Loan Party, threatened in any court or before any arbitrator or Governmental Authority that (A) relates to this Agreement or any other Loan Document, or any of the transactions contemplated hereby or thereby, or (B) would reasonably be expected, either individually or in the aggregate, to have a Material Adverse Effect and (y) attaching copies of the Organization Documents of each Person whose Equity Interests are included in the Collateral, if any, which Organization Documents shall (1) in the reasonable opinion of the Administrative Agent, permit the Administrative Agent to realize on such Collateral upon the occurrence and during the</w:t>
      </w:r>
    </w:p>
    <w:p>
      <w:pPr>
        <w:spacing w:after="0" w:line="194"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83820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continuance of an Event of Default and (2) otherwise be in form and substance reasonably satisfactory to the Administrative Agent;</w:t>
      </w:r>
    </w:p>
    <w:p>
      <w:pPr>
        <w:spacing w:after="0" w:line="225" w:lineRule="exact"/>
        <w:rPr>
          <w:sz w:val="20"/>
          <w:szCs w:val="20"/>
          <w:color w:val="auto"/>
        </w:rPr>
      </w:pPr>
    </w:p>
    <w:p>
      <w:pPr>
        <w:ind w:left="4" w:right="20" w:firstLine="645"/>
        <w:spacing w:after="0" w:line="258" w:lineRule="auto"/>
        <w:tabs>
          <w:tab w:leader="none" w:pos="1317"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fully completed Compliance Certificate as of the last day of the fiscal quarter of the Borrower most recently ended as of the Closing Date ended for which financial statements of the Borrower are available, giving pro forma effect to the transactions to occur on the Closing Date (including, without limitation, all Credit Extensions to occur on the Closing Date) and including in reasonable detail the calculations required to establish compliance with the covenants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and setting forth a calculation of the covenants described in the definition of Springing Mortgage Covenant Event;</w:t>
      </w:r>
    </w:p>
    <w:p>
      <w:pPr>
        <w:spacing w:after="0" w:line="183" w:lineRule="exact"/>
        <w:rPr>
          <w:rFonts w:ascii="Times New Roman" w:cs="Times New Roman" w:eastAsia="Times New Roman" w:hAnsi="Times New Roman"/>
          <w:sz w:val="18"/>
          <w:szCs w:val="18"/>
          <w:color w:val="auto"/>
        </w:rPr>
      </w:pPr>
    </w:p>
    <w:p>
      <w:pPr>
        <w:ind w:left="4" w:right="120" w:firstLine="645"/>
        <w:spacing w:after="0" w:line="266" w:lineRule="auto"/>
        <w:tabs>
          <w:tab w:leader="none" w:pos="1308"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a successful initial public offering and concurrent private placement by the Borrower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xml:space="preserve">”), with minimum Net Proceeds of $250,000,000 therefrom after giving effect to concurrent payment of transaction expenses incurred in connection with the Loan Documents, the IPO and related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least $200,000,000 of such Net Proceeds shall be from the IPO;</w:t>
      </w:r>
    </w:p>
    <w:p>
      <w:pPr>
        <w:spacing w:after="0" w:line="176" w:lineRule="exact"/>
        <w:rPr>
          <w:rFonts w:ascii="Times New Roman" w:cs="Times New Roman" w:eastAsia="Times New Roman" w:hAnsi="Times New Roman"/>
          <w:sz w:val="18"/>
          <w:szCs w:val="18"/>
          <w:color w:val="auto"/>
        </w:rPr>
      </w:pPr>
    </w:p>
    <w:p>
      <w:pPr>
        <w:ind w:left="4" w:firstLine="645"/>
        <w:spacing w:after="0" w:line="258" w:lineRule="auto"/>
        <w:tabs>
          <w:tab w:leader="none" w:pos="1317"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the termination of all commitments and undertakings made by Bank of America and JPMorgan Chase Bank, N.A. with respect to the proposed senior secured $170,000,000 term loan facility under or in connection with the Term Loan Agreement deposited into escrow with Simpson Thacher &amp; Bartlett LLP pursuant to the escrow agreement between Bank of America and iStar Inc., dated as of November 16, 2016, as same was amended and supplemented by separate letter agreements dated December 30, 2016 and February 28, 2017 among Bank of America, JPMorgan Chase Bank, N.A. and iStar Inc.; and</w:t>
      </w:r>
    </w:p>
    <w:p>
      <w:pPr>
        <w:spacing w:after="0" w:line="183" w:lineRule="exact"/>
        <w:rPr>
          <w:rFonts w:ascii="Times New Roman" w:cs="Times New Roman" w:eastAsia="Times New Roman" w:hAnsi="Times New Roman"/>
          <w:sz w:val="18"/>
          <w:szCs w:val="18"/>
          <w:color w:val="auto"/>
        </w:rPr>
      </w:pPr>
    </w:p>
    <w:p>
      <w:pPr>
        <w:ind w:left="4" w:right="160" w:firstLine="645"/>
        <w:spacing w:after="0" w:line="282" w:lineRule="auto"/>
        <w:tabs>
          <w:tab w:leader="none" w:pos="1327"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assurances, certificates, documents and consents as the Administrative Agent, any L/C Issuer or the Required Lenders reasonably may require.</w:t>
      </w:r>
    </w:p>
    <w:p>
      <w:pPr>
        <w:sectPr>
          <w:pgSz w:w="11900" w:h="16933" w:orient="portrait"/>
          <w:cols w:equalWidth="0" w:num="1">
            <w:col w:w="10764"/>
          </w:cols>
          <w:pgMar w:left="896" w:top="337" w:right="239" w:bottom="0" w:gutter="0" w:footer="0" w:header="0"/>
        </w:sectPr>
      </w:pPr>
    </w:p>
    <w:bookmarkStart w:id="86" w:name="page87"/>
    <w:bookmarkEnd w:id="86"/>
    <w:p>
      <w:pPr>
        <w:spacing w:after="0" w:line="70" w:lineRule="exact"/>
        <w:rPr>
          <w:sz w:val="20"/>
          <w:szCs w:val="20"/>
          <w:color w:val="auto"/>
        </w:rPr>
      </w:pPr>
    </w:p>
    <w:p>
      <w:pPr>
        <w:ind w:left="1320" w:hanging="664"/>
        <w:spacing w:after="0"/>
        <w:tabs>
          <w:tab w:leader="none" w:pos="132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required to be paid on or before the Closing Date shall have been paid.</w:t>
      </w:r>
    </w:p>
    <w:p>
      <w:pPr>
        <w:spacing w:after="0" w:line="225" w:lineRule="exact"/>
        <w:rPr>
          <w:rFonts w:ascii="Times New Roman" w:cs="Times New Roman" w:eastAsia="Times New Roman" w:hAnsi="Times New Roman"/>
          <w:sz w:val="18"/>
          <w:szCs w:val="18"/>
          <w:color w:val="auto"/>
        </w:rPr>
      </w:pPr>
    </w:p>
    <w:p>
      <w:pPr>
        <w:ind w:right="160" w:firstLine="656"/>
        <w:spacing w:after="0" w:line="258" w:lineRule="auto"/>
        <w:tabs>
          <w:tab w:leader="none" w:pos="1307"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waived by the Administrative Agent, the Borrower shall have paid all fees, charges and disbursements of counsel to the Administrative Agent (directly to such counsel if requested by the Administrative Agent) to the extent invoiced prior to or on the Closing Date, plus such additional amounts of such fees, charges and disbursements as shall constitute its reasonable estimate of such fees, charges and disbursements incurred or to be incurred by it through the closing proceedings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estimate shall not thereafter preclude a final settling of accounts between the Borrower and the Administrative Agent).</w:t>
      </w:r>
    </w:p>
    <w:p>
      <w:pPr>
        <w:spacing w:after="0" w:line="18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Without limiting the generality of the provisions of the last paragraph of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for purposes of determining compliance with the conditions specified in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2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4.02 Conditions to all Credit Extensions</w:t>
      </w:r>
      <w:r>
        <w:rPr>
          <w:rFonts w:ascii="Times New Roman" w:cs="Times New Roman" w:eastAsia="Times New Roman" w:hAnsi="Times New Roman"/>
          <w:sz w:val="18"/>
          <w:szCs w:val="18"/>
          <w:color w:val="auto"/>
        </w:rPr>
        <w:t>. The obligation of each Lender to honor any Request for Credit Extension (other than a Committed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Notice requesting only a conversion of Committed Loans to the other Type, or a continuation of Eurodollar Rate Loans, which, in either case, shall be subject only to the condition precedent set forth in clause (e) below) is subject to the following conditions precedent:</w:t>
      </w:r>
    </w:p>
    <w:p>
      <w:pPr>
        <w:spacing w:after="0" w:line="175" w:lineRule="exact"/>
        <w:rPr>
          <w:sz w:val="20"/>
          <w:szCs w:val="20"/>
          <w:color w:val="auto"/>
        </w:rPr>
      </w:pPr>
    </w:p>
    <w:p>
      <w:pPr>
        <w:ind w:right="140" w:firstLine="656"/>
        <w:spacing w:after="0" w:line="254" w:lineRule="auto"/>
        <w:tabs>
          <w:tab w:leader="none" w:pos="1294"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Borrower and each other Loan Party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any other Loan Document, or which are contained in any document furnished at any time under or in connection herewith or therewith, shall be true and correct in all material respects (or if qualified by “materiality,” “material adverse effect” or similar language, in all respects (after giving effect to such qualification)) on and as of the date of such Credit Extension, except to the extent that such representations and warranties specifically refer to an earlier date, in which case they shall be true and correct in all material respects (or if qualified by “materiality,” “material adverse effect” or similar language, in all respects (after giving effect to such qualification)) as of such earlier date, and except that for purposes of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subsections (a)</w:t>
      </w:r>
      <w:r>
        <w:rPr>
          <w:rFonts w:ascii="Times New Roman" w:cs="Times New Roman" w:eastAsia="Times New Roman" w:hAnsi="Times New Roman"/>
          <w:sz w:val="18"/>
          <w:szCs w:val="18"/>
          <w:color w:val="auto"/>
        </w:rPr>
        <w:t xml:space="preserve"> and</w:t>
      </w:r>
    </w:p>
    <w:p>
      <w:pPr>
        <w:ind w:left="260" w:hanging="252"/>
        <w:spacing w:after="0"/>
        <w:tabs>
          <w:tab w:leader="none" w:pos="260" w:val="left"/>
        </w:tabs>
        <w:numPr>
          <w:ilvl w:val="0"/>
          <w:numId w:val="23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shall be deemed to refer to the most recent statements furnished pursuant to </w:t>
      </w:r>
      <w:r>
        <w:rPr>
          <w:rFonts w:ascii="Times New Roman" w:cs="Times New Roman" w:eastAsia="Times New Roman" w:hAnsi="Times New Roman"/>
          <w:sz w:val="18"/>
          <w:szCs w:val="18"/>
          <w:u w:val="single" w:color="auto"/>
          <w:color w:val="auto"/>
        </w:rPr>
        <w:t>subsections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respectively,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u w:val="single" w:color="auto"/>
          <w:color w:val="auto"/>
        </w:rPr>
      </w:pPr>
    </w:p>
    <w:p>
      <w:pPr>
        <w:ind w:left="1320" w:hanging="664"/>
        <w:spacing w:after="0"/>
        <w:tabs>
          <w:tab w:leader="none" w:pos="132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shall be continuing, or would result from such proposed Credit Extension or from the application of the proceeds thereof.</w:t>
      </w:r>
    </w:p>
    <w:p>
      <w:pPr>
        <w:spacing w:after="0" w:line="225" w:lineRule="exact"/>
        <w:rPr>
          <w:rFonts w:ascii="Times New Roman" w:cs="Times New Roman" w:eastAsia="Times New Roman" w:hAnsi="Times New Roman"/>
          <w:sz w:val="18"/>
          <w:szCs w:val="18"/>
          <w:color w:val="auto"/>
        </w:rPr>
      </w:pPr>
    </w:p>
    <w:p>
      <w:pPr>
        <w:ind w:right="500" w:firstLine="656"/>
        <w:spacing w:after="0" w:line="282" w:lineRule="auto"/>
        <w:tabs>
          <w:tab w:leader="none" w:pos="1307"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if applicable, an L/C Issuer shall have received a Request for Credit Extension in accordance with the requirements hereof.</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04"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Borrowing Base Certificate from the Borrowers with the information set forth therein being as of the date of such requested Borrowing (and giving pro form effect thereto).</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proposed Loan, Availability equals or exceeds zero ($0).</w:t>
      </w:r>
    </w:p>
    <w:p>
      <w:pPr>
        <w:spacing w:after="0" w:line="22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Each Request for Credit Extension submitted by the Borrower shall be deemed to be a representation and warranty that the conditions specified in </w:t>
      </w:r>
      <w:r>
        <w:rPr>
          <w:rFonts w:ascii="Times New Roman" w:cs="Times New Roman" w:eastAsia="Times New Roman" w:hAnsi="Times New Roman"/>
          <w:sz w:val="18"/>
          <w:szCs w:val="18"/>
          <w:u w:val="single" w:color="auto"/>
          <w:color w:val="auto"/>
        </w:rPr>
        <w:t>Sections 4.02(a)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have been satisfied on and as of the date of the applicable Credit Extension (except that a Committed Loan Notice requesting only a conversion of Committed Loans to the other Type or a continuation of Eurodollar Rate Loans shall be deemed to be a representation that the condition precedent set forth in clause (e) above has been satisfied on and as of the date of the applicable Credit Extension).</w:t>
      </w:r>
    </w:p>
    <w:p>
      <w:pPr>
        <w:spacing w:after="0" w:line="176" w:lineRule="exact"/>
        <w:rPr>
          <w:sz w:val="20"/>
          <w:szCs w:val="20"/>
          <w:color w:val="auto"/>
        </w:rPr>
      </w:pPr>
    </w:p>
    <w:p>
      <w:pPr>
        <w:ind w:left="3340"/>
        <w:spacing w:after="0"/>
        <w:tabs>
          <w:tab w:leader="none" w:pos="4620" w:val="left"/>
        </w:tabs>
        <w:rPr>
          <w:sz w:val="20"/>
          <w:szCs w:val="20"/>
          <w:color w:val="auto"/>
        </w:rPr>
      </w:pPr>
      <w:r>
        <w:rPr>
          <w:rFonts w:ascii="Times New Roman" w:cs="Times New Roman" w:eastAsia="Times New Roman" w:hAnsi="Times New Roman"/>
          <w:sz w:val="18"/>
          <w:szCs w:val="18"/>
          <w:b w:val="1"/>
          <w:bCs w:val="1"/>
          <w:color w:val="auto"/>
        </w:rPr>
        <w:t>ARTICLE V.</w:t>
      </w:r>
      <w:r>
        <w:rPr>
          <w:sz w:val="20"/>
          <w:szCs w:val="20"/>
          <w:color w:val="auto"/>
        </w:rPr>
        <w:tab/>
      </w:r>
      <w:r>
        <w:rPr>
          <w:rFonts w:ascii="Times New Roman" w:cs="Times New Roman" w:eastAsia="Times New Roman" w:hAnsi="Times New Roman"/>
          <w:sz w:val="17"/>
          <w:szCs w:val="17"/>
          <w:b w:val="1"/>
          <w:bCs w:val="1"/>
          <w:color w:val="auto"/>
        </w:rPr>
        <w:t>REPRESENTATIONS AND WARRANTIES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represents and warrants to the Administrative Agent and the Lenders that:</w:t>
      </w:r>
    </w:p>
    <w:p>
      <w:pPr>
        <w:spacing w:after="0" w:line="221"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5.01 Existence, Qualification and Power</w:t>
      </w:r>
      <w:r>
        <w:rPr>
          <w:rFonts w:ascii="Times New Roman" w:cs="Times New Roman" w:eastAsia="Times New Roman" w:hAnsi="Times New Roman"/>
          <w:sz w:val="18"/>
          <w:szCs w:val="18"/>
          <w:color w:val="auto"/>
        </w:rPr>
        <w:t>. Each Loan Party and each Subsidiary thereof (a) is duly organized or formed, validly existing and,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Times New Roman" w:cs="Times New Roman" w:eastAsia="Times New Roman" w:hAnsi="Times New Roman"/>
          <w:sz w:val="18"/>
          <w:szCs w:val="18"/>
          <w:u w:val="single" w:color="auto"/>
          <w:color w:val="auto"/>
        </w:rPr>
        <w:t>clause (b)(i)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to the extent that failure to do so would not, individually or in the aggregate, reasonably be expected to have a Material Adverse Effect.</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5.02 Authorization; No Contravention</w:t>
      </w:r>
      <w:r>
        <w:rPr>
          <w:rFonts w:ascii="Times New Roman" w:cs="Times New Roman" w:eastAsia="Times New Roman" w:hAnsi="Times New Roman"/>
          <w:sz w:val="18"/>
          <w:szCs w:val="18"/>
          <w:color w:val="auto"/>
        </w:rPr>
        <w:t>. The execution, delivery and performance by each Loan Party of each Loan Document to which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Person is party, have been duly authorized by all necessary corporate or other organizational action, and do not and will not (a) contravene the terms of any of such Person’s Organization Documents; (b) conflict with or result in any breach or contravention of, or the creation of any Lien (other than Liens created under the Collateral Documents)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Law, except, in each case under </w:t>
      </w:r>
      <w:r>
        <w:rPr>
          <w:rFonts w:ascii="Times New Roman" w:cs="Times New Roman" w:eastAsia="Times New Roman" w:hAnsi="Times New Roman"/>
          <w:sz w:val="18"/>
          <w:szCs w:val="18"/>
          <w:u w:val="single" w:color="auto"/>
          <w:color w:val="auto"/>
        </w:rPr>
        <w:t>clauses (b)(ii)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with respect to any such contravention, violation or conflict that would not reasonably be expected to have a Material Adverse Effect.</w:t>
      </w:r>
    </w:p>
    <w:p>
      <w:pPr>
        <w:spacing w:after="0" w:line="183"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5.03 Governmental Authorization; Other Consents</w:t>
      </w:r>
      <w:r>
        <w:rPr>
          <w:rFonts w:ascii="Times New Roman" w:cs="Times New Roman" w:eastAsia="Times New Roman" w:hAnsi="Times New Roman"/>
          <w:sz w:val="18"/>
          <w:szCs w:val="18"/>
          <w:color w:val="auto"/>
        </w:rPr>
        <w:t>. No approval, consent, exemption, authorization, or other action by, or notice to, or filing,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recording or registration with, or exemption by, any Governmental Authority or any other Person is necessary or required in connection with (a) the execution, delivery or performance by, or enforcement against, any Loan Party of this Agreement or any other Loan Document to which it is a party or the consummation of any of the transactions contemplated thereby, (b) the grant by any Loan Party of the Liens granted by it pursuant to the Collateral Documents, (c) the perfection or maintenance of the Liens created under the Collateral Documents (including the first priority nature thereof) or (d) the exercise by the Administrative Agent or any Lender of its rights under the Loan Documents or the remedies in respect of the Collateral pursuant to the</w:t>
      </w:r>
    </w:p>
    <w:p>
      <w:pPr>
        <w:sectPr>
          <w:pgSz w:w="11900" w:h="16909" w:orient="portrait"/>
          <w:cols w:equalWidth="0" w:num="1">
            <w:col w:w="11420"/>
          </w:cols>
          <w:pgMar w:left="240" w:top="337" w:right="239" w:bottom="0" w:gutter="0" w:footer="0" w:header="0"/>
        </w:sectPr>
      </w:pPr>
    </w:p>
    <w:bookmarkStart w:id="87" w:name="page88"/>
    <w:bookmarkEnd w:id="87"/>
    <w:p>
      <w:pPr>
        <w:ind w:right="80"/>
        <w:spacing w:after="0" w:line="282" w:lineRule="auto"/>
        <w:rPr>
          <w:sz w:val="20"/>
          <w:szCs w:val="20"/>
          <w:color w:val="auto"/>
        </w:rPr>
      </w:pPr>
      <w:r>
        <w:rPr>
          <w:rFonts w:ascii="Times New Roman" w:cs="Times New Roman" w:eastAsia="Times New Roman" w:hAnsi="Times New Roman"/>
          <w:sz w:val="18"/>
          <w:szCs w:val="18"/>
          <w:color w:val="auto"/>
        </w:rPr>
        <w:t>Collateral Documents, other than approvals, consents, exemptions, authorizations, actions, notices, filings recordings and registrations that have already been duly made or obtained and remain in full force and effect.</w:t>
      </w:r>
    </w:p>
    <w:p>
      <w:pPr>
        <w:spacing w:after="0" w:line="158" w:lineRule="exact"/>
        <w:rPr>
          <w:sz w:val="20"/>
          <w:szCs w:val="20"/>
          <w:color w:val="auto"/>
        </w:rPr>
      </w:pPr>
    </w:p>
    <w:p>
      <w:pPr>
        <w:ind w:right="20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5.04 Binding Effect</w:t>
      </w:r>
      <w:r>
        <w:rPr>
          <w:rFonts w:ascii="Times New Roman" w:cs="Times New Roman" w:eastAsia="Times New Roman" w:hAnsi="Times New Roman"/>
          <w:sz w:val="18"/>
          <w:szCs w:val="18"/>
          <w:color w:val="auto"/>
        </w:rPr>
        <w:t>. This Agreement has been, and each other Loan Document, when delivered hereunder, will have been, duly executed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except as enforceability may be limited by applicable insolvency, bankruptcy or other similar laws affecting creditors rights generally, or general principles of equity, whether such enforceability is considered in a proceeding in equity or at law.</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5.05</w:t>
      </w:r>
      <w:r>
        <w:rPr>
          <w:sz w:val="20"/>
          <w:szCs w:val="20"/>
          <w:color w:val="auto"/>
        </w:rPr>
        <w:tab/>
      </w:r>
      <w:r>
        <w:rPr>
          <w:rFonts w:ascii="Times New Roman" w:cs="Times New Roman" w:eastAsia="Times New Roman" w:hAnsi="Times New Roman"/>
          <w:sz w:val="18"/>
          <w:szCs w:val="18"/>
          <w:b w:val="1"/>
          <w:bCs w:val="1"/>
          <w:color w:val="auto"/>
        </w:rPr>
        <w:t>Financial Statements; No Material Adverse Effect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20" w:firstLine="656"/>
        <w:spacing w:after="0" w:line="282" w:lineRule="auto"/>
        <w:tabs>
          <w:tab w:leader="none" w:pos="1294"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(i) were prepared in accordance with GAAP consistently applied throughout the period covered thereby, except as otherwise expressly noted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therein; (ii) fairly present the financial condition of the Borrower and its Subsidiaries (assuming that each Consolidated Party existing as of the Closing Date existed as of the date of such Audited Financial Statements and that the transactions required to effectuate the IPO shall have occurred) as of the date thereof and their results of operations for the period covered thereby in accordance with GAAP consistently applied throughout the period covered thereby, except as otherwise expressly noted therein; and (iii) show all material Indebtedness and (to the extent required by GAAP) other liabilities, direct or contingent, of the Borrower and its Subsidiaries as of the date thereof.</w:t>
      </w:r>
    </w:p>
    <w:p>
      <w:pPr>
        <w:spacing w:after="0" w:line="18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The unaudited consolidated balance sheet of the Borrower and its Subsidiaries dated [ ],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the Borrower and its Subsidiaries as of the date thereof and their results of operations for the period covered thereby, subject, in the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to the absence of footnotes and to normal year-end audit adjustments.</w:t>
      </w:r>
    </w:p>
    <w:p>
      <w:pPr>
        <w:spacing w:after="0" w:line="184" w:lineRule="exact"/>
        <w:rPr>
          <w:sz w:val="20"/>
          <w:szCs w:val="20"/>
          <w:color w:val="auto"/>
        </w:rPr>
      </w:pPr>
    </w:p>
    <w:p>
      <w:pPr>
        <w:ind w:firstLine="656"/>
        <w:spacing w:after="0" w:line="282" w:lineRule="auto"/>
        <w:tabs>
          <w:tab w:leader="none" w:pos="1307"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2016, there has been no event or circumstance, either individually or in the aggregate, that has had or would reasonably be expected to have a Material Adverse Effect.</w:t>
      </w:r>
    </w:p>
    <w:p>
      <w:pPr>
        <w:spacing w:after="0" w:line="161" w:lineRule="exact"/>
        <w:rPr>
          <w:rFonts w:ascii="Times New Roman" w:cs="Times New Roman" w:eastAsia="Times New Roman" w:hAnsi="Times New Roman"/>
          <w:sz w:val="18"/>
          <w:szCs w:val="18"/>
          <w:color w:val="auto"/>
        </w:rPr>
      </w:pPr>
    </w:p>
    <w:p>
      <w:pPr>
        <w:ind w:right="120" w:firstLine="656"/>
        <w:spacing w:after="0" w:line="256" w:lineRule="auto"/>
        <w:tabs>
          <w:tab w:leader="none" w:pos="130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set forth in the Form S-11, the unaudited pro forma financial data of the Borrower and its Subsidiaries as and for the years ended December 31, 2016 and December 31, 2015 (assuming that each Consolidated Party existing as of the Closing Date existed as of December 31, 2016 and December 31, 2015 and that the transactions required to effectuate the IPO shall have occurred), certified by the chief financial officer or treasurer of the Borrower, copies of which have been furnished to each Lender, fairly present the consolidated pro forma financial condition of the Borrower and its Subsidiaries as at such date and the consolidated pro forma results of operations of the Borrower and its Subsidiaries for the period ended on such date, all in accordance with GAAP.</w:t>
      </w:r>
    </w:p>
    <w:p>
      <w:pPr>
        <w:spacing w:after="0" w:line="187" w:lineRule="exact"/>
        <w:rPr>
          <w:rFonts w:ascii="Times New Roman" w:cs="Times New Roman" w:eastAsia="Times New Roman" w:hAnsi="Times New Roman"/>
          <w:sz w:val="18"/>
          <w:szCs w:val="18"/>
          <w:color w:val="auto"/>
        </w:rPr>
      </w:pPr>
    </w:p>
    <w:p>
      <w:pPr>
        <w:jc w:val="both"/>
        <w:ind w:right="40" w:firstLine="656"/>
        <w:spacing w:after="0" w:line="266" w:lineRule="auto"/>
        <w:tabs>
          <w:tab w:leader="none" w:pos="1307"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forecasted balance sheet and statements of income and cash flows of the Borrower and its Subsidiaries delivered pursuant to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 xml:space="preserve"> were prepared in good faith on the basis of the assumptions stated therein, which assumptions were fair in light of the conditions existing at the time of delivery of such forecasts, and represented, at the time of delivery, the Borrower’s best estimate of its future financial condition and performance.</w:t>
      </w:r>
    </w:p>
    <w:p>
      <w:pPr>
        <w:spacing w:after="0" w:line="172"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5.06 Litigation</w:t>
      </w:r>
      <w:r>
        <w:rPr>
          <w:rFonts w:ascii="Times New Roman" w:cs="Times New Roman" w:eastAsia="Times New Roman" w:hAnsi="Times New Roman"/>
          <w:sz w:val="18"/>
          <w:szCs w:val="18"/>
          <w:color w:val="auto"/>
        </w:rPr>
        <w:t>. There are no actions, suits, proceedings, claims or disputes pending or, to the knowledge of the Borrower after due and diligent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investigation, threatened in writing or contemplated, at law, in equity, in arbitration or before any Governmental Authority, by or against the Borrower or any of its Subsidiaries or against any of their properties or revenues that (a) purport to affect or pertain to this Agreement or any other Loan Document, or any of the transactions contemplated hereby, or (b) in which there is a reasonable possibility of an adverse decision which, if adversely decided, would, either individually or in the aggregate, reasonably be expected to have a Material Adverse Effect.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5.07 No Default</w:t>
      </w:r>
      <w:r>
        <w:rPr>
          <w:rFonts w:ascii="Times New Roman" w:cs="Times New Roman" w:eastAsia="Times New Roman" w:hAnsi="Times New Roman"/>
          <w:sz w:val="18"/>
          <w:szCs w:val="18"/>
          <w:color w:val="auto"/>
        </w:rPr>
        <w:t>. Neither any Loan Party nor any Subsidiary thereof is in default beyond any applicable grace period under or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Contractual Obligation that would, either individually or in the aggregate, reasonably be expected to have a Material Adverse Effect. No Default has occurred and is continuing or would result from the consummation of the transactions contemplated by this Agreement or any other Loan Document. To the best of the Borrower’s knowledge after due inquiry, no Material Event in respect of any Borrowing Base Asset has occurred.</w:t>
      </w:r>
    </w:p>
    <w:p>
      <w:pPr>
        <w:spacing w:after="0" w:line="1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5.08</w:t>
      </w:r>
      <w:r>
        <w:rPr>
          <w:sz w:val="20"/>
          <w:szCs w:val="20"/>
          <w:color w:val="auto"/>
        </w:rPr>
        <w:tab/>
      </w:r>
      <w:r>
        <w:rPr>
          <w:rFonts w:ascii="Times New Roman" w:cs="Times New Roman" w:eastAsia="Times New Roman" w:hAnsi="Times New Roman"/>
          <w:sz w:val="17"/>
          <w:szCs w:val="17"/>
          <w:b w:val="1"/>
          <w:bCs w:val="1"/>
          <w:color w:val="auto"/>
        </w:rPr>
        <w:t>Ownership of Property; Liens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60" w:firstLine="656"/>
        <w:spacing w:after="0" w:line="266" w:lineRule="auto"/>
        <w:tabs>
          <w:tab w:leader="none" w:pos="129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Borrower and each Subsidiary has good record and marketable title in fee simple to, or valid leasehold interests in, all real property necessary or used in the ordinary conduct of its business, except for such defects in title as would not, individually or in the aggregate, reasonably be expected to have a Material Adverse Effect.</w:t>
      </w:r>
    </w:p>
    <w:p>
      <w:pPr>
        <w:spacing w:after="0" w:line="176" w:lineRule="exact"/>
        <w:rPr>
          <w:rFonts w:ascii="Times New Roman" w:cs="Times New Roman" w:eastAsia="Times New Roman" w:hAnsi="Times New Roman"/>
          <w:sz w:val="18"/>
          <w:szCs w:val="18"/>
          <w:color w:val="auto"/>
        </w:rPr>
      </w:pPr>
    </w:p>
    <w:p>
      <w:pPr>
        <w:ind w:right="260" w:firstLine="656"/>
        <w:spacing w:after="0" w:line="282" w:lineRule="auto"/>
        <w:tabs>
          <w:tab w:leader="none" w:pos="130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Borrowing Base Assets, the Equity Interests in each Direct Owner of a Borrowing Base Asset and each Indirect Owner of each such Direct Owner, and the right to any income from any of the foregoing, are subject to no Liens other than Liens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5.09 Environmental Compliance</w:t>
      </w:r>
      <w:r>
        <w:rPr>
          <w:rFonts w:ascii="Times New Roman" w:cs="Times New Roman" w:eastAsia="Times New Roman" w:hAnsi="Times New Roman"/>
          <w:sz w:val="18"/>
          <w:szCs w:val="18"/>
          <w:color w:val="auto"/>
        </w:rPr>
        <w:t>. Except with respect to any matters that, individually or in the aggregate, would not reasonably be expected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result in a Material Adverse Effect, neither the Borrower nor any of its Restricted Subsidiaries (a) has failed to comply with any applicable Environmental Laws, (b) has incurred any Environmental Liability, (c) has received notice of any claim with respect to any Environmental Liability or (d) knows of any facts or conditions that would reasonably be expected to result in any Environmental Liability.(1)</w:t>
      </w:r>
    </w:p>
    <w:p>
      <w:pPr>
        <w:spacing w:after="0" w:line="1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5.10</w:t>
      </w:r>
      <w:r>
        <w:rPr>
          <w:sz w:val="20"/>
          <w:szCs w:val="20"/>
          <w:color w:val="auto"/>
        </w:rPr>
        <w:tab/>
      </w: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121" w:right="239" w:bottom="40" w:gutter="0" w:footer="0" w:header="0"/>
        </w:sectPr>
      </w:pPr>
    </w:p>
    <w:bookmarkStart w:id="88" w:name="page89"/>
    <w:bookmarkEnd w:id="88"/>
    <w:p>
      <w:pPr>
        <w:spacing w:after="0" w:line="86" w:lineRule="exact"/>
        <w:rPr>
          <w:sz w:val="20"/>
          <w:szCs w:val="20"/>
          <w:color w:val="auto"/>
        </w:rPr>
      </w:pPr>
    </w:p>
    <w:p>
      <w:pPr>
        <w:ind w:right="380" w:firstLine="656"/>
        <w:spacing w:after="0" w:line="282" w:lineRule="auto"/>
        <w:tabs>
          <w:tab w:leader="none" w:pos="129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 Parties are in compliance with the requirements of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and no Loan Party, nor, to any Loan Party’s knowledge, any other Person, has done, by act or omission, anything which would materially and adversely impair the coverage of any such policy.</w:t>
      </w:r>
    </w:p>
    <w:p>
      <w:pPr>
        <w:spacing w:after="0" w:line="161" w:lineRule="exact"/>
        <w:rPr>
          <w:rFonts w:ascii="Times New Roman" w:cs="Times New Roman" w:eastAsia="Times New Roman" w:hAnsi="Times New Roman"/>
          <w:sz w:val="18"/>
          <w:szCs w:val="18"/>
          <w:color w:val="auto"/>
        </w:rPr>
      </w:pPr>
    </w:p>
    <w:p>
      <w:pPr>
        <w:ind w:right="700" w:firstLine="656"/>
        <w:spacing w:after="0" w:line="313" w:lineRule="auto"/>
        <w:tabs>
          <w:tab w:leader="none" w:pos="1304"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portion of any Collateral is, under the FDPA, in a Special Flood Hazard Area, or within a Flood Zone designated A or V in a participating community, or, if in such an area or zone, flood insurance is maintained therefor in full compliance with the provisions of </w:t>
      </w:r>
      <w:r>
        <w:rPr>
          <w:rFonts w:ascii="Times New Roman" w:cs="Times New Roman" w:eastAsia="Times New Roman" w:hAnsi="Times New Roman"/>
          <w:sz w:val="17"/>
          <w:szCs w:val="17"/>
          <w:u w:val="single" w:color="auto"/>
          <w:color w:val="auto"/>
        </w:rPr>
        <w:t>Section 6.07</w:t>
      </w:r>
      <w:r>
        <w:rPr>
          <w:rFonts w:ascii="Times New Roman" w:cs="Times New Roman" w:eastAsia="Times New Roman" w:hAnsi="Times New Roman"/>
          <w:sz w:val="17"/>
          <w:szCs w:val="17"/>
          <w:color w:val="auto"/>
        </w:rPr>
        <w:t>.</w:t>
      </w:r>
    </w:p>
    <w:p>
      <w:pPr>
        <w:spacing w:after="0" w:line="134" w:lineRule="exact"/>
        <w:rPr>
          <w:sz w:val="20"/>
          <w:szCs w:val="20"/>
          <w:color w:val="auto"/>
        </w:rPr>
      </w:pPr>
    </w:p>
    <w:p>
      <w:pPr>
        <w:ind w:right="20"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5.11 Taxes</w:t>
      </w:r>
      <w:r>
        <w:rPr>
          <w:rFonts w:ascii="Times New Roman" w:cs="Times New Roman" w:eastAsia="Times New Roman" w:hAnsi="Times New Roman"/>
          <w:sz w:val="18"/>
          <w:szCs w:val="18"/>
          <w:color w:val="auto"/>
        </w:rPr>
        <w:t>. The Borrower and its Subsidiaries have filed all U.S. federal income tax returns and all other material tax returns which are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filed by them and have paid all taxes due pursuant to such returns or pursuant to any assessment received by the Borrower or any Subsidiary, except</w:t>
      </w:r>
    </w:p>
    <w:p>
      <w:pPr>
        <w:spacing w:after="0" w:line="1" w:lineRule="exact"/>
        <w:rPr>
          <w:sz w:val="20"/>
          <w:szCs w:val="20"/>
          <w:color w:val="auto"/>
        </w:rPr>
      </w:pPr>
    </w:p>
    <w:p>
      <w:pPr>
        <w:ind w:right="480" w:firstLine="8"/>
        <w:spacing w:after="0" w:line="261" w:lineRule="auto"/>
        <w:tabs>
          <w:tab w:leader="none" w:pos="21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taxes, if any, as are being contested in good faith by appropriate proceedings and are reserved against in accordance with GAAP or (ii) such tax returns or such</w:t>
      </w:r>
    </w:p>
    <w:p>
      <w:pPr>
        <w:spacing w:after="0" w:line="200" w:lineRule="exact"/>
        <w:rPr>
          <w:rFonts w:ascii="Times New Roman" w:cs="Times New Roman" w:eastAsia="Times New Roman" w:hAnsi="Times New Roman"/>
          <w:sz w:val="18"/>
          <w:szCs w:val="18"/>
          <w:color w:val="auto"/>
        </w:rPr>
      </w:pPr>
    </w:p>
    <w:p>
      <w:pPr>
        <w:spacing w:after="0" w:line="209"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the mortgage documents will include additional provisions concerning environmental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182689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taxes, the failure to file when due or to make payment when due and payable would not, individually or in the aggregate, reasonably be expected to have a Material Adverse Effect. The charges, accruals and reserves on the books of the Borrower and its Subsidiaries in respect of taxes or other governmental charges are, in the opinion of the Borrower, adequate. There is no proposed tax assessment against the Borrower or any Subsidiary that would, if made, have a Material Adverse Effect. Neither the Borrower nor any Subsidiary is party to any tax sharing agreement.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5.12</w:t>
      </w:r>
      <w:r>
        <w:rPr>
          <w:sz w:val="20"/>
          <w:szCs w:val="20"/>
          <w:color w:val="auto"/>
        </w:rPr>
        <w:tab/>
      </w:r>
      <w:r>
        <w:rPr>
          <w:rFonts w:ascii="Times New Roman" w:cs="Times New Roman" w:eastAsia="Times New Roman" w:hAnsi="Times New Roman"/>
          <w:sz w:val="17"/>
          <w:szCs w:val="17"/>
          <w:b w:val="1"/>
          <w:bCs w:val="1"/>
          <w:color w:val="auto"/>
        </w:rPr>
        <w:t>Compliance with ERISA</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140" w:firstLine="656"/>
        <w:spacing w:after="0" w:line="253" w:lineRule="auto"/>
        <w:tabs>
          <w:tab w:leader="none" w:pos="1294"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5.12</w:t>
      </w:r>
      <w:r>
        <w:rPr>
          <w:rFonts w:ascii="Times New Roman" w:cs="Times New Roman" w:eastAsia="Times New Roman" w:hAnsi="Times New Roman"/>
          <w:sz w:val="18"/>
          <w:szCs w:val="18"/>
          <w:color w:val="auto"/>
        </w:rPr>
        <w:t>, neither the Borrower nor any other Loan Party is a member of or has entered into, maintained, contributed to, or been required to contribute to, or may incur any liability with respect to any Plan or Multiemployer Plan. There are no pending or, to the best knowledge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 No Termination Event has occurred, and neither the Borrower nor any member of the ERISA Group is aware of any fact, event or circumstance that could reasonably be expected to constitute or result in a Termination Event with respect to any Plan. Except as could not be reasonably expected to have a Material Adverse Effect individually or in the aggregate</w:t>
      </w:r>
    </w:p>
    <w:p>
      <w:pPr>
        <w:spacing w:after="0" w:line="3" w:lineRule="exact"/>
        <w:rPr>
          <w:rFonts w:ascii="Times New Roman" w:cs="Times New Roman" w:eastAsia="Times New Roman" w:hAnsi="Times New Roman"/>
          <w:sz w:val="18"/>
          <w:szCs w:val="18"/>
          <w:color w:val="auto"/>
        </w:rPr>
      </w:pPr>
    </w:p>
    <w:p>
      <w:pPr>
        <w:ind w:firstLine="8"/>
        <w:spacing w:after="0" w:line="251" w:lineRule="auto"/>
        <w:tabs>
          <w:tab w:leader="none" w:pos="215"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filing pursuant to Section 412 of the Code or Section 302 of ERISA of an application for a waiver of the minimum funding standards with respect to any Plan; (ii) there has been no failure to make by its due date any required installment under Section 430(j) of the Code with respect to any Plan nor a failure by the Borrower nor any member of the ERISA Group to make any required contribution to a Multiemployer Plan; (iii) there has been no determination that any Plan is or is expected to be in “at risk” status (within the meaning of Section 430 of the Code or Section 303 of ERISA); (iv) the present value of all accrued benefits under each Plan (determined based on the assumptions used by such Plans pursuant to Section 430(h) of the Code) did not, as of the last annual valuation date prior to the date on which this representation is made or deemed made, exceed by more than an immaterial amount the value of the assets of such Plan (as determined pursuant to Section 430(g) of the Code) allocable to such accrued benefits, and the present value of all accumulated benefit obligations of all underfunded Plans (based on the assumptions used for purposes of ASC Topic 715-30) did not, as of the date of the most recent financial statements reflecting such amounts, exceed by more than an immaterial amount the fair market value of the assets of all such underfunded Plans; (v) each employee benefit plan maintained by the Borrower or any of its Subsidiaries or any Plan which is intended to qualify under Section 401(a) of the Internal Revenue Code has received a favorable determination letter from the Internal Revenue Service indicating that such employee benefit plan or Plan is so qualified and the trust related thereto has been determined by the Internal Revenue Service to be exempt from federal income tax under Section 501(a) of the Code or an application for such a letter is currently pending before the Internal Revenue Service and, to the knowledge of Borrower, nothing has occurred subsequent to the issuance of the determination letter which would cause such employee benefit plan or Plan to lose its qualified status; and (vi) no liability to the PBGC (other than required premium payments), the Internal Revenue Service, any Plan or any trust established under Title IV of ERISA has been or is expected to be incurred by any member of the ERISA Group other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than in the ordinary course. The Borrower and its Subsidiaries have no contingent liabilities with respect to any post-retirement benefits under a Welfare Plan, other than liability for continuation coverage described in article 6 of Title 1 of ERISA, and except as would not be reasonably expected to have a Material Adverse Effect. In the event that at any time after the Closing Date, the Borrower or any other Loan Party shall sponsor or contribute to any other material Plan or Multiemployer Plan, the Borrower promptly shall notify the Administrative Agent thereof (and from and after such notice, </w:t>
      </w:r>
      <w:r>
        <w:rPr>
          <w:rFonts w:ascii="Times New Roman" w:cs="Times New Roman" w:eastAsia="Times New Roman" w:hAnsi="Times New Roman"/>
          <w:sz w:val="18"/>
          <w:szCs w:val="18"/>
          <w:u w:val="single" w:color="auto"/>
          <w:color w:val="auto"/>
        </w:rPr>
        <w:t>Schedule 5.12</w:t>
      </w:r>
      <w:r>
        <w:rPr>
          <w:rFonts w:ascii="Times New Roman" w:cs="Times New Roman" w:eastAsia="Times New Roman" w:hAnsi="Times New Roman"/>
          <w:sz w:val="18"/>
          <w:szCs w:val="18"/>
          <w:color w:val="auto"/>
        </w:rPr>
        <w:t xml:space="preserve"> shall be deemed modified thereby).</w:t>
      </w:r>
    </w:p>
    <w:p>
      <w:pPr>
        <w:spacing w:after="0" w:line="184" w:lineRule="exact"/>
        <w:rPr>
          <w:sz w:val="20"/>
          <w:szCs w:val="20"/>
          <w:color w:val="auto"/>
        </w:rPr>
      </w:pPr>
    </w:p>
    <w:p>
      <w:pPr>
        <w:ind w:firstLine="656"/>
        <w:spacing w:after="0" w:line="255" w:lineRule="auto"/>
        <w:tabs>
          <w:tab w:leader="none" w:pos="130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assets of the Borrower or any other Loan Party constitute “assets” (within the meaning of ERISA or Section 4975 of the Code, including, but not limited to, 29 C.F.R. § 2510.3-101 or any successor regulation thereto) of an “employee benefit plan” within the meaning of Section 3(3) of ERISA that is subject to Title I of ERISA or a “plan” within the meaning of, and subject to, Section 4975(e)(1) of the Code. In addition to the prohibitions set forth in this Agreement and the other Loan Documents, and not in limitation thereof, the Borrower covenants and agrees that the Borrower shall not, and shall not permit any other Loan Party to, use any “assets” (within the meaning of ERISA or Section 4975 of the Code, including but not limited to 29 C.F.R. § 2510.3101) of an “employee benefit plan” within the meaning of Section 3(3) of ERISA that is subject to Title I of ERISA or a “plan” within the meaning of, and subject to, Section 4975(e)(1) of the Code to repay or secure the Note, the Loan, or the Obligations.</w:t>
      </w:r>
    </w:p>
    <w:p>
      <w:pPr>
        <w:spacing w:after="0" w:line="189" w:lineRule="exact"/>
        <w:rPr>
          <w:rFonts w:ascii="Times New Roman" w:cs="Times New Roman" w:eastAsia="Times New Roman" w:hAnsi="Times New Roman"/>
          <w:sz w:val="18"/>
          <w:szCs w:val="18"/>
          <w:color w:val="auto"/>
        </w:rPr>
      </w:pPr>
    </w:p>
    <w:p>
      <w:pPr>
        <w:ind w:right="280" w:firstLine="656"/>
        <w:spacing w:after="0" w:line="266" w:lineRule="auto"/>
        <w:tabs>
          <w:tab w:leader="none" w:pos="1307"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neither the Borrower nor any Loan Party will be (1) an employee benefit plan subject to Title I of the Employee Retirement Income Security Act of 1974, as amended (“ERISA”), (2) a plan or account subject to Section 4975 of the Internal Revenue Code of 1986 (the “Code”); or (3) a “governmental plan” within the meaning of ERISA.</w:t>
      </w:r>
    </w:p>
    <w:p>
      <w:pPr>
        <w:spacing w:after="0" w:line="172" w:lineRule="exact"/>
        <w:rPr>
          <w:sz w:val="20"/>
          <w:szCs w:val="20"/>
          <w:color w:val="auto"/>
        </w:rPr>
      </w:pPr>
    </w:p>
    <w:p>
      <w:pPr>
        <w:ind w:right="2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5.13 Subsidiaries; Equity Interests</w:t>
      </w:r>
      <w:r>
        <w:rPr>
          <w:rFonts w:ascii="Times New Roman" w:cs="Times New Roman" w:eastAsia="Times New Roman" w:hAnsi="Times New Roman"/>
          <w:sz w:val="18"/>
          <w:szCs w:val="18"/>
          <w:color w:val="auto"/>
        </w:rPr>
        <w:t>. As of the Closing Date, the Borrower has no Subsidiaries other than those specifically disclosed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5.13</w:t>
      </w:r>
      <w:r>
        <w:rPr>
          <w:rFonts w:ascii="Times New Roman" w:cs="Times New Roman" w:eastAsia="Times New Roman" w:hAnsi="Times New Roman"/>
          <w:sz w:val="18"/>
          <w:szCs w:val="18"/>
          <w:color w:val="auto"/>
        </w:rPr>
        <w:t xml:space="preserve">, and all of the outstanding Equity Interests in such Subsidiaries have been validly issued, are fully paid and nonassessable and are owned, directly or indirectly, by a Loan Party in the amounts specified on </w:t>
      </w:r>
      <w:r>
        <w:rPr>
          <w:rFonts w:ascii="Times New Roman" w:cs="Times New Roman" w:eastAsia="Times New Roman" w:hAnsi="Times New Roman"/>
          <w:sz w:val="18"/>
          <w:szCs w:val="18"/>
          <w:u w:val="single" w:color="auto"/>
          <w:color w:val="auto"/>
        </w:rPr>
        <w:t>Schedule 5.13</w:t>
      </w:r>
      <w:r>
        <w:rPr>
          <w:rFonts w:ascii="Times New Roman" w:cs="Times New Roman" w:eastAsia="Times New Roman" w:hAnsi="Times New Roman"/>
          <w:sz w:val="18"/>
          <w:szCs w:val="18"/>
          <w:color w:val="auto"/>
        </w:rPr>
        <w:t>. All of the outstanding Equity Interests in each Loan Party are owned, directly or indirectly, by the Borrower free and clear of all Liens other than Permitted Equity Encumbrances. All of the outstanding Equity Interests in the Borrower have been validly issued and are fully paid and nonassessable.</w:t>
      </w:r>
    </w:p>
    <w:p>
      <w:pPr>
        <w:sectPr>
          <w:pgSz w:w="11900" w:h="16925" w:orient="portrait"/>
          <w:cols w:equalWidth="0" w:num="1">
            <w:col w:w="11400"/>
          </w:cols>
          <w:pgMar w:left="240" w:top="121" w:right="259" w:bottom="0" w:gutter="0" w:footer="0" w:header="0"/>
        </w:sectPr>
      </w:pPr>
    </w:p>
    <w:bookmarkStart w:id="89" w:name="page90"/>
    <w:bookmarkEnd w:id="89"/>
    <w:p>
      <w:pPr>
        <w:spacing w:after="0" w:line="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5.14</w:t>
      </w:r>
      <w:r>
        <w:rPr>
          <w:sz w:val="20"/>
          <w:szCs w:val="20"/>
          <w:color w:val="auto"/>
        </w:rPr>
        <w:tab/>
      </w:r>
      <w:r>
        <w:rPr>
          <w:rFonts w:ascii="Times New Roman" w:cs="Times New Roman" w:eastAsia="Times New Roman" w:hAnsi="Times New Roman"/>
          <w:sz w:val="18"/>
          <w:szCs w:val="18"/>
          <w:b w:val="1"/>
          <w:bCs w:val="1"/>
          <w:color w:val="auto"/>
        </w:rPr>
        <w:t>Margin Regulations; Investment Company Act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firstLine="656"/>
        <w:spacing w:after="0" w:line="261" w:lineRule="auto"/>
        <w:tabs>
          <w:tab w:leader="none" w:pos="129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not engaged and will not engage, principally or as one of its important activities, in the business of purchasing or carrying margin stock (within the meaning of Regulation U issued by the FRB), or extending credit for the purpose of purchasing or carrying margin stock. All proceeds of the Loans will be used by the Borrower only in accordance with the provisions hereof. Neither the making of any Loan nor the use of the proceeds thereof will violate or be inconsistent with the provisions of regulations T, U, or X of the Federal Reserve Board.</w:t>
      </w:r>
    </w:p>
    <w:p>
      <w:pPr>
        <w:spacing w:after="0" w:line="180" w:lineRule="exact"/>
        <w:rPr>
          <w:rFonts w:ascii="Times New Roman" w:cs="Times New Roman" w:eastAsia="Times New Roman" w:hAnsi="Times New Roman"/>
          <w:sz w:val="18"/>
          <w:szCs w:val="18"/>
          <w:color w:val="auto"/>
        </w:rPr>
      </w:pPr>
    </w:p>
    <w:p>
      <w:pPr>
        <w:ind w:right="100" w:firstLine="656"/>
        <w:spacing w:after="0" w:line="266" w:lineRule="auto"/>
        <w:tabs>
          <w:tab w:leader="none" w:pos="130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Borrower, any Person Controlling the Borrower, or any Subsidiary is (x) an “investment company” or a company “controlled” by an “investment company”, within the meaning of the Investment Company Act of 1940, as amended, or (y) subject to any other federal or state law or regulation which purports to restrict or regulate its ability to borrow money.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5.15 Disclosure</w:t>
      </w:r>
      <w:r>
        <w:rPr>
          <w:rFonts w:ascii="Times New Roman" w:cs="Times New Roman" w:eastAsia="Times New Roman" w:hAnsi="Times New Roman"/>
          <w:sz w:val="18"/>
          <w:szCs w:val="18"/>
          <w:color w:val="auto"/>
        </w:rPr>
        <w:t>. All information heretofore furnished by the Borrower or any other Consolidated Party to the Administrative Agent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Lender for purposes of or in connection with this Agreement or any transaction contemplated hereby or thereby is true and accurate in all material respects on the date as of which such information is stated or certified;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projected financial information, the Borrower represents and warrants only that such information represents the Borrower’s expectations regarding future performance, based upon historical information and reasonable assumptions, it being understood, however, that actual results may differ from the projected results described in the financial projections and was prepared in good faith based upon assumptions believed to be reasonable at the time.</w:t>
      </w:r>
    </w:p>
    <w:p>
      <w:pPr>
        <w:spacing w:after="0" w:line="183" w:lineRule="exact"/>
        <w:rPr>
          <w:sz w:val="20"/>
          <w:szCs w:val="20"/>
          <w:color w:val="auto"/>
        </w:rPr>
      </w:pPr>
    </w:p>
    <w:p>
      <w:pPr>
        <w:ind w:right="1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5.16 Compliance with Laws</w:t>
      </w:r>
      <w:r>
        <w:rPr>
          <w:rFonts w:ascii="Times New Roman" w:cs="Times New Roman" w:eastAsia="Times New Roman" w:hAnsi="Times New Roman"/>
          <w:sz w:val="18"/>
          <w:szCs w:val="18"/>
          <w:color w:val="auto"/>
        </w:rPr>
        <w:t>. The Borrower and each Subsidiary thereof is in compliance with the requirements of all Laws and all orders,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would not reasonably be expected to have a Material Adverse Effect.</w:t>
      </w:r>
    </w:p>
    <w:p>
      <w:pPr>
        <w:spacing w:after="0" w:line="1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5.17</w:t>
      </w:r>
      <w:r>
        <w:rPr>
          <w:sz w:val="20"/>
          <w:szCs w:val="20"/>
          <w:color w:val="auto"/>
        </w:rPr>
        <w:tab/>
      </w:r>
      <w:r>
        <w:rPr>
          <w:rFonts w:ascii="Times New Roman" w:cs="Times New Roman" w:eastAsia="Times New Roman" w:hAnsi="Times New Roman"/>
          <w:sz w:val="18"/>
          <w:szCs w:val="18"/>
          <w:b w:val="1"/>
          <w:bCs w:val="1"/>
          <w:color w:val="auto"/>
        </w:rPr>
        <w:t>Taxpayer Identification Number</w:t>
      </w:r>
      <w:r>
        <w:rPr>
          <w:rFonts w:ascii="Times New Roman" w:cs="Times New Roman" w:eastAsia="Times New Roman" w:hAnsi="Times New Roman"/>
          <w:sz w:val="18"/>
          <w:szCs w:val="18"/>
          <w:color w:val="auto"/>
        </w:rPr>
        <w:t>. Each Loan Party’s true and correct U.S. taxpayer identification number is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5.18</w:t>
      </w:r>
      <w:r>
        <w:rPr>
          <w:sz w:val="20"/>
          <w:szCs w:val="20"/>
          <w:color w:val="auto"/>
        </w:rPr>
        <w:tab/>
      </w:r>
      <w:r>
        <w:rPr>
          <w:rFonts w:ascii="Times New Roman" w:cs="Times New Roman" w:eastAsia="Times New Roman" w:hAnsi="Times New Roman"/>
          <w:sz w:val="17"/>
          <w:szCs w:val="17"/>
          <w:b w:val="1"/>
          <w:bCs w:val="1"/>
          <w:color w:val="auto"/>
        </w:rPr>
        <w:t>Anti-Corruption Laws and Sanctions; Anti-Money Laundering</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40" w:firstLine="656"/>
        <w:spacing w:after="0" w:line="255" w:lineRule="auto"/>
        <w:tabs>
          <w:tab w:leader="none" w:pos="1294"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implemented and maintains in effect policies and procedures designed to ensure compliance by the Borrower, its Subsidiaries and their respective directors, officers and employees with Anti-Corruption Laws and applicable Sanctions, and the Borrower, its Subsidiaries and their respective officers and employees, and to the knowledge of the Borrower its directors and agents, are in compliance with Anti-Corruption Laws and applicable Sanctions in all material respects and are not knowingly engaged in any activity that would reasonably be expected to result in the Borrower being designated as a Sanctioned Person. None of the Borrower, any of its Subsidiaries, nor, to the knowledge of the Borrower and its Subsidiaries, any director, officer, employee, or affiliate thereof, is a Sanctioned Person. No Credit Extension, use of proceeds or other transaction contemplated by this Agreement will violate Anti-Corruption Laws or applicable Sanctions.</w:t>
      </w:r>
    </w:p>
    <w:p>
      <w:pPr>
        <w:spacing w:after="0" w:line="189" w:lineRule="exact"/>
        <w:rPr>
          <w:rFonts w:ascii="Times New Roman" w:cs="Times New Roman" w:eastAsia="Times New Roman" w:hAnsi="Times New Roman"/>
          <w:sz w:val="18"/>
          <w:szCs w:val="18"/>
          <w:color w:val="auto"/>
        </w:rPr>
      </w:pPr>
    </w:p>
    <w:p>
      <w:pPr>
        <w:ind w:right="60" w:firstLine="656"/>
        <w:spacing w:after="0" w:line="258" w:lineRule="auto"/>
        <w:tabs>
          <w:tab w:leader="none" w:pos="1304"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or any Subsidiaries thereof, nor, to the knowledge of any Loan Party, any of its Affiliates or respective officers, directors, or employees (i) has violated or is in violation of any applicable Anti-Money Laundering Laws or (ii) has engaged or engages in any transaction, investment, undertaking or activity that conceals the identity, source or destination of the proceeds from any category of offenses designated in any applicable law, regulation or other binding measure implementing the “Forty Recommendations” and “Nine Special Recommendations” published by the Organisation for Economic Cooperation and Development’s Financial Action Task Force on Money Laundering.</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5.19</w:t>
      </w:r>
      <w:r>
        <w:rPr>
          <w:sz w:val="20"/>
          <w:szCs w:val="20"/>
          <w:color w:val="auto"/>
        </w:rPr>
        <w:tab/>
      </w:r>
      <w:r>
        <w:rPr>
          <w:rFonts w:ascii="Times New Roman" w:cs="Times New Roman" w:eastAsia="Times New Roman" w:hAnsi="Times New Roman"/>
          <w:sz w:val="18"/>
          <w:szCs w:val="18"/>
          <w:b w:val="1"/>
          <w:bCs w:val="1"/>
          <w:color w:val="auto"/>
        </w:rPr>
        <w:t>Solvency</w:t>
      </w:r>
      <w:r>
        <w:rPr>
          <w:rFonts w:ascii="Times New Roman" w:cs="Times New Roman" w:eastAsia="Times New Roman" w:hAnsi="Times New Roman"/>
          <w:sz w:val="18"/>
          <w:szCs w:val="18"/>
          <w:color w:val="auto"/>
        </w:rPr>
        <w:t>. The Borrower, together with its Subsidiaries, taken as a whole, is Solvent.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5.20</w:t>
      </w:r>
      <w:r>
        <w:rPr>
          <w:sz w:val="20"/>
          <w:szCs w:val="20"/>
          <w:color w:val="auto"/>
        </w:rPr>
        <w:tab/>
      </w:r>
      <w:r>
        <w:rPr>
          <w:rFonts w:ascii="Times New Roman" w:cs="Times New Roman" w:eastAsia="Times New Roman" w:hAnsi="Times New Roman"/>
          <w:sz w:val="18"/>
          <w:szCs w:val="18"/>
          <w:b w:val="1"/>
          <w:bCs w:val="1"/>
          <w:color w:val="auto"/>
        </w:rPr>
        <w:t>Principal Offices</w:t>
      </w:r>
      <w:r>
        <w:rPr>
          <w:rFonts w:ascii="Times New Roman" w:cs="Times New Roman" w:eastAsia="Times New Roman" w:hAnsi="Times New Roman"/>
          <w:sz w:val="18"/>
          <w:szCs w:val="18"/>
          <w:color w:val="auto"/>
        </w:rPr>
        <w:t>. As of the Closing Date, the principal office, chief executive office and principal place of business of each Loan Party 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1114 Avenue of the Americas, New York, NY 10036.</w:t>
      </w:r>
    </w:p>
    <w:p>
      <w:pPr>
        <w:spacing w:after="0" w:line="203"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5.21 REIT Status and Stock Exchange Listing</w:t>
      </w:r>
      <w:r>
        <w:rPr>
          <w:rFonts w:ascii="Times New Roman" w:cs="Times New Roman" w:eastAsia="Times New Roman" w:hAnsi="Times New Roman"/>
          <w:sz w:val="18"/>
          <w:szCs w:val="18"/>
          <w:color w:val="auto"/>
        </w:rPr>
        <w:t>. The Borrower is organized and operated in a manner that allows it to qualify as a REIT, and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elect to qualify to be taxed as a REIT commencing with its taxable year ending December 31, 2017. Upon consummation of the IPO, each class of the Borrower’s common Equity Interests will be listed on the New York Stock Exchange.</w:t>
      </w:r>
    </w:p>
    <w:p>
      <w:pPr>
        <w:spacing w:after="0" w:line="171" w:lineRule="exact"/>
        <w:rPr>
          <w:sz w:val="20"/>
          <w:szCs w:val="20"/>
          <w:color w:val="auto"/>
        </w:rPr>
      </w:pPr>
    </w:p>
    <w:p>
      <w:pPr>
        <w:ind w:right="1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5.22 No Burdensome Agreements</w:t>
      </w:r>
      <w:r>
        <w:rPr>
          <w:rFonts w:ascii="Times New Roman" w:cs="Times New Roman" w:eastAsia="Times New Roman" w:hAnsi="Times New Roman"/>
          <w:sz w:val="18"/>
          <w:szCs w:val="18"/>
          <w:color w:val="auto"/>
        </w:rPr>
        <w:t>. Except as may have been disclosed by the Borrower in writing to the Lenders prior to the Closing Date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would otherwise be permitted under the Loan Documents, neither the Borrower nor any other Loan Party is a party to any agreement or instrument or subject to any other obligation or any charter or corporate or partnership restriction, as the case may be, which, individually or in the aggregate, would reasonably be expected to have a Material Adverse Effect.</w:t>
      </w:r>
    </w:p>
    <w:p>
      <w:pPr>
        <w:spacing w:after="0" w:line="177" w:lineRule="exact"/>
        <w:rPr>
          <w:sz w:val="20"/>
          <w:szCs w:val="20"/>
          <w:color w:val="auto"/>
        </w:rPr>
      </w:pPr>
    </w:p>
    <w:p>
      <w:pPr>
        <w:ind w:right="3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5.23 Collateral Documents</w:t>
      </w:r>
      <w:r>
        <w:rPr>
          <w:rFonts w:ascii="Times New Roman" w:cs="Times New Roman" w:eastAsia="Times New Roman" w:hAnsi="Times New Roman"/>
          <w:sz w:val="18"/>
          <w:szCs w:val="18"/>
          <w:color w:val="auto"/>
        </w:rPr>
        <w:t>. The provisions of the Collateral Documents are effective to create in favor of the Administrative Agent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of the Secured Parties a legal, valid and enforceable first priority Lien (subject to Permitted Property Encumbrances and Permitted Equity Encumbrances, as applicable) on all right, title and interest of the respective Grantors in the Collateral described therein. Except as contemplated by the Collateral Documents, no filing or other action will be necessary to perfect or protect such Liens.</w:t>
      </w:r>
    </w:p>
    <w:p>
      <w:pPr>
        <w:spacing w:after="0" w:line="177" w:lineRule="exact"/>
        <w:rPr>
          <w:sz w:val="20"/>
          <w:szCs w:val="20"/>
          <w:color w:val="auto"/>
        </w:rPr>
      </w:pPr>
    </w:p>
    <w:p>
      <w:pPr>
        <w:ind w:right="2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5.24 Organization Documents</w:t>
      </w:r>
      <w:r>
        <w:rPr>
          <w:rFonts w:ascii="Times New Roman" w:cs="Times New Roman" w:eastAsia="Times New Roman" w:hAnsi="Times New Roman"/>
          <w:sz w:val="18"/>
          <w:szCs w:val="18"/>
          <w:color w:val="auto"/>
        </w:rPr>
        <w:t>. The documents delivered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4.01(a)(v)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as of the Closing Date,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organizational documents (together with all amendments and modifications thereof) of the Borrower and each Loan Party. The Borrower represents that it has delivered to the Administrative Agent true, correct and complete copies of each such document.</w:t>
      </w:r>
    </w:p>
    <w:p>
      <w:pPr>
        <w:spacing w:after="0" w:line="17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5.25 Borrowing Base Assets</w:t>
      </w:r>
      <w:r>
        <w:rPr>
          <w:rFonts w:ascii="Times New Roman" w:cs="Times New Roman" w:eastAsia="Times New Roman" w:hAnsi="Times New Roman"/>
          <w:sz w:val="18"/>
          <w:szCs w:val="18"/>
          <w:color w:val="auto"/>
        </w:rPr>
        <w:t>. Each Loan Asset and Ground Net Lease Asset included in any calculation of Borrowing Base Amount, at the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such calculation, satisfied each of the criteria set forth in the definition of Eligible Loan Asset or Eligible Ground Net Lease Asset, as applicable.</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5.26</w:t>
      </w:r>
      <w:r>
        <w:rPr>
          <w:sz w:val="20"/>
          <w:szCs w:val="20"/>
          <w:color w:val="auto"/>
        </w:rPr>
        <w:tab/>
      </w:r>
      <w:r>
        <w:rPr>
          <w:rFonts w:ascii="Times New Roman" w:cs="Times New Roman" w:eastAsia="Times New Roman" w:hAnsi="Times New Roman"/>
          <w:sz w:val="18"/>
          <w:szCs w:val="18"/>
          <w:b w:val="1"/>
          <w:bCs w:val="1"/>
          <w:color w:val="auto"/>
        </w:rPr>
        <w:t>EEA Financial Institutions</w:t>
      </w:r>
      <w:r>
        <w:rPr>
          <w:rFonts w:ascii="Times New Roman" w:cs="Times New Roman" w:eastAsia="Times New Roman" w:hAnsi="Times New Roman"/>
          <w:sz w:val="18"/>
          <w:szCs w:val="18"/>
          <w:color w:val="auto"/>
        </w:rPr>
        <w:t>. No Loan Party is an EEA Financial Institution.</w:t>
      </w:r>
    </w:p>
    <w:p>
      <w:pPr>
        <w:sectPr>
          <w:pgSz w:w="11900" w:h="16839" w:orient="portrait"/>
          <w:cols w:equalWidth="0" w:num="1">
            <w:col w:w="11400"/>
          </w:cols>
          <w:pgMar w:left="240" w:top="333" w:right="259" w:bottom="0" w:gutter="0" w:footer="0" w:header="0"/>
        </w:sectPr>
      </w:pPr>
    </w:p>
    <w:bookmarkStart w:id="90" w:name="page91"/>
    <w:bookmarkEnd w:id="90"/>
    <w:p>
      <w:pPr>
        <w:spacing w:after="0" w:line="81" w:lineRule="exact"/>
        <w:rPr>
          <w:sz w:val="20"/>
          <w:szCs w:val="20"/>
          <w:color w:val="auto"/>
        </w:rPr>
      </w:pPr>
    </w:p>
    <w:p>
      <w:pPr>
        <w:jc w:val="center"/>
        <w:spacing w:after="0"/>
        <w:tabs>
          <w:tab w:leader="none" w:pos="220" w:val="left"/>
        </w:tabs>
        <w:rPr>
          <w:sz w:val="20"/>
          <w:szCs w:val="20"/>
          <w:color w:val="auto"/>
        </w:rPr>
      </w:pPr>
      <w:r>
        <w:rPr>
          <w:rFonts w:ascii="Times New Roman" w:cs="Times New Roman" w:eastAsia="Times New Roman" w:hAnsi="Times New Roman"/>
          <w:sz w:val="18"/>
          <w:szCs w:val="18"/>
          <w:b w:val="1"/>
          <w:bCs w:val="1"/>
          <w:color w:val="auto"/>
        </w:rPr>
        <w:t>ARTICLE VI.</w:t>
      </w:r>
      <w:r>
        <w:rPr>
          <w:sz w:val="20"/>
          <w:szCs w:val="20"/>
          <w:color w:val="auto"/>
        </w:rPr>
        <w:tab/>
      </w:r>
      <w:r>
        <w:rPr>
          <w:rFonts w:ascii="Times New Roman" w:cs="Times New Roman" w:eastAsia="Times New Roman" w:hAnsi="Times New Roman"/>
          <w:sz w:val="17"/>
          <w:szCs w:val="17"/>
          <w:b w:val="1"/>
          <w:bCs w:val="1"/>
          <w:color w:val="auto"/>
        </w:rPr>
        <w:t>AFFIRMATIVE COVENANTS</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So long as any Lender shall have any Commitment hereunder, any Loan or other Obligation hereunder shall remain unpaid or unsatisfied (in each case, other than contingent indemnification and reimbursement obligations for which no claim has been asserted), or any Letter of Credit shall remain outstanding (that has not been Cash Collateralized):</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6.01</w:t>
      </w:r>
      <w:r>
        <w:rPr>
          <w:sz w:val="20"/>
          <w:szCs w:val="20"/>
          <w:color w:val="auto"/>
        </w:rPr>
        <w:tab/>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The Borrower shall deliver to the Administrative Agent for further distribution to each Lender:</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56"/>
        <w:spacing w:after="0" w:line="255" w:lineRule="auto"/>
        <w:tabs>
          <w:tab w:leader="none" w:pos="1294"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95 days after the end of each fiscal year of the Borrower (or, if earlier, 5 days after the date required to be filed with the SEC (without giving effect to any extension permitted by the SEC)), a consolidated balance sheet of the Borrower and its Subsidiaries as at the end of such fiscal year, and the related consolidated statements of income or operations, changes in shareholders’ equity, and cash flows for such fiscal year, setting forth in each case in comparative form the figures for the previous fiscal year (or in the case of the December 31, 2017 statements, the figures set forth in the Audited Financial Statements), all in reasonable detail and prepared in accordance with GAAP, audited and accompanied by a report and opinion of PricewaterhouseCoopers LLP or another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w:t>
      </w:r>
    </w:p>
    <w:p>
      <w:pPr>
        <w:spacing w:after="0" w:line="185" w:lineRule="exact"/>
        <w:rPr>
          <w:rFonts w:ascii="Times New Roman" w:cs="Times New Roman" w:eastAsia="Times New Roman" w:hAnsi="Times New Roman"/>
          <w:sz w:val="18"/>
          <w:szCs w:val="18"/>
          <w:color w:val="auto"/>
        </w:rPr>
      </w:pPr>
    </w:p>
    <w:p>
      <w:pPr>
        <w:ind w:firstLine="656"/>
        <w:spacing w:after="0" w:line="254" w:lineRule="auto"/>
        <w:tabs>
          <w:tab w:leader="none" w:pos="1304"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50 days after the end of each of the first three fiscal quarters of each fiscal year of the Borrower (or, if earlier, 5 days after the date required to be filed with the SEC (without giving effect to any extension permitted by the SEC)) (commencing with the fiscal quarter ended June 30, 2017), a consolidated balance sheet of the Borrower and its Subsidiaries as at the end of such fiscal quarter, the related consolidated statements of income or operations for such fiscal quarter and for the portion of the Borrower’s fiscal year then ended, and the related consolidated statements of changes in shareholders’ equity, and cash flows for the portion of the Borrower’s fiscal year then ended, in each case (commencing with the fiscal quarter ending June 30, 2018]) setting forth in comparative form, as applicable, the figures for the corresponding fiscal quarter of the previous fiscal year and the corresponding portion of the previous fiscal year, all in reasonable detail, certified by the chief executive officer, chief financial officer, treasurer or controller of the Borrower as fairly presenting the financial condition, results of operations, shareholders’ equity and cash flows of the Borrower and its Subsidiaries in accordance with GAAP, subject only to normal year-end audit adjustments and the absence of footnotes; and</w:t>
      </w:r>
    </w:p>
    <w:p>
      <w:pPr>
        <w:spacing w:after="0" w:line="189" w:lineRule="exact"/>
        <w:rPr>
          <w:rFonts w:ascii="Times New Roman" w:cs="Times New Roman" w:eastAsia="Times New Roman" w:hAnsi="Times New Roman"/>
          <w:sz w:val="18"/>
          <w:szCs w:val="18"/>
          <w:color w:val="auto"/>
        </w:rPr>
      </w:pPr>
    </w:p>
    <w:p>
      <w:pPr>
        <w:ind w:right="60" w:firstLine="656"/>
        <w:spacing w:after="0" w:line="266" w:lineRule="auto"/>
        <w:tabs>
          <w:tab w:leader="none" w:pos="1307"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90 days after the end of each fiscal year of the Borrower, forecasts prepared by management of the Borrower, in form satisfactory to the Administrative Agent, of consolidated balance sheets and statements of income or operations and cash flows of the Borrower and its Subsidiaries on a quarterly basis for such fiscal year (including the fiscal year in which the Maturity Date occurs).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As to any information contained in materials furnished pursuant to </w:t>
      </w:r>
      <w:r>
        <w:rPr>
          <w:rFonts w:ascii="Times New Roman" w:cs="Times New Roman" w:eastAsia="Times New Roman" w:hAnsi="Times New Roman"/>
          <w:sz w:val="18"/>
          <w:szCs w:val="18"/>
          <w:u w:val="single" w:color="auto"/>
          <w:color w:val="auto"/>
        </w:rPr>
        <w:t>Section 6.02(d)</w:t>
      </w:r>
      <w:r>
        <w:rPr>
          <w:rFonts w:ascii="Times New Roman" w:cs="Times New Roman" w:eastAsia="Times New Roman" w:hAnsi="Times New Roman"/>
          <w:sz w:val="18"/>
          <w:szCs w:val="18"/>
          <w:color w:val="auto"/>
        </w:rPr>
        <w:t xml:space="preserve">, the Borrower shall not be separately required to furnish such information under subsection (a) or (b) above, but the foregoing shall not be in derogation of the obligation of the Borrower to furnish the information and materials described in </w:t>
      </w:r>
      <w:r>
        <w:rPr>
          <w:rFonts w:ascii="Times New Roman" w:cs="Times New Roman" w:eastAsia="Times New Roman" w:hAnsi="Times New Roman"/>
          <w:sz w:val="18"/>
          <w:szCs w:val="18"/>
          <w:u w:val="single" w:color="auto"/>
          <w:color w:val="auto"/>
        </w:rPr>
        <w:t>subsections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at the times specified therein.</w:t>
      </w:r>
    </w:p>
    <w:p>
      <w:pPr>
        <w:spacing w:after="0" w:line="172" w:lineRule="exact"/>
        <w:rPr>
          <w:sz w:val="20"/>
          <w:szCs w:val="20"/>
          <w:color w:val="auto"/>
        </w:rPr>
      </w:pPr>
    </w:p>
    <w:p>
      <w:pPr>
        <w:jc w:val="center"/>
        <w:ind w:right="60"/>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6.02</w:t>
      </w:r>
      <w:r>
        <w:rPr>
          <w:sz w:val="20"/>
          <w:szCs w:val="20"/>
          <w:color w:val="auto"/>
        </w:rPr>
        <w:tab/>
      </w:r>
      <w:r>
        <w:rPr>
          <w:rFonts w:ascii="Times New Roman" w:cs="Times New Roman" w:eastAsia="Times New Roman" w:hAnsi="Times New Roman"/>
          <w:sz w:val="18"/>
          <w:szCs w:val="18"/>
          <w:b w:val="1"/>
          <w:bCs w:val="1"/>
          <w:color w:val="auto"/>
        </w:rPr>
        <w:t>Certificates; Other Information</w:t>
      </w:r>
      <w:r>
        <w:rPr>
          <w:rFonts w:ascii="Times New Roman" w:cs="Times New Roman" w:eastAsia="Times New Roman" w:hAnsi="Times New Roman"/>
          <w:sz w:val="18"/>
          <w:szCs w:val="18"/>
          <w:color w:val="auto"/>
        </w:rPr>
        <w:t>. The Borrower shall deliver to the Administrative Agent for further distribution to each Lender:</w:t>
      </w:r>
    </w:p>
    <w:p>
      <w:pPr>
        <w:spacing w:after="0" w:line="229" w:lineRule="exact"/>
        <w:rPr>
          <w:sz w:val="20"/>
          <w:szCs w:val="20"/>
          <w:color w:val="auto"/>
        </w:rPr>
      </w:pPr>
    </w:p>
    <w:p>
      <w:pPr>
        <w:ind w:right="480" w:firstLine="656"/>
        <w:spacing w:after="0" w:line="282" w:lineRule="auto"/>
        <w:tabs>
          <w:tab w:leader="none" w:pos="1294"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the delivery of the financial statements referred to in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(commencing with the delivery of the financial statements for the fiscal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quarter ended March 31, 2017), a duly completed Compliance Certificate (which delivery may, unless the Administrative Agent, or a Lender requests executed originals, be by electronic communication including fax or email and shall be deemed to be an original authentic counterpart thereof for all purposes), including a calculation, in form and substance reasonably satisfactory to the Administrative Agent, of Availability as of the last day of the fiscal period covered by such Compliance Certificate;</w:t>
      </w:r>
    </w:p>
    <w:p>
      <w:pPr>
        <w:spacing w:after="0" w:line="180" w:lineRule="exact"/>
        <w:rPr>
          <w:sz w:val="20"/>
          <w:szCs w:val="20"/>
          <w:color w:val="auto"/>
        </w:rPr>
      </w:pPr>
    </w:p>
    <w:p>
      <w:pPr>
        <w:ind w:right="420" w:firstLine="656"/>
        <w:spacing w:after="0" w:line="282" w:lineRule="auto"/>
        <w:tabs>
          <w:tab w:leader="none" w:pos="130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quarterly basis (and in any case within 10 Business Days after the last day of each quarter), or more frequently if requested by the Administrative Agent upon the occurrence and during the continuance of a Default or a Material Event, a Borrowing Base Certificate;</w:t>
      </w:r>
    </w:p>
    <w:p>
      <w:pPr>
        <w:spacing w:after="0" w:line="161" w:lineRule="exact"/>
        <w:rPr>
          <w:rFonts w:ascii="Times New Roman" w:cs="Times New Roman" w:eastAsia="Times New Roman" w:hAnsi="Times New Roman"/>
          <w:sz w:val="18"/>
          <w:szCs w:val="18"/>
          <w:color w:val="auto"/>
        </w:rPr>
      </w:pPr>
    </w:p>
    <w:p>
      <w:pPr>
        <w:ind w:right="80" w:firstLine="656"/>
        <w:spacing w:after="0" w:line="261" w:lineRule="auto"/>
        <w:tabs>
          <w:tab w:leader="none" w:pos="1307"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are available, copies of each annual report, proxy or financial statement or other report or communication sent to the stockholders of the Borrower, and copies of all annual, regular, periodic and special reports and registration statements which the Borrower may file or be required to file with the SEC under Section 13 or 15(d) of the Securities Exchange Act of 1934, and not otherwise required to be delivered to the Administrative Agent pursuant hereto;</w:t>
      </w:r>
    </w:p>
    <w:p>
      <w:pPr>
        <w:spacing w:after="0" w:line="180" w:lineRule="exact"/>
        <w:rPr>
          <w:rFonts w:ascii="Times New Roman" w:cs="Times New Roman" w:eastAsia="Times New Roman" w:hAnsi="Times New Roman"/>
          <w:sz w:val="18"/>
          <w:szCs w:val="18"/>
          <w:color w:val="auto"/>
        </w:rPr>
      </w:pPr>
    </w:p>
    <w:p>
      <w:pPr>
        <w:jc w:val="both"/>
        <w:ind w:right="40" w:firstLine="656"/>
        <w:spacing w:after="0" w:line="266" w:lineRule="auto"/>
        <w:tabs>
          <w:tab w:leader="none" w:pos="130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furnishing thereof, copies of any material statement or report furnished to any holder of debt securities of any Loan Party or any Subsidiary thereof pursuant to the terms of any material indenture, loan or credit or similar agreement and not otherwise required to be furnished to the Lenders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any other clause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right="320" w:firstLine="656"/>
        <w:spacing w:after="0" w:line="266" w:lineRule="auto"/>
        <w:tabs>
          <w:tab w:leader="none" w:pos="1307"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five (5) Business Days after receipt thereof by the Borrower or any Subsidiary thereof, copies of each notice or other correspondence received from the SEC (or comparable agency in any applicable non-U.S. jurisdiction) concerning any investigation or possible investigation or other inquiry by such agency regarding financial or other operational results of the Borrower or any Subsidiary thereof;</w:t>
      </w:r>
    </w:p>
    <w:p>
      <w:pPr>
        <w:spacing w:after="0" w:line="176" w:lineRule="exact"/>
        <w:rPr>
          <w:rFonts w:ascii="Times New Roman" w:cs="Times New Roman" w:eastAsia="Times New Roman" w:hAnsi="Times New Roman"/>
          <w:sz w:val="18"/>
          <w:szCs w:val="18"/>
          <w:color w:val="auto"/>
        </w:rPr>
      </w:pPr>
    </w:p>
    <w:p>
      <w:pPr>
        <w:ind w:right="480" w:firstLine="656"/>
        <w:spacing w:after="0" w:line="282" w:lineRule="auto"/>
        <w:tabs>
          <w:tab w:leader="none" w:pos="1301"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five (5) Business Days after receipt thereof by a Loan Party, any material amendments, consents or waivers with respect to any Eligible Loan Asset or Eligible Ground Net Lease Asset and entered into or delivered on or after the Closing Date; and</w:t>
      </w:r>
    </w:p>
    <w:p>
      <w:pPr>
        <w:spacing w:after="0" w:line="161" w:lineRule="exact"/>
        <w:rPr>
          <w:rFonts w:ascii="Times New Roman" w:cs="Times New Roman" w:eastAsia="Times New Roman" w:hAnsi="Times New Roman"/>
          <w:sz w:val="18"/>
          <w:szCs w:val="18"/>
          <w:color w:val="auto"/>
        </w:rPr>
      </w:pPr>
    </w:p>
    <w:p>
      <w:pPr>
        <w:ind w:right="160" w:firstLine="656"/>
        <w:spacing w:after="0" w:line="266" w:lineRule="auto"/>
        <w:tabs>
          <w:tab w:leader="none" w:pos="1317"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such additional information regarding the business, financial or corporate affairs of the Borrower or any Subsidiary, compliance with the terms of the Loan Documents, or with respect to any Eligible Loan Asset, Eligible Ground Net Lease or Collateral, in each case, as the Administrative Agent or any Lender may from time to time reasonably request.</w:t>
      </w:r>
    </w:p>
    <w:p>
      <w:pPr>
        <w:sectPr>
          <w:pgSz w:w="11900" w:h="16919" w:orient="portrait"/>
          <w:cols w:equalWidth="0" w:num="1">
            <w:col w:w="11420"/>
          </w:cols>
          <w:pgMar w:left="240" w:top="333" w:right="239" w:bottom="0" w:gutter="0" w:footer="0" w:header="0"/>
        </w:sectPr>
      </w:pPr>
    </w:p>
    <w:bookmarkStart w:id="91" w:name="page92"/>
    <w:bookmarkEnd w:id="91"/>
    <w:p>
      <w:pPr>
        <w:ind w:right="1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6.02(c)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or</w:t>
      </w:r>
    </w:p>
    <w:p>
      <w:pPr>
        <w:spacing w:after="0" w:line="2" w:lineRule="exact"/>
        <w:rPr>
          <w:sz w:val="20"/>
          <w:szCs w:val="20"/>
          <w:color w:val="auto"/>
        </w:rPr>
      </w:pPr>
    </w:p>
    <w:p>
      <w:pPr>
        <w:ind w:left="5620" w:right="4000" w:hanging="5612"/>
        <w:spacing w:after="0" w:line="511" w:lineRule="auto"/>
        <w:tabs>
          <w:tab w:leader="none" w:pos="269"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which such documents are posted on the Borrower’s behalf on an Internet or intranet website, if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any, to which each Lender and the Administrative Agent have access (whether a commercial, third-party website or whether sponsored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Borrower shall deliver paper copies of such documents to the Administrative Agent or any Lender upon its request to the Borrower to deliver such paper copies until a written request to cease delivering paper copies is given by the Administrative Agent or such Lender and (ii) the Borrower shall notify the Administrative Agent and each Lender (by facsimile or electronic mail) of the posting of any such documents and provide to the Administrative Agent by electronic mail electronic versions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8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Borrower hereby acknowledges that (a) the Administrative Agent and/or the Arranger may, but shall not be obligated to, make available to the Lenders and the L/C Issuers materials and/or information provided by or on behalf of the Borrower hereunder (collectively,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by posting the Borrower Materials on IntraLinks, Syndtrak, ClearPar, or a substantially similar electronic transmission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and (b) certain of the Lenders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(w) all Borrower Materials that are requested on not less than three (3) Business Days’ notice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the Arranger, the L/C Issuers and the Lenders to treat such Borrower Materials as not containing any material non-public information with respect to the Borrower or its securities for purposes of United States Federal and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extent such Borrower Materials constitute Information, they shall be treated as set forth in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(y) all Borrower Materials marked “PUBLIC” are permitted to be made available through a portion of the Platform designated “Public Side Information;” and (z) the Administrative Agent and the Arranger shall be entitled to treat any Borrower Materials that are not marked “PUBLIC” as being suitable only for posting on a portion of the Platform not designated “Public Side Information.”</w:t>
      </w:r>
    </w:p>
    <w:p>
      <w:pPr>
        <w:spacing w:after="0" w:line="195" w:lineRule="exact"/>
        <w:rPr>
          <w:sz w:val="20"/>
          <w:szCs w:val="20"/>
          <w:color w:val="auto"/>
        </w:rPr>
      </w:pPr>
    </w:p>
    <w:p>
      <w:pPr>
        <w:ind w:right="7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6.03 Notices</w:t>
      </w:r>
      <w:r>
        <w:rPr>
          <w:rFonts w:ascii="Times New Roman" w:cs="Times New Roman" w:eastAsia="Times New Roman" w:hAnsi="Times New Roman"/>
          <w:sz w:val="18"/>
          <w:szCs w:val="18"/>
          <w:color w:val="auto"/>
        </w:rPr>
        <w:t>. The Borrower shall promptly (and in any event within five (5) Business Days after any officer of any Loan Party obtains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knowledge thereof) notify the Administrative Agent and each Lender:</w:t>
      </w:r>
    </w:p>
    <w:p>
      <w:pPr>
        <w:spacing w:after="0" w:line="159" w:lineRule="exact"/>
        <w:rPr>
          <w:sz w:val="20"/>
          <w:szCs w:val="20"/>
          <w:color w:val="auto"/>
        </w:rPr>
      </w:pPr>
    </w:p>
    <w:p>
      <w:pPr>
        <w:ind w:left="1300" w:hanging="644"/>
        <w:spacing w:after="0"/>
        <w:tabs>
          <w:tab w:leader="none" w:pos="130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occurrence of any Default;</w:t>
      </w:r>
    </w:p>
    <w:p>
      <w:pPr>
        <w:spacing w:after="0" w:line="225" w:lineRule="exact"/>
        <w:rPr>
          <w:rFonts w:ascii="Times New Roman" w:cs="Times New Roman" w:eastAsia="Times New Roman" w:hAnsi="Times New Roman"/>
          <w:sz w:val="18"/>
          <w:szCs w:val="18"/>
          <w:color w:val="auto"/>
        </w:rPr>
      </w:pPr>
    </w:p>
    <w:p>
      <w:pPr>
        <w:ind w:left="5620" w:right="2780" w:hanging="4964"/>
        <w:spacing w:after="0" w:line="532" w:lineRule="auto"/>
        <w:tabs>
          <w:tab w:leader="none" w:pos="1308"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matter that has resulted or could reasonably be expected to result in a Material Adverse Effect; 99</w:t>
      </w: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in any event notify the Administrative Agent and each Lender within thirty (30) days, if and when any member of the ERISA Group</w:t>
      </w:r>
    </w:p>
    <w:p>
      <w:pPr>
        <w:spacing w:after="0" w:line="27" w:lineRule="exact"/>
        <w:rPr>
          <w:rFonts w:ascii="Times New Roman" w:cs="Times New Roman" w:eastAsia="Times New Roman" w:hAnsi="Times New Roman"/>
          <w:sz w:val="18"/>
          <w:szCs w:val="18"/>
          <w:color w:val="auto"/>
        </w:rPr>
      </w:pPr>
    </w:p>
    <w:p>
      <w:pPr>
        <w:ind w:right="60" w:firstLine="8"/>
        <w:spacing w:after="0" w:line="250" w:lineRule="auto"/>
        <w:tabs>
          <w:tab w:leader="none" w:pos="21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or is required to give notice to the PBGC of any “reportable event” (as defined in Section 4043 of ERISA) with respect to any Plan which might reasonably constitute grounds for a termination of such Plan under Title IV of ERISA, or knows that the plan administrator of any Plan has given or is required to give notice of any such reportable event, a copy of the notice of such reportable event given or required to be given to the PBGC; (ii) receives notice of complete or partial withdrawal liability under Title IV of ERISA or notice that any Multiemployer Plan is in reorganization, is insolvent or has been terminated, a copy of such notice; (iii) receives notice from the PBGC under Title IV of ERISA of an intent to terminate, impose liability (other than for premiums under Section 4007 of ERISA) in respect of, or appoint a trustee to administer any Plan, a copy of such notice; (iv) applies for a waiver of the minimum funding standard under Section 412 of the Code, a copy of such application; (v) gives notice of intent to terminate any Plan under</w:t>
      </w:r>
    </w:p>
    <w:p>
      <w:pPr>
        <w:spacing w:after="0" w:line="3" w:lineRule="exact"/>
        <w:rPr>
          <w:rFonts w:ascii="Times New Roman" w:cs="Times New Roman" w:eastAsia="Times New Roman" w:hAnsi="Times New Roman"/>
          <w:sz w:val="18"/>
          <w:szCs w:val="18"/>
          <w:color w:val="auto"/>
        </w:rPr>
      </w:pPr>
    </w:p>
    <w:p>
      <w:pPr>
        <w:ind w:right="5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4041(c) of ERISA, a copy of such notice and other information filed with the PBGC; (vi) gives notice of withdrawal from any Plan pursuant to Section 4063 of ERISA, a copy of such notice; or (vii) fails to make any payment or contribution to any Plan or Multiemployer Plan or makes any amendment to any Plan which has resulted or could result in the imposition of a Lien or the posting of a bond or other security, and, in the case of any occurrence covered by any of clauses (i) through (vii) above, which occurrence would reasonably be expected to result in a Material Adverse Effect;</w:t>
      </w:r>
    </w:p>
    <w:p>
      <w:pPr>
        <w:spacing w:after="0" w:line="185" w:lineRule="exact"/>
        <w:rPr>
          <w:rFonts w:ascii="Times New Roman" w:cs="Times New Roman" w:eastAsia="Times New Roman" w:hAnsi="Times New Roman"/>
          <w:sz w:val="18"/>
          <w:szCs w:val="18"/>
          <w:color w:val="auto"/>
        </w:rPr>
      </w:pPr>
    </w:p>
    <w:p>
      <w:pPr>
        <w:ind w:right="20" w:firstLine="656"/>
        <w:spacing w:after="0" w:line="255" w:lineRule="auto"/>
        <w:tabs>
          <w:tab w:leader="none" w:pos="1304"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receipt by the Borrower, or any of the Environmental Affiliates of any communication (written or oral), whether from a Governmental Authority, citizens group, employee or otherwise, that alleges that the Borrower, or any of the Environmental Affiliates, is not in compliance with applicable Environmental Laws, and such noncompliance would reasonably be expected to have a Material Adverse Effect, (ii) the existence of any Environmental Claim pending against the Borrower or any Environmental Affiliate and such Environmental Claim would reasonably be expected to have a Material Adverse Effect or (iii) any release, emission, discharge or disposal of any Hazardous Material that would reasonably be expected to form the basis of any Environmental Claim against the Borrower or any Environmental Affiliate or would reasonably be expected to interfere with the Borrower’s Business or the fair saleable value or use of any of its Properties, which in any such event would reasonably be expected to have a Material Adverse Effect;</w:t>
      </w:r>
    </w:p>
    <w:p>
      <w:pPr>
        <w:spacing w:after="0" w:line="189"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Material Event with respect to, or any material event of default under or related to, any Borrowing Base Asset;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material change in accounting policies or financial reporting practices by the Borrower or any Subsidiary; and</w:t>
      </w:r>
    </w:p>
    <w:p>
      <w:pPr>
        <w:spacing w:after="0" w:line="225" w:lineRule="exact"/>
        <w:rPr>
          <w:rFonts w:ascii="Times New Roman" w:cs="Times New Roman" w:eastAsia="Times New Roman" w:hAnsi="Times New Roman"/>
          <w:sz w:val="18"/>
          <w:szCs w:val="18"/>
          <w:color w:val="auto"/>
        </w:rPr>
      </w:pPr>
    </w:p>
    <w:p>
      <w:pPr>
        <w:ind w:right="260" w:firstLine="656"/>
        <w:spacing w:after="0" w:line="282" w:lineRule="auto"/>
        <w:tabs>
          <w:tab w:leader="none" w:pos="1317"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any announcement by Moody’s, S&amp;P or Fitch of any change or possible change in a Debt Rating;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provisions of this clause (g) shall not apply until the Investment Grade Pricing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-4114800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4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Each notice pursuant to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6.03(g)</w:t>
      </w:r>
      <w:r>
        <w:rPr>
          <w:rFonts w:ascii="Times New Roman" w:cs="Times New Roman" w:eastAsia="Times New Roman" w:hAnsi="Times New Roman"/>
          <w:sz w:val="18"/>
          <w:szCs w:val="18"/>
          <w:color w:val="auto"/>
        </w:rPr>
        <w:t>) shall be accompanied by a statement of a Responsible Officer of the Borrower setting forth details of the occurrence referred to therein and stating what action the Borrower has taken and proposes to</w:t>
      </w:r>
    </w:p>
    <w:p>
      <w:pPr>
        <w:sectPr>
          <w:pgSz w:w="11900" w:h="16838" w:orient="portrait"/>
          <w:cols w:equalWidth="0" w:num="1">
            <w:col w:w="11400"/>
          </w:cols>
          <w:pgMar w:left="240" w:top="337" w:right="259" w:bottom="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 xml:space="preserve">take with respect thereto. Each notice pursuant to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shall describe with particularity any and all provisions of this Agreement and any other Loan Document that have been breached.</w:t>
      </w:r>
    </w:p>
    <w:p>
      <w:pPr>
        <w:spacing w:after="0" w:line="158"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6.04 Payment of Obligations</w:t>
      </w:r>
      <w:r>
        <w:rPr>
          <w:rFonts w:ascii="Times New Roman" w:cs="Times New Roman" w:eastAsia="Times New Roman" w:hAnsi="Times New Roman"/>
          <w:sz w:val="18"/>
          <w:szCs w:val="18"/>
          <w:color w:val="auto"/>
        </w:rPr>
        <w:t>. The Borrower shall, and shall cause each Subsidiary to, pay and discharge as the same shall become due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all its obligations and liabilities, including (a) all federal and state and other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Subsidiary or the failure to pay or discharge would not reasonably be expected to result in a Material Adverse Effect and (b) all lawful claims which, if unpaid, would by law become a Lien upon any Borrowing Base Asset or any Collateral (in each case, other than Permitted Equity Encumbrances and Permitted Property Encumbrances, as applicable).</w:t>
      </w:r>
    </w:p>
    <w:p>
      <w:pPr>
        <w:spacing w:after="0" w:line="183"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6.05 Preservation of Existence, Etc. </w:t>
      </w:r>
      <w:r>
        <w:rPr>
          <w:rFonts w:ascii="Times New Roman" w:cs="Times New Roman" w:eastAsia="Times New Roman" w:hAnsi="Times New Roman"/>
          <w:sz w:val="18"/>
          <w:szCs w:val="18"/>
          <w:color w:val="auto"/>
        </w:rPr>
        <w:t>(a) The Borrower shall, and shall cause each Subsidiary to, preserve, renew and maintain in full force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effect its legal existence and good standing under the Laws of the jurisdiction of its organization except (i) in a transaction permitted by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7.05</w:t>
      </w:r>
      <w:r>
        <w:rPr>
          <w:rFonts w:ascii="Times New Roman" w:cs="Times New Roman" w:eastAsia="Times New Roman" w:hAnsi="Times New Roman"/>
          <w:sz w:val="18"/>
          <w:szCs w:val="18"/>
          <w:color w:val="auto"/>
        </w:rPr>
        <w:t xml:space="preserve"> or (ii) solely in the case of a Subsidiary that is not a Loan Party, to the extent that the failure to do so could not reasonably be expected to have a Material Adverse Effect and (b) take all reasonable action to maintain all rights, privileges, permits, licenses and franchises necessary or desirable in the normal conduct of its business, except to the extent that failure to do so would not reasonably be expected to have a Material Adverse Effect.</w:t>
      </w:r>
    </w:p>
    <w:p>
      <w:pPr>
        <w:spacing w:after="0" w:line="180" w:lineRule="exact"/>
        <w:rPr>
          <w:sz w:val="20"/>
          <w:szCs w:val="20"/>
          <w:color w:val="auto"/>
        </w:rPr>
      </w:pPr>
    </w:p>
    <w:p>
      <w:pPr>
        <w:ind w:right="2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6.06 Maintenance of Properties</w:t>
      </w:r>
      <w:r>
        <w:rPr>
          <w:rFonts w:ascii="Times New Roman" w:cs="Times New Roman" w:eastAsia="Times New Roman" w:hAnsi="Times New Roman"/>
          <w:sz w:val="18"/>
          <w:szCs w:val="18"/>
          <w:color w:val="auto"/>
        </w:rPr>
        <w:t>. The Borrower shall or shall cause (a) all properties of the Consolidated Group (including each of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respective Real Property Assets and equipment necessary in the operation of its business) to be maintained, preserved and protected in good working order and condition, ordinary wear and tear and casualty and condemnation excepted and (b) to be made all necessary repairs thereto and renewals and replacements thereof except, in each case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where the failure to do so would not, individually or in the aggregate, reasonably be expected to have a Material Adverse Effect.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6.07</w:t>
      </w:r>
      <w:r>
        <w:rPr>
          <w:sz w:val="20"/>
          <w:szCs w:val="20"/>
          <w:color w:val="auto"/>
        </w:rPr>
        <w:tab/>
      </w:r>
      <w:r>
        <w:rPr>
          <w:rFonts w:ascii="Times New Roman" w:cs="Times New Roman" w:eastAsia="Times New Roman" w:hAnsi="Times New Roman"/>
          <w:sz w:val="18"/>
          <w:szCs w:val="18"/>
          <w:b w:val="1"/>
          <w:bCs w:val="1"/>
          <w:color w:val="auto"/>
        </w:rPr>
        <w:t>Maintenance of Insurance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20" w:firstLine="656"/>
        <w:spacing w:after="0" w:line="255" w:lineRule="auto"/>
        <w:tabs>
          <w:tab w:leader="none" w:pos="129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requirements of </w:t>
      </w:r>
      <w:r>
        <w:rPr>
          <w:rFonts w:ascii="Times New Roman" w:cs="Times New Roman" w:eastAsia="Times New Roman" w:hAnsi="Times New Roman"/>
          <w:sz w:val="18"/>
          <w:szCs w:val="18"/>
          <w:u w:val="single" w:color="auto"/>
          <w:color w:val="auto"/>
        </w:rPr>
        <w:t>Section 6.07(b)</w:t>
      </w:r>
      <w:r>
        <w:rPr>
          <w:rFonts w:ascii="Times New Roman" w:cs="Times New Roman" w:eastAsia="Times New Roman" w:hAnsi="Times New Roman"/>
          <w:sz w:val="18"/>
          <w:szCs w:val="18"/>
          <w:color w:val="auto"/>
        </w:rPr>
        <w:t xml:space="preserve"> with respect to Collateral, the Borrower shall maintain or cause to be maintained, with financially sound and reputable insurance companies not Affiliates of the Borrower, insurance with respect to properties of the Consolidated Parties and businesses against loss or damage of the kinds customarily insured against by Persons engaged in the same or similar business and owning similar properties in localities where the Borrower or the applicable Consolidated Party operates, of such types and covering such risks, and in such amounts and with such deductibles, as are customarily carried under similar circumstances by such other Persons. Upon the reasonable request of the Administrative Agent from time to time the Borrower shall furnish or cause to be furnished to the Administrative Agent certificates of insurance evidencing the insurance carried on the properties of the Consolidated Parties.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56"/>
        <w:spacing w:after="0" w:line="267" w:lineRule="auto"/>
        <w:tabs>
          <w:tab w:leader="none" w:pos="1304" w:val="left"/>
        </w:tabs>
        <w:numPr>
          <w:ilvl w:val="1"/>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each Real Property Asset that constitutes Collateral, the Borrower shall, and shall cause each Subsidiary to, or shall cause the lessee or mortgagor with respect to such Real Property Asset to, maintain: (i) property insurance with respect to all Improvements and other insurable components of such Real Property Asset (excluding anything not owned by the applicable Direct Owner), against loss or damage by fire, lightning, windstorm, explosion, hail, tornado and such additional hazards as are presently included in “Special Form” (also known as “all-risk”) coverage and against any and all acts of terrorism and such other insurable hazards as the Administrative Agent may require, in an amount not less than 100% of the full replacement cost, including the cost of debris removal, without deduction for depreciation and sufficient to prevent any Consolidated Party and the Administrative Agent from becoming a coinsurer, such insurance to be in “builder’s risk” completed value (non reporting) form during and with respect to any construction on such Real Property Asset; (ii) if and to the extent any portion of the Improvements on such Real Property Asset is, under the FDPA, in a Special Flood Hazard Area, within a Flood Zone designated A or V in a participating community, a flood insurance policy in an amount at least equal to the amount (as determined by the Administrative Agent in good faith) sufficient to meet the requirements of applicable Law and the FDPA, as such requirements may from time to time be in effect; (iii) general liability insurance, on an “occurrence” basis, against claims for “personal injury” liability, including bodily injury, death or property damage liability, for the benefit of the applicable Direct Owner as named insured and the Administrative Agent as additional insured;</w:t>
      </w:r>
    </w:p>
    <w:p>
      <w:pPr>
        <w:spacing w:after="0" w:line="1" w:lineRule="exact"/>
        <w:rPr>
          <w:rFonts w:ascii="Times New Roman" w:cs="Times New Roman" w:eastAsia="Times New Roman" w:hAnsi="Times New Roman"/>
          <w:sz w:val="17"/>
          <w:szCs w:val="17"/>
          <w:color w:val="auto"/>
        </w:rPr>
      </w:pPr>
    </w:p>
    <w:p>
      <w:pPr>
        <w:ind w:firstLine="8"/>
        <w:spacing w:after="0" w:line="251" w:lineRule="auto"/>
        <w:tabs>
          <w:tab w:leader="none" w:pos="30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workers’ compensation insurance with respect to any work on or about such Real Property Asset (including employer’s liability insurance, if required by the Administrative Agent), covering all employees of each Subsidiary Guarantor (if any); (v) business interruption for Landlord’s rental income in an amount not less than the amount of gross rents payable in a 12 month period and which shall provide an extended period of indemnity endorsement for 360 days on an actual loss sustained basis; and (vi) such other insurance on such Real Property Asset and endorsements as may from time to time be required by the Administrative Agent (including automobile liability insurance, boiler and machinery insurance, earthquake insurance, wind insurance, sinkhole coverage, and/or permit to occupy endorsement) and against other insurable hazards or casualties which at the time are commonly insured against in the case of premises similarly situated, due regard being given to the height, type, construction, location, use and occupancy of buildings and improvements. All insurance policies shall be issued and maintained by insurers, in amounts, with deductibles, limits and retentions, and in forms reasonably satisfactory to the Administrative Agent, and shall require not less than thirty (30) days’ prior notice to the Administrative Agent of termination, lapse or cancellation of such insurance. All insurance companies must be licensed to do business in the state in which such Real Property Asset is located and must have an A.M. Best Company financial and performance ratings of A-:IX or better. All such insurance policies, except for general liability insurance, shall provide that each such policy shall be primary without right of contribution from any other insurance that may be carried by the Borrower, any of its Subsidiaries or the Administrative Agent and that all of the provisions thereof, except the limits of liability, shall operate in the same manner as if there were a separate policy covering each</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insured. If any insurer which has issued a policy of title, hazard, liability or other insurance required pursuant to this Agreement or any other Loan Document becomes insolvent or the subject of any petition, case, proceeding or other action pursuant to any Debtor Relief Law, or if in the Administrative Agent’s reasonable opinion the financial responsibility of such insurer is or becomes inadequate, the Borrower shall, in each instance promptly upon its discovery thereof or upon the written request of the Administrative Agent therefor, and at the Borrower’s expense, promptly obtain and deliver to the Administrative</w:t>
      </w:r>
    </w:p>
    <w:p>
      <w:pPr>
        <w:sectPr>
          <w:pgSz w:w="11900" w:h="16838" w:orient="portrait"/>
          <w:cols w:equalWidth="0" w:num="1">
            <w:col w:w="11420"/>
          </w:cols>
          <w:pgMar w:left="240" w:top="121" w:right="239" w:bottom="0" w:gutter="0" w:footer="0" w:header="0"/>
        </w:sectPr>
      </w:pPr>
    </w:p>
    <w:bookmarkStart w:id="93" w:name="page94"/>
    <w:bookmarkEnd w:id="93"/>
    <w:p>
      <w:pPr>
        <w:spacing w:after="0" w:line="4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Agent a like policy (or, if and to the extent permitted by the Administrative Agent, acceptable evidence of insurance) issued by another insurer, which insurer and policy meet the requirements of this Agreement or such other Loan Document, as the case may be. Without limiting the discretion of the Administrative Agent with respect to required endorsements to insurance policies, all such policies for loss of or damage to such Real Property Asset (including business interruption and delayed rental insurance) shall contain a standard mortgagee clause (without contribution) naming the Administrative Agent as mortgagee and loss payee with loss proceeds payable to the Administrative Agent notwithstanding (w) any act, failure to act or negligence of or violation of any warranty, declaration or condition contained in any such policy by any named or additional insured; (x) the occupation or use of such Real Property Asset for purposes more hazardous than permitted by the terms of any such policy; (y) any foreclosure or other action by the Administrative Agent under the Loan Documents; or (z) any change in title to or ownership of such Real Property Asset or any portion thereof, such proceeds to be held for application as provided in the Loan Documents. The Borrower shall pay or cause to be paid all premiums on policies required hereunder as they become due and payable. If any loss occurs at any time when the Borrower has failed to perform the Borrower’s covenants and agreements in this </w:t>
      </w:r>
      <w:r>
        <w:rPr>
          <w:rFonts w:ascii="Times New Roman" w:cs="Times New Roman" w:eastAsia="Times New Roman" w:hAnsi="Times New Roman"/>
          <w:sz w:val="18"/>
          <w:szCs w:val="18"/>
          <w:u w:val="single" w:color="auto"/>
          <w:color w:val="auto"/>
        </w:rPr>
        <w:t>Section 6.07(b)</w:t>
      </w:r>
      <w:r>
        <w:rPr>
          <w:rFonts w:ascii="Times New Roman" w:cs="Times New Roman" w:eastAsia="Times New Roman" w:hAnsi="Times New Roman"/>
          <w:sz w:val="18"/>
          <w:szCs w:val="18"/>
          <w:color w:val="auto"/>
        </w:rPr>
        <w:t xml:space="preserve"> with respect to any insurance payable because of loss sustained to any part of such Real Property Asset whether or not such insurance is required by the Administrative Agent, the Administrative Agent shall nevertheless be entitled to the benefit of all insurance covering the loss and held by or for any Consolidated Party to the same extent as if it had been made payable to the Administrative Agent.</w:t>
      </w:r>
    </w:p>
    <w:p>
      <w:pPr>
        <w:spacing w:after="0" w:line="189" w:lineRule="exact"/>
        <w:rPr>
          <w:sz w:val="20"/>
          <w:szCs w:val="20"/>
          <w:color w:val="auto"/>
        </w:rPr>
      </w:pPr>
    </w:p>
    <w:p>
      <w:pPr>
        <w:ind w:right="20" w:firstLine="656"/>
        <w:spacing w:after="0" w:line="257" w:lineRule="auto"/>
        <w:tabs>
          <w:tab w:leader="none" w:pos="1307"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(i) deliver to the Administrative Agent the certificates evidencing each renewal or substitute insurance policy required pursuant to </w:t>
      </w:r>
      <w:r>
        <w:rPr>
          <w:rFonts w:ascii="Times New Roman" w:cs="Times New Roman" w:eastAsia="Times New Roman" w:hAnsi="Times New Roman"/>
          <w:sz w:val="18"/>
          <w:szCs w:val="18"/>
          <w:u w:val="single" w:color="auto"/>
          <w:color w:val="auto"/>
        </w:rPr>
        <w:t>Section 6.07(b)</w:t>
      </w:r>
      <w:r>
        <w:rPr>
          <w:rFonts w:ascii="Times New Roman" w:cs="Times New Roman" w:eastAsia="Times New Roman" w:hAnsi="Times New Roman"/>
          <w:sz w:val="18"/>
          <w:szCs w:val="18"/>
          <w:color w:val="auto"/>
        </w:rPr>
        <w:t xml:space="preserve"> (or to the extent permitted by the Administrative Agent, a copy of the original policy and such evidence of insurance acceptable to the Administrative Agent), with all premiums fully paid current, at least ten (10) days before the termination of the policy it renews or replaces and</w:t>
      </w:r>
    </w:p>
    <w:p>
      <w:pPr>
        <w:spacing w:after="0" w:line="1" w:lineRule="exact"/>
        <w:rPr>
          <w:rFonts w:ascii="Times New Roman" w:cs="Times New Roman" w:eastAsia="Times New Roman" w:hAnsi="Times New Roman"/>
          <w:sz w:val="18"/>
          <w:szCs w:val="18"/>
          <w:color w:val="auto"/>
        </w:rPr>
      </w:pPr>
    </w:p>
    <w:p>
      <w:pPr>
        <w:ind w:right="360" w:firstLine="8"/>
        <w:spacing w:after="0" w:line="261" w:lineRule="auto"/>
        <w:tabs>
          <w:tab w:leader="none" w:pos="26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deliver to the Administrative Agent evidence satisfactory to the Administrative Agent of the timely payment of all premiums on the policies required pursuant to </w:t>
      </w:r>
      <w:r>
        <w:rPr>
          <w:rFonts w:ascii="Times New Roman" w:cs="Times New Roman" w:eastAsia="Times New Roman" w:hAnsi="Times New Roman"/>
          <w:sz w:val="18"/>
          <w:szCs w:val="18"/>
          <w:u w:val="single" w:color="auto"/>
          <w:color w:val="auto"/>
        </w:rPr>
        <w:t>Section 6.07(b)</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340" w:firstLine="656"/>
        <w:spacing w:after="0" w:line="266" w:lineRule="auto"/>
        <w:tabs>
          <w:tab w:leader="none" w:pos="1304"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and shall cause each Subsidiary to, comply or cause compliance with the requirements of the insurance policies required hereunder and of the issuers of such policies and of any board of fire underwriters or similar body as applicable to or affecting any Real Property Asset constituting Collateral.</w:t>
      </w:r>
    </w:p>
    <w:p>
      <w:pPr>
        <w:spacing w:after="0" w:line="176" w:lineRule="exact"/>
        <w:rPr>
          <w:rFonts w:ascii="Times New Roman" w:cs="Times New Roman" w:eastAsia="Times New Roman" w:hAnsi="Times New Roman"/>
          <w:sz w:val="18"/>
          <w:szCs w:val="18"/>
          <w:color w:val="auto"/>
        </w:rPr>
      </w:pPr>
    </w:p>
    <w:p>
      <w:pPr>
        <w:ind w:firstLine="656"/>
        <w:spacing w:after="0" w:line="266" w:lineRule="auto"/>
        <w:tabs>
          <w:tab w:leader="none" w:pos="1307"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may retain, at the Borrower’s sole expense, an independent insurance consultant to evaluate the sufficiency of the insurance to be carried pursuant to </w:t>
      </w:r>
      <w:r>
        <w:rPr>
          <w:rFonts w:ascii="Times New Roman" w:cs="Times New Roman" w:eastAsia="Times New Roman" w:hAnsi="Times New Roman"/>
          <w:sz w:val="18"/>
          <w:szCs w:val="18"/>
          <w:u w:val="single" w:color="auto"/>
          <w:color w:val="auto"/>
        </w:rPr>
        <w:t>Section 6.07(b)</w:t>
      </w:r>
      <w:r>
        <w:rPr>
          <w:rFonts w:ascii="Times New Roman" w:cs="Times New Roman" w:eastAsia="Times New Roman" w:hAnsi="Times New Roman"/>
          <w:sz w:val="18"/>
          <w:szCs w:val="18"/>
          <w:color w:val="auto"/>
        </w:rPr>
        <w:t xml:space="preserve"> and to advise the Administrative Agent with respect to such other insurance as may be necessary and prudent to protect the Secured Parties’ security for repayment of the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so long as no Event of Default shall have occurred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 continuing, the Borrower shall only be obligated to pay for such independent evaluation one (1) time per calendar year.</w:t>
      </w:r>
    </w:p>
    <w:p>
      <w:pPr>
        <w:spacing w:after="0" w:line="225" w:lineRule="exact"/>
        <w:rPr>
          <w:sz w:val="20"/>
          <w:szCs w:val="20"/>
          <w:color w:val="auto"/>
        </w:rPr>
      </w:pPr>
    </w:p>
    <w:p>
      <w:pPr>
        <w:ind w:right="40" w:firstLine="656"/>
        <w:spacing w:after="0" w:line="252" w:lineRule="auto"/>
        <w:tabs>
          <w:tab w:leader="none" w:pos="1301"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any foreclosure of any Mortgage or transfer of title to any Real Property Asset in extinguishment of the whole or any part of the Obligations, all of the Loan Parties’ right, title and interest in and to the insurance policies referred to in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(including unearned premiums) and all Insurance Proceeds payable thereunder shall thereupon vest in the purchaser at foreclosure or other such transferee, to the extent permissible under such policies. Upon the occurrence and during the continuance of an Event of Default, the Administrative Agent shall have the right (but not the obligation) to make proof of loss for, settle and adjust any claim under, and receive all Insurance Proceeds for loss of or damage to each Real Property Asset constituting Collateral, regardless of whether or not any insurance policies are required by the Administrative Agent, and the expenses incurred by the Administrative Agent, including reasonable attorneys’ fees, in the adjustment and collection of insurance proceeds shall be a part of the Obligations and shall be due and payable to the Administrative Agent on demand. The Administrative Agent shall not be, under any circumstances, liable or responsible for failure to collect or exercise diligence in the collection of any of such proceeds or for the obtaining, maintaining or adequacy of any insurance or for failure to see to the proper application of any amount paid over to any Loan Party unless determined by a court of competent jurisdiction by a final and nonappealable judgment to arise from the bad faith, gross negligence or willful misconduct of the Administrative Agent. Upon the occurrence and during the continuance of an Event of Default, any Insurance Proceeds received by the Administrative Agent shall, after deduction therefrom of all expenses incurred by the Administrative Agent, including reasonable attorneys’ fees, at the Administrative Agent’s option be (i) released to the Borrower, (ii) applied (upon compliance with such terms and conditions as may be required by the Administrative Agent) to the restoration, either partly or entirely, of the Real Property Asset so damaged, or (iii) applied to the payment of the Obligations in such order and manner as the Administrative Agent, in its sole discretion, may elect, whether or not due. In any event, the unpaid portion of the Obligations shall remain in full force and effect and the payment thereof shall not be excused.</w:t>
      </w:r>
    </w:p>
    <w:p>
      <w:pPr>
        <w:spacing w:after="0" w:line="192"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6.08 Compliance with Laws</w:t>
      </w:r>
      <w:r>
        <w:rPr>
          <w:rFonts w:ascii="Times New Roman" w:cs="Times New Roman" w:eastAsia="Times New Roman" w:hAnsi="Times New Roman"/>
          <w:sz w:val="18"/>
          <w:szCs w:val="18"/>
          <w:color w:val="auto"/>
        </w:rPr>
        <w:t>. The Borrower shall, and shall cause each Subsidiary to, comply with all Laws and requirements of Governmental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Authorities (including, without limitation, Environmental Laws and all zoning and building codes with respect to its Real Property Assets and ERISA and the rules and regulations thereunder and all federal securities laws) except where (i) the necessity of compliance therewith is contested in good faith by appropriate proceedings or (ii) the failure to do so would not reasonably be expected to have a Material Adverse Effect or expose the Administrative Agent or Lenders to any material liability therefor.</w:t>
      </w:r>
    </w:p>
    <w:p>
      <w:pPr>
        <w:spacing w:after="0" w:line="180"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6.09 Books and Records</w:t>
      </w:r>
      <w:r>
        <w:rPr>
          <w:rFonts w:ascii="Times New Roman" w:cs="Times New Roman" w:eastAsia="Times New Roman" w:hAnsi="Times New Roman"/>
          <w:sz w:val="18"/>
          <w:szCs w:val="18"/>
          <w:color w:val="auto"/>
        </w:rPr>
        <w:t>. The Borrower shall, and shall cause each Subsidiary to, maintain proper books of record and account, in which full,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true and correct entries in conformity with GAAP consistently applied shall be made of all financial transactions and matters involving the assets and business of the Borrower or such Subsidiary, as the case may be.</w:t>
      </w:r>
    </w:p>
    <w:p>
      <w:pPr>
        <w:spacing w:after="0" w:line="171" w:lineRule="exact"/>
        <w:rPr>
          <w:sz w:val="20"/>
          <w:szCs w:val="20"/>
          <w:color w:val="auto"/>
        </w:rPr>
      </w:pPr>
    </w:p>
    <w:p>
      <w:pPr>
        <w:ind w:right="4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6.10 Inspection Rights</w:t>
      </w:r>
      <w:r>
        <w:rPr>
          <w:rFonts w:ascii="Times New Roman" w:cs="Times New Roman" w:eastAsia="Times New Roman" w:hAnsi="Times New Roman"/>
          <w:sz w:val="18"/>
          <w:szCs w:val="18"/>
          <w:color w:val="auto"/>
        </w:rPr>
        <w:t>. The Borrower shall, and shall cause each Subsidiary to, permit representatives and independent contractors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Agent and each Lender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on five (5) Business Days’ advance notice to the Borrower, to visit and inspect, subject to the rights of the lessees under Ground Net Leases, any of its properties, to examine its corporate, financial and operating records, and make copies thereof or abstracts therefrom, and to discuss its affairs, finances and accounts with its directors, officers, and independent public accountants, in the case of Real Estate Assets subject to a Ground Net Lease, subject, except with respect to examining its corporate, financial and operating records, to the rights of the lessees under such Ground Net Leases, all at the expense of the Borrower and at such reasonable times during normal business hours, upon reasonable advance notice to the Borrower (and with the Borrower and its representatives in attendance);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an Event of Default has occurred and is continuing, such visits shall be limited to once in any calendar year and only one such visit by the Administrative Agent per calendar year shall be at the expense of the Borrower;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the Administrative Agent, the Lenders and their representatives shall use commercially reasonable efforts to minimize disruption with the business of the lessees under the Ground Net Leases and disturbance of such lessees in violation of the applicable Ground Net Leases.</w:t>
      </w:r>
    </w:p>
    <w:p>
      <w:pPr>
        <w:sectPr>
          <w:pgSz w:w="11900" w:h="16879" w:orient="portrait"/>
          <w:cols w:equalWidth="0" w:num="1">
            <w:col w:w="11420"/>
          </w:cols>
          <w:pgMar w:left="240" w:top="121" w:right="239" w:bottom="0" w:gutter="0" w:footer="0" w:header="0"/>
        </w:sectPr>
      </w:pPr>
    </w:p>
    <w:bookmarkStart w:id="94" w:name="page95"/>
    <w:bookmarkEnd w:id="94"/>
    <w:p>
      <w:pPr>
        <w:spacing w:after="0" w:line="32"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6.11 Use of Proceeds</w:t>
      </w:r>
      <w:r>
        <w:rPr>
          <w:rFonts w:ascii="Times New Roman" w:cs="Times New Roman" w:eastAsia="Times New Roman" w:hAnsi="Times New Roman"/>
          <w:sz w:val="18"/>
          <w:szCs w:val="18"/>
          <w:color w:val="auto"/>
        </w:rPr>
        <w:t>. The Borrower shall, and shall cause each Subsidiary to, use the proceeds of the Credit Extensions for general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not in contravention of any Law or of any Loan Document.</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6.12</w:t>
      </w:r>
      <w:r>
        <w:rPr>
          <w:sz w:val="20"/>
          <w:szCs w:val="20"/>
          <w:color w:val="auto"/>
        </w:rPr>
        <w:tab/>
      </w:r>
      <w:r>
        <w:rPr>
          <w:rFonts w:ascii="Times New Roman" w:cs="Times New Roman" w:eastAsia="Times New Roman" w:hAnsi="Times New Roman"/>
          <w:sz w:val="17"/>
          <w:szCs w:val="17"/>
          <w:b w:val="1"/>
          <w:bCs w:val="1"/>
          <w:color w:val="auto"/>
        </w:rPr>
        <w:t>Springing Mortgage Requirement; Additional Subsidiary Guarantors.</w:t>
      </w:r>
    </w:p>
    <w:p>
      <w:pPr>
        <w:spacing w:after="0" w:line="229" w:lineRule="exact"/>
        <w:rPr>
          <w:sz w:val="20"/>
          <w:szCs w:val="20"/>
          <w:color w:val="auto"/>
        </w:rPr>
      </w:pPr>
    </w:p>
    <w:p>
      <w:pPr>
        <w:ind w:right="80" w:firstLine="656"/>
        <w:spacing w:after="0" w:line="261" w:lineRule="auto"/>
        <w:tabs>
          <w:tab w:leader="none" w:pos="1294"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(x) a Springing Mortgage Covenant Event relating to clause (a) or (b) of the definition thereof, the Borrower shall cause the Direct Owner of each Borrowing Base Asset or (y), a Springing Mortgage Covenant Event relating to clause (c) of the definition thereof, the Borrower shall cause the Direct Owner of the applicable Borrowing Base Asset, to promptly (and in any event within sixty (60) days thereafter (or such later date as the Administrative Agent may agree in writing) execute (as applicable) and/or deliver to the Administrative Agent:</w:t>
      </w:r>
    </w:p>
    <w:p>
      <w:pPr>
        <w:spacing w:after="0" w:line="180" w:lineRule="exact"/>
        <w:rPr>
          <w:rFonts w:ascii="Times New Roman" w:cs="Times New Roman" w:eastAsia="Times New Roman" w:hAnsi="Times New Roman"/>
          <w:sz w:val="18"/>
          <w:szCs w:val="18"/>
          <w:color w:val="auto"/>
        </w:rPr>
      </w:pPr>
    </w:p>
    <w:p>
      <w:pPr>
        <w:ind w:left="660" w:firstLine="645"/>
        <w:spacing w:after="0" w:line="254" w:lineRule="auto"/>
        <w:tabs>
          <w:tab w:leader="none" w:pos="1978"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Mortgage, in form and substance reasonably satisfactory to the Administrative Agent, with the maximum secured amount recoverable in any jurisdiction imposing a mortgage recording, documentary stamp, intangibles or similar tax limited to the Appraised Value of such Borrowing Base Asset and subject only to such other modifications as may be required under local law, and/or such other Collateral Documents, in form and substance reasonably satisfactory to the Administrative Agent, as may be reasonably requested by the Administrative Agent, in each case together with related Uniform Commercial Code financing statements and instruments of transfer required by law or reasonably requested by the Administrative Agent to be filed in order to create in favor of the Administrative Agent a first priority perfected lien in such Borrowing Base Asset and in such other Collateral in connection therewith, and, in the case of a Loan Asset, to effect a transfer of the underlying loan and note documents to be possessed by the Administrative Agent, all of which shall be delivered to be so possessed and/or properly filed, registered or recorded in each jurisdiction in which the filing, registration or recordation thereof is so required or reasonably requested (and all mortgage recording or similar taxes, and all fees and charges in connection with such filing, registration or recording shall be paid);</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80" w:firstLine="645"/>
        <w:spacing w:after="0" w:line="282" w:lineRule="auto"/>
        <w:tabs>
          <w:tab w:leader="none" w:pos="1987"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joinder agreement in substantially the form attached hereto as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(in each case to the extent such Direct Owner is not already a Subsidiary Guarantor)</w:t>
      </w:r>
    </w:p>
    <w:p>
      <w:pPr>
        <w:spacing w:after="0" w:line="161" w:lineRule="exact"/>
        <w:rPr>
          <w:rFonts w:ascii="Times New Roman" w:cs="Times New Roman" w:eastAsia="Times New Roman" w:hAnsi="Times New Roman"/>
          <w:sz w:val="18"/>
          <w:szCs w:val="18"/>
          <w:color w:val="auto"/>
        </w:rPr>
      </w:pPr>
    </w:p>
    <w:p>
      <w:pPr>
        <w:ind w:left="660" w:right="20" w:firstLine="645"/>
        <w:spacing w:after="0" w:line="266" w:lineRule="auto"/>
        <w:tabs>
          <w:tab w:leader="none" w:pos="1997"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documents and certificates as Administrative Agent may reasonably request relating to the organization, existence and good standing of the Direct Owner of such Borrowing Base Asset, and the authorization of the transactions and documents described in this Section, all in form and substance satisfactory to the Administrative Agent (in each case, to the extent not already executed and/or delivered);</w:t>
      </w:r>
    </w:p>
    <w:p>
      <w:pPr>
        <w:spacing w:after="0" w:line="176" w:lineRule="exact"/>
        <w:rPr>
          <w:rFonts w:ascii="Times New Roman" w:cs="Times New Roman" w:eastAsia="Times New Roman" w:hAnsi="Times New Roman"/>
          <w:sz w:val="18"/>
          <w:szCs w:val="18"/>
          <w:color w:val="auto"/>
        </w:rPr>
      </w:pPr>
    </w:p>
    <w:p>
      <w:pPr>
        <w:ind w:left="660" w:right="20" w:firstLine="645"/>
        <w:spacing w:after="0" w:line="258" w:lineRule="auto"/>
        <w:tabs>
          <w:tab w:leader="none" w:pos="1973"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written legal opinions of counsel for the Loan Parties, covering matters customarily addressed in connection with the grant of a real estate mortgage and relating to the documents delivered pursuant to this Section as the Administrative Agent shall reasonably request, including favorable customary written opinions from local counsel to the Loan Parties in the jurisdiction in which any Collateral Documents or Uniform Commercial Code financing statements are to be filed, confirming the creation and perfection of the liens on and security interests in the Collateral, in form and substance satisfactory to the Administrative Agent;</w:t>
      </w:r>
    </w:p>
    <w:p>
      <w:pPr>
        <w:spacing w:after="0" w:line="183" w:lineRule="exact"/>
        <w:rPr>
          <w:rFonts w:ascii="Times New Roman" w:cs="Times New Roman" w:eastAsia="Times New Roman" w:hAnsi="Times New Roman"/>
          <w:sz w:val="18"/>
          <w:szCs w:val="18"/>
          <w:color w:val="auto"/>
        </w:rPr>
      </w:pPr>
    </w:p>
    <w:p>
      <w:pPr>
        <w:ind w:left="660" w:right="160" w:firstLine="645"/>
        <w:spacing w:after="0" w:line="261" w:lineRule="auto"/>
        <w:tabs>
          <w:tab w:leader="none" w:pos="1964"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title insurance policy and modifications to the existing “tie-in” endorsements, to the extent available, contained in the existing title insurance policies for such Borrowing Base Asset, in each case, in form and substance satisfactory to the Administrative Agent with the effect that, pursuant to such “tie-in” endorsements, the lien of the Mortgage on such Borrowing Base Asset, is insured for the aggregate of the amount of the individual title insurance policies, to the extent available;</w:t>
      </w:r>
    </w:p>
    <w:p>
      <w:pPr>
        <w:spacing w:after="0" w:line="180" w:lineRule="exact"/>
        <w:rPr>
          <w:rFonts w:ascii="Times New Roman" w:cs="Times New Roman" w:eastAsia="Times New Roman" w:hAnsi="Times New Roman"/>
          <w:sz w:val="18"/>
          <w:szCs w:val="18"/>
          <w:color w:val="auto"/>
        </w:rPr>
      </w:pPr>
    </w:p>
    <w:p>
      <w:pPr>
        <w:ind w:left="660" w:right="200" w:firstLine="645"/>
        <w:spacing w:after="0" w:line="266" w:lineRule="auto"/>
        <w:tabs>
          <w:tab w:leader="none" w:pos="1973"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no Improvements located on the Ground Net Lease Asset or the underlying mortgaged Real Property Asset, as applicable, are located within a Special Flood Hazard Area or, if any are, evidence that the flood insurance prescribed herein has been obtained, in each case, in form and substance satisfactory to the Administrative Agent;</w:t>
      </w:r>
    </w:p>
    <w:p>
      <w:pPr>
        <w:spacing w:after="0" w:line="176" w:lineRule="exact"/>
        <w:rPr>
          <w:rFonts w:ascii="Times New Roman" w:cs="Times New Roman" w:eastAsia="Times New Roman" w:hAnsi="Times New Roman"/>
          <w:sz w:val="18"/>
          <w:szCs w:val="18"/>
          <w:color w:val="auto"/>
        </w:rPr>
      </w:pPr>
    </w:p>
    <w:p>
      <w:pPr>
        <w:ind w:left="660" w:right="180" w:firstLine="645"/>
        <w:spacing w:after="0" w:line="282" w:lineRule="auto"/>
        <w:tabs>
          <w:tab w:leader="none" w:pos="1983"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in form and substance satisfactory to the Administrative Agent, that all insurance policies required to be in effect with respect to such Borrowing Base Asset pursuant to the terms of this Agreement are in effect;</w:t>
      </w:r>
    </w:p>
    <w:p>
      <w:pPr>
        <w:spacing w:after="0" w:line="161" w:lineRule="exact"/>
        <w:rPr>
          <w:rFonts w:ascii="Times New Roman" w:cs="Times New Roman" w:eastAsia="Times New Roman" w:hAnsi="Times New Roman"/>
          <w:sz w:val="18"/>
          <w:szCs w:val="18"/>
          <w:color w:val="auto"/>
        </w:rPr>
      </w:pPr>
    </w:p>
    <w:p>
      <w:pPr>
        <w:ind w:left="660" w:right="20" w:firstLine="645"/>
        <w:spacing w:after="0" w:line="256" w:lineRule="auto"/>
        <w:tabs>
          <w:tab w:leader="none" w:pos="1992"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the Administrative Agent, a physical inspection report addressed to the Administrative Agent prepared by an architect or engineer acceptable to the Administrative Agent and which physical inspection report shall be dated no more than ninety (90) days prior to the date of delivery thereof and shall otherwise be in form and substance satisfactory to the Administrative Agent and in accordance with its guidelines (or if no such guidelines exist, generally accepted industry standards), including a certification by a qualified engineer of such firm that such engineer has made an on-site physical examination of such Borrowing Base Asset, and including the estimated cost of any repair, improvement or other action;</w:t>
      </w:r>
    </w:p>
    <w:p>
      <w:pPr>
        <w:spacing w:after="0" w:line="187" w:lineRule="exact"/>
        <w:rPr>
          <w:rFonts w:ascii="Times New Roman" w:cs="Times New Roman" w:eastAsia="Times New Roman" w:hAnsi="Times New Roman"/>
          <w:sz w:val="18"/>
          <w:szCs w:val="18"/>
          <w:color w:val="auto"/>
        </w:rPr>
      </w:pPr>
    </w:p>
    <w:p>
      <w:pPr>
        <w:ind w:left="660" w:right="280" w:firstLine="645"/>
        <w:spacing w:after="0" w:line="282" w:lineRule="auto"/>
        <w:tabs>
          <w:tab w:leader="none" w:pos="1973"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estoppels, opinions, information and materials, including any supplements, updates, bring downs and/or more recently prepared or dated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00"/>
        <w:spacing w:after="0" w:line="266" w:lineRule="auto"/>
        <w:rPr>
          <w:sz w:val="20"/>
          <w:szCs w:val="20"/>
          <w:color w:val="auto"/>
        </w:rPr>
      </w:pPr>
      <w:r>
        <w:rPr>
          <w:rFonts w:ascii="Times New Roman" w:cs="Times New Roman" w:eastAsia="Times New Roman" w:hAnsi="Times New Roman"/>
          <w:sz w:val="18"/>
          <w:szCs w:val="18"/>
          <w:color w:val="auto"/>
        </w:rPr>
        <w:t xml:space="preserve">versions of any items described in </w:t>
      </w:r>
      <w:r>
        <w:rPr>
          <w:rFonts w:ascii="Times New Roman" w:cs="Times New Roman" w:eastAsia="Times New Roman" w:hAnsi="Times New Roman"/>
          <w:sz w:val="18"/>
          <w:szCs w:val="18"/>
          <w:u w:val="single" w:color="auto"/>
          <w:color w:val="auto"/>
        </w:rPr>
        <w:t>Section 2.18(a)</w:t>
      </w:r>
      <w:r>
        <w:rPr>
          <w:rFonts w:ascii="Times New Roman" w:cs="Times New Roman" w:eastAsia="Times New Roman" w:hAnsi="Times New Roman"/>
          <w:sz w:val="18"/>
          <w:szCs w:val="18"/>
          <w:color w:val="auto"/>
        </w:rPr>
        <w:t xml:space="preserve"> and delivered on or prior to the Closing Date or pursuant </w:t>
      </w:r>
      <w:r>
        <w:rPr>
          <w:rFonts w:ascii="Times New Roman" w:cs="Times New Roman" w:eastAsia="Times New Roman" w:hAnsi="Times New Roman"/>
          <w:sz w:val="18"/>
          <w:szCs w:val="18"/>
          <w:u w:val="single" w:color="auto"/>
          <w:color w:val="auto"/>
        </w:rPr>
        <w:t>Section 2.18(a)</w:t>
      </w:r>
      <w:r>
        <w:rPr>
          <w:rFonts w:ascii="Times New Roman" w:cs="Times New Roman" w:eastAsia="Times New Roman" w:hAnsi="Times New Roman"/>
          <w:sz w:val="18"/>
          <w:szCs w:val="18"/>
          <w:color w:val="auto"/>
        </w:rPr>
        <w:t>, in each case without giving effect to whether the Investment Grade Release has occurred, with respect to such Borrowing Base Asset (each, in form and substance satisfactory to Administrative Agent), as may be reasonably requested by Administrative Agent; and</w:t>
      </w:r>
    </w:p>
    <w:p>
      <w:pPr>
        <w:spacing w:after="0" w:line="176" w:lineRule="exact"/>
        <w:rPr>
          <w:sz w:val="20"/>
          <w:szCs w:val="20"/>
          <w:color w:val="auto"/>
        </w:rPr>
      </w:pPr>
    </w:p>
    <w:p>
      <w:pPr>
        <w:ind w:left="660" w:right="140" w:firstLine="645"/>
        <w:spacing w:after="0" w:line="282" w:lineRule="auto"/>
        <w:tabs>
          <w:tab w:leader="none" w:pos="1964"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Administrative Agent’s reasonable out-of-pocket counsel fees and other reasonable out-of-pocket costs and expenses incurred by Administrative Agent in connection with such Mortgage and other Collateral Documents.</w:t>
      </w:r>
    </w:p>
    <w:p>
      <w:pPr>
        <w:spacing w:after="0" w:line="161" w:lineRule="exact"/>
        <w:rPr>
          <w:rFonts w:ascii="Times New Roman" w:cs="Times New Roman" w:eastAsia="Times New Roman" w:hAnsi="Times New Roman"/>
          <w:sz w:val="18"/>
          <w:szCs w:val="18"/>
          <w:color w:val="auto"/>
        </w:rPr>
      </w:pPr>
    </w:p>
    <w:p>
      <w:pPr>
        <w:ind w:right="40" w:firstLine="656"/>
        <w:spacing w:after="0" w:line="282" w:lineRule="auto"/>
        <w:tabs>
          <w:tab w:leader="none" w:pos="130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Subsidiary of the Operating Partnership that is not a Subsidiary Guarantor becomes a borrower or a guarantor of, or otherwise incurs a payment obligation in respect of, any Unsecured Debt (each such Subsidiary being referred to as a “</w:t>
      </w:r>
      <w:r>
        <w:rPr>
          <w:rFonts w:ascii="Times New Roman" w:cs="Times New Roman" w:eastAsia="Times New Roman" w:hAnsi="Times New Roman"/>
          <w:sz w:val="18"/>
          <w:szCs w:val="18"/>
          <w:u w:val="single" w:color="auto"/>
          <w:color w:val="auto"/>
        </w:rPr>
        <w:t>New Subsidiary Guarantor</w:t>
      </w:r>
      <w:r>
        <w:rPr>
          <w:rFonts w:ascii="Times New Roman" w:cs="Times New Roman" w:eastAsia="Times New Roman" w:hAnsi="Times New Roman"/>
          <w:sz w:val="18"/>
          <w:szCs w:val="18"/>
          <w:color w:val="auto"/>
        </w:rPr>
        <w:t>”), then:</w:t>
      </w:r>
    </w:p>
    <w:p>
      <w:pPr>
        <w:spacing w:after="0" w:line="161"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Business Days (or such longer period as the Administrative Agent shall agree) of such event, the Borrower shall:</w:t>
      </w:r>
    </w:p>
    <w:p>
      <w:pPr>
        <w:sectPr>
          <w:pgSz w:w="11900" w:h="16870" w:orient="portrait"/>
          <w:cols w:equalWidth="0" w:num="1">
            <w:col w:w="11380"/>
          </w:cols>
          <w:pgMar w:left="240" w:top="333" w:right="279" w:bottom="0" w:gutter="0" w:footer="0" w:header="0"/>
        </w:sectPr>
      </w:pPr>
    </w:p>
    <w:bookmarkStart w:id="95" w:name="page96"/>
    <w:bookmarkEnd w:id="95"/>
    <w:p>
      <w:pPr>
        <w:ind w:left="2620" w:hanging="667"/>
        <w:spacing w:after="0"/>
        <w:tabs>
          <w:tab w:leader="none" w:pos="2620"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Administrative Agent in writing of such event and the name of such New Subsidiary Guarantor;</w:t>
      </w:r>
    </w:p>
    <w:p>
      <w:pPr>
        <w:spacing w:after="0" w:line="225"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Administrative Agent with the U.S. taxpayer identification for such New Subsidiary Guarantor; and</w:t>
      </w:r>
    </w:p>
    <w:p>
      <w:pPr>
        <w:spacing w:after="0" w:line="225" w:lineRule="exact"/>
        <w:rPr>
          <w:rFonts w:ascii="Times New Roman" w:cs="Times New Roman" w:eastAsia="Times New Roman" w:hAnsi="Times New Roman"/>
          <w:sz w:val="18"/>
          <w:szCs w:val="18"/>
          <w:color w:val="auto"/>
        </w:rPr>
      </w:pPr>
    </w:p>
    <w:p>
      <w:pPr>
        <w:ind w:left="1300" w:right="80" w:firstLine="653"/>
        <w:spacing w:after="0" w:line="266" w:lineRule="auto"/>
        <w:tabs>
          <w:tab w:leader="none" w:pos="2607"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Administrative Agent and each Lender with all documentation and other information that the Administrative Agent or any Lender requests in order to comply with its obligations under applicable “know your customer” and anti-money laundering rules and regulations, including the Act; and</w:t>
      </w:r>
    </w:p>
    <w:p>
      <w:pPr>
        <w:spacing w:after="0" w:line="176" w:lineRule="exact"/>
        <w:rPr>
          <w:rFonts w:ascii="Times New Roman" w:cs="Times New Roman" w:eastAsia="Times New Roman" w:hAnsi="Times New Roman"/>
          <w:sz w:val="18"/>
          <w:szCs w:val="18"/>
          <w:color w:val="auto"/>
        </w:rPr>
      </w:pPr>
    </w:p>
    <w:p>
      <w:pPr>
        <w:ind w:left="660" w:right="20" w:firstLine="645"/>
        <w:spacing w:after="0" w:line="258" w:lineRule="auto"/>
        <w:tabs>
          <w:tab w:leader="none" w:pos="1987"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30 days (or such longer period as the Administrative Agent shall agree) of such event, the Borrowers shall deliver, or cause to be delivered, to the Administrative Agent, at the Borrower’s sole expense, each of which shall be originals, or e-mail (in a .pdf format) or facsimiles (followed promptly by originals) unless otherwise specified, each of which documents to be signed by any New Subsidiary Guarantor shall be properly executed by a Responsible Officer of such signing New Subsidiary Guarantor and each in form and substance satisfactory to the Administrative Agent and the Required Lenders:</w:t>
      </w:r>
    </w:p>
    <w:p>
      <w:pPr>
        <w:spacing w:after="0" w:line="183" w:lineRule="exact"/>
        <w:rPr>
          <w:rFonts w:ascii="Times New Roman" w:cs="Times New Roman" w:eastAsia="Times New Roman" w:hAnsi="Times New Roman"/>
          <w:sz w:val="18"/>
          <w:szCs w:val="18"/>
          <w:color w:val="auto"/>
        </w:rPr>
      </w:pPr>
    </w:p>
    <w:p>
      <w:pPr>
        <w:ind w:left="1300" w:right="260" w:firstLine="653"/>
        <w:spacing w:after="0" w:line="266" w:lineRule="auto"/>
        <w:tabs>
          <w:tab w:leader="none" w:pos="2617"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joinder agreement in substantially the form attached hereto as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together with all of the items described in </w:t>
      </w:r>
      <w:r>
        <w:rPr>
          <w:rFonts w:ascii="Times New Roman" w:cs="Times New Roman" w:eastAsia="Times New Roman" w:hAnsi="Times New Roman"/>
          <w:sz w:val="18"/>
          <w:szCs w:val="18"/>
          <w:u w:val="single" w:color="auto"/>
          <w:color w:val="auto"/>
        </w:rPr>
        <w:t>Sections 4.01(a)(iv)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4.01(a)(v)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4.01(a)(viii)</w:t>
      </w:r>
      <w:r>
        <w:rPr>
          <w:rFonts w:ascii="Times New Roman" w:cs="Times New Roman" w:eastAsia="Times New Roman" w:hAnsi="Times New Roman"/>
          <w:sz w:val="18"/>
          <w:szCs w:val="18"/>
          <w:color w:val="auto"/>
        </w:rPr>
        <w:t xml:space="preserve"> with respect to each New Subsidiary Guarantor (in each case to the extent not already a Subsidiary Guarantor); and</w:t>
      </w:r>
    </w:p>
    <w:p>
      <w:pPr>
        <w:spacing w:after="0" w:line="176" w:lineRule="exact"/>
        <w:rPr>
          <w:rFonts w:ascii="Times New Roman" w:cs="Times New Roman" w:eastAsia="Times New Roman" w:hAnsi="Times New Roman"/>
          <w:sz w:val="18"/>
          <w:szCs w:val="18"/>
          <w:color w:val="auto"/>
        </w:rPr>
      </w:pPr>
    </w:p>
    <w:p>
      <w:pPr>
        <w:ind w:left="1300" w:right="1040" w:firstLine="653"/>
        <w:spacing w:after="0" w:line="282" w:lineRule="auto"/>
        <w:tabs>
          <w:tab w:leader="none" w:pos="2607"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the Administrative Agent, favorable opinions of counsel to the Loan Parties, addressed to the Administrative Agent and each Lender as to such matters as the Administrative Agent may reasonably request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concerning such New Subsidiary Guarantor and the Loan Documents to which such New Subsidiary Guarantor is a party.</w:t>
      </w:r>
    </w:p>
    <w:p>
      <w:pPr>
        <w:spacing w:after="0" w:line="225" w:lineRule="exact"/>
        <w:rPr>
          <w:sz w:val="20"/>
          <w:szCs w:val="20"/>
          <w:color w:val="auto"/>
        </w:rPr>
      </w:pPr>
    </w:p>
    <w:p>
      <w:pPr>
        <w:ind w:left="660" w:right="300" w:firstLine="645"/>
        <w:spacing w:after="0" w:line="261" w:lineRule="auto"/>
        <w:tabs>
          <w:tab w:leader="none" w:pos="1997"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in the event that the results of any such “know your customer” or similar investigation conducted by the Administrative Agent with respect to any New Subsidiary Guarantor are not reasonably satisfactory to the Administrative Agent, such New Subsidiary Guarantor shall not be permitted to become a Guarantor, and for the avoidance of doubt no Default shall occur as a result thereof.</w:t>
      </w:r>
    </w:p>
    <w:p>
      <w:pPr>
        <w:spacing w:after="0" w:line="176" w:lineRule="exact"/>
        <w:rPr>
          <w:sz w:val="20"/>
          <w:szCs w:val="20"/>
          <w:color w:val="auto"/>
        </w:rPr>
      </w:pPr>
    </w:p>
    <w:p>
      <w:pPr>
        <w:ind w:right="3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6.13 Anti-Corruption Laws</w:t>
      </w:r>
      <w:r>
        <w:rPr>
          <w:rFonts w:ascii="Times New Roman" w:cs="Times New Roman" w:eastAsia="Times New Roman" w:hAnsi="Times New Roman"/>
          <w:sz w:val="18"/>
          <w:szCs w:val="18"/>
          <w:color w:val="auto"/>
        </w:rPr>
        <w:t>. The Borrower shall, and shall cause each Subsidiary to, conduct its businesses in compliance with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Foreign Corrupt Practices Act of 1977, the UK Bribery Act 2010, and other similar anti-corruption legislation in other jurisdictions and maintain policies and procedures designed to promote and achieve compliance with such laws, in each case, in all material respects.</w:t>
      </w:r>
    </w:p>
    <w:p>
      <w:pPr>
        <w:spacing w:after="0" w:line="171"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6.14 Information Regarding Collateral</w:t>
      </w:r>
      <w:r>
        <w:rPr>
          <w:rFonts w:ascii="Times New Roman" w:cs="Times New Roman" w:eastAsia="Times New Roman" w:hAnsi="Times New Roman"/>
          <w:sz w:val="18"/>
          <w:szCs w:val="18"/>
          <w:color w:val="auto"/>
        </w:rPr>
        <w:t>. The Borrower shall, and shall cause each Grantor to, provide the Administrative Agent not less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 Business Days’ prior written notice (in the form of certificate signed by a Responsible Officer), or such lesser notice period agreed to by the Administrative Agent, before effecting any change (i) in any Grantor’s legal name, (ii) in the location of any Grantor’s chief executive office, (iii) in any Grantor’s identity or organizational structure, (iv) in any Grantor’s U.S. taxpayer identification number or organizational identification number, if any, or</w:t>
      </w:r>
    </w:p>
    <w:p>
      <w:pPr>
        <w:ind w:firstLine="8"/>
        <w:spacing w:after="0" w:line="252" w:lineRule="auto"/>
        <w:tabs>
          <w:tab w:leader="none" w:pos="25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Grantor’s jurisdiction of organization or incorporation (in each case, including by merging with or into any other entity, reorganizing, dissolving, liquidating, reorganizing or organizing in any other jurisdiction). Such notice shall clearly describe such change and provide such other information in connection therewith as the Administrative Agent may reasonably request. In addition, prior to any such change, the Borrower shall, and shall cause each Grantor to, take all action reasonably satisfactory to the Administrative Agent to maintain the perfection and priority of the security interest of the Administrative Agent for the benefit of the Secured Parties in the Collateral, if applicable. The Grantors hereby agree to promptly provide the Administrative Agent with certified Organization Documents reflecting any of the changes described in the preceding sentence. Notwithstanding the foregoing or anything else to the contrary contained herein or in any other Loan Document, the Borrower agrees that it will, and will cause each other Grantor to, at all times maintain its jurisdiction of organization as Delaware or one of the other States within the United States of America.</w:t>
      </w:r>
    </w:p>
    <w:p>
      <w:pPr>
        <w:spacing w:after="0" w:line="184" w:lineRule="exact"/>
        <w:rPr>
          <w:sz w:val="20"/>
          <w:szCs w:val="20"/>
          <w:color w:val="auto"/>
        </w:rPr>
      </w:pPr>
    </w:p>
    <w:p>
      <w:pPr>
        <w:jc w:val="both"/>
        <w:ind w:right="2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6.15 Maintenance of REIT Status; Stock Exchange Listing</w:t>
      </w:r>
      <w:r>
        <w:rPr>
          <w:rFonts w:ascii="Times New Roman" w:cs="Times New Roman" w:eastAsia="Times New Roman" w:hAnsi="Times New Roman"/>
          <w:sz w:val="18"/>
          <w:szCs w:val="18"/>
          <w:color w:val="auto"/>
        </w:rPr>
        <w:t>. The Borrower shall, at all times continue to (a) be organized and operated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that will allow the Borrower to qualify as a REIT and (b) remain publicly traded with each class of its common Equity Interests listed on the New York Stock Exchange.</w:t>
      </w:r>
    </w:p>
    <w:p>
      <w:pPr>
        <w:spacing w:after="0" w:line="171"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6.16 Appraisals</w:t>
      </w:r>
      <w:r>
        <w:rPr>
          <w:rFonts w:ascii="Times New Roman" w:cs="Times New Roman" w:eastAsia="Times New Roman" w:hAnsi="Times New Roman"/>
          <w:sz w:val="18"/>
          <w:szCs w:val="18"/>
          <w:color w:val="auto"/>
        </w:rPr>
        <w:t>. The Borrower shall, and shall cause each Subsidiary to, cause each of the Borrowing Base Assets at all times to be the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Current Appraisal; reimburse the Administrative Agent for the cost of obtaining and reviewing any Appraisal obtained by the Administrative Agent (i) at the request of the Borrower, (ii) with respect to any Nominated Asset or Borrowing Base Asset or (iii) during an Event of Default; and cooperate with the</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Administrative Agent and its appraiser with respect to any such Appraisal, including by using reasonable best efforts to provide the appraisers with access upon reasonable prior notice to the applicable property to be appraised, the books and records of the Direct Owner thereof and all assets or proposed assets subject to such appraisal.</w:t>
      </w:r>
    </w:p>
    <w:p>
      <w:pPr>
        <w:spacing w:after="0" w:line="17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6.17 Further Assurances</w:t>
      </w:r>
      <w:r>
        <w:rPr>
          <w:rFonts w:ascii="Times New Roman" w:cs="Times New Roman" w:eastAsia="Times New Roman" w:hAnsi="Times New Roman"/>
          <w:sz w:val="18"/>
          <w:szCs w:val="18"/>
          <w:color w:val="auto"/>
        </w:rPr>
        <w:t>. The Borrower shall, and shall cause each Loan Party to, promptly upon the reasonable request by the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or any Lender through the Administrative Agent,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(ii) to the full extent permitted by applicable Law, subject any Loan Party’s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is or is to be a party.</w:t>
      </w:r>
    </w:p>
    <w:p>
      <w:pPr>
        <w:sectPr>
          <w:pgSz w:w="11900" w:h="16838" w:orient="portrait"/>
          <w:cols w:equalWidth="0" w:num="1">
            <w:col w:w="11380"/>
          </w:cols>
          <w:pgMar w:left="240" w:top="337" w:right="279" w:bottom="0" w:gutter="0" w:footer="0" w:header="0"/>
        </w:sectPr>
      </w:pPr>
    </w:p>
    <w:bookmarkStart w:id="96" w:name="page97"/>
    <w:bookmarkEnd w:id="96"/>
    <w:p>
      <w:pPr>
        <w:jc w:val="center"/>
        <w:spacing w:after="0"/>
        <w:tabs>
          <w:tab w:leader="none" w:pos="140" w:val="left"/>
        </w:tabs>
        <w:rPr>
          <w:sz w:val="20"/>
          <w:szCs w:val="20"/>
          <w:color w:val="auto"/>
        </w:rPr>
      </w:pPr>
      <w:r>
        <w:rPr>
          <w:rFonts w:ascii="Times New Roman" w:cs="Times New Roman" w:eastAsia="Times New Roman" w:hAnsi="Times New Roman"/>
          <w:sz w:val="18"/>
          <w:szCs w:val="18"/>
          <w:b w:val="1"/>
          <w:bCs w:val="1"/>
          <w:color w:val="auto"/>
        </w:rPr>
        <w:t>ARTICLE VII.</w:t>
      </w:r>
      <w:r>
        <w:rPr>
          <w:sz w:val="20"/>
          <w:szCs w:val="20"/>
          <w:color w:val="auto"/>
        </w:rPr>
        <w:tab/>
      </w:r>
      <w:r>
        <w:rPr>
          <w:rFonts w:ascii="Times New Roman" w:cs="Times New Roman" w:eastAsia="Times New Roman" w:hAnsi="Times New Roman"/>
          <w:sz w:val="17"/>
          <w:szCs w:val="17"/>
          <w:b w:val="1"/>
          <w:bCs w:val="1"/>
          <w:color w:val="auto"/>
        </w:rPr>
        <w:t>NEGATIVE COVENANTS</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So long as any Lender shall have any Commitment hereunder, any Loan or other Obligation hereunder shall remain unpaid or unsatisfied (in each case, other than contingent indemnification and reimbursement obligations for which no claim has been asserted), or any Letter of Credit shall remain outstanding (that has not been Cash Collateralized):</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7.01</w:t>
      </w:r>
      <w:r>
        <w:rPr>
          <w:sz w:val="20"/>
          <w:szCs w:val="20"/>
          <w:color w:val="auto"/>
        </w:rPr>
        <w:tab/>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The Borrower shall not, nor shall it permit any Subsidiary to, directly or indirectly, create, incur, assume or suffer to exist any Lien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w:t>
      </w:r>
    </w:p>
    <w:p>
      <w:pPr>
        <w:spacing w:after="0" w:line="207" w:lineRule="exact"/>
        <w:rPr>
          <w:sz w:val="20"/>
          <w:szCs w:val="20"/>
          <w:color w:val="auto"/>
        </w:rPr>
      </w:pPr>
    </w:p>
    <w:p>
      <w:pPr>
        <w:ind w:left="1300" w:hanging="644"/>
        <w:spacing w:after="0"/>
        <w:tabs>
          <w:tab w:leader="none" w:pos="13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Borrowing Base Asset that is not Collateral (or any income from or proceeds of any thereof), other than Permitted Property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w:t>
      </w:r>
    </w:p>
    <w:p>
      <w:pPr>
        <w:spacing w:after="0" w:line="206" w:lineRule="exact"/>
        <w:rPr>
          <w:rFonts w:ascii="Times New Roman" w:cs="Times New Roman" w:eastAsia="Times New Roman" w:hAnsi="Times New Roman"/>
          <w:sz w:val="18"/>
          <w:szCs w:val="18"/>
          <w:color w:val="auto"/>
        </w:rPr>
      </w:pPr>
    </w:p>
    <w:p>
      <w:pPr>
        <w:ind w:right="540" w:firstLine="656"/>
        <w:spacing w:after="0" w:line="282" w:lineRule="auto"/>
        <w:tabs>
          <w:tab w:leader="none" w:pos="1304"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Interest in the Direct Owner of any Borrowing Base Asset if such Equity Interest is not Collateral (or any income from or proceeds of any thereof), other than Permitted Equity Encumbrances;</w:t>
      </w:r>
    </w:p>
    <w:p>
      <w:pPr>
        <w:spacing w:after="0" w:line="161" w:lineRule="exact"/>
        <w:rPr>
          <w:rFonts w:ascii="Times New Roman" w:cs="Times New Roman" w:eastAsia="Times New Roman" w:hAnsi="Times New Roman"/>
          <w:sz w:val="18"/>
          <w:szCs w:val="18"/>
          <w:color w:val="auto"/>
        </w:rPr>
      </w:pPr>
    </w:p>
    <w:p>
      <w:pPr>
        <w:ind w:right="60" w:firstLine="656"/>
        <w:spacing w:after="0" w:line="282" w:lineRule="auto"/>
        <w:tabs>
          <w:tab w:leader="none" w:pos="1307"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Interest in any Indirect Owner of the Direct Owner of any Borrowing Base Asset if such Equity Interest is not Collateral (or any income from or proceeds of any thereof), other than Permitted Equity Encumbrances; or</w:t>
      </w:r>
    </w:p>
    <w:p>
      <w:pPr>
        <w:spacing w:after="0" w:line="161" w:lineRule="exact"/>
        <w:rPr>
          <w:rFonts w:ascii="Times New Roman" w:cs="Times New Roman" w:eastAsia="Times New Roman" w:hAnsi="Times New Roman"/>
          <w:sz w:val="18"/>
          <w:szCs w:val="18"/>
          <w:color w:val="auto"/>
        </w:rPr>
      </w:pPr>
    </w:p>
    <w:p>
      <w:pPr>
        <w:jc w:val="both"/>
        <w:ind w:right="80" w:firstLine="656"/>
        <w:spacing w:after="0" w:line="266" w:lineRule="auto"/>
        <w:tabs>
          <w:tab w:leader="none" w:pos="1304"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Collateral, other than (i) Liens pursuant to any Loan Document, (ii) Liens that secure Secured Pari Passu Obligations, (iii) solely in the case of Collateral constituting Equity Interests, Permitted Equity Encumbrances and (iv) solely in the case of Collateral other than Equity Interests, Permitted Property Encumbrances;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or sign, file or authorize under the Uniform Commercial Code of any jurisdiction a financing statement that includes in its collateral description any portion of any Collateral, any Borrowing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Base Asset, any Equity Interest in the Direct Owner of any Borrowing Base Asset, any Equity Interest in any Indirect Owner of the Direct Owner of any Borrowing Base Asset, or any income from or proceeds of any of the foregoing, except in each case, to perfect a Lien permitted pursuant to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7.02</w:t>
      </w:r>
      <w:r>
        <w:rPr>
          <w:sz w:val="20"/>
          <w:szCs w:val="20"/>
          <w:color w:val="auto"/>
        </w:rPr>
        <w:tab/>
      </w:r>
      <w:r>
        <w:rPr>
          <w:rFonts w:ascii="Times New Roman" w:cs="Times New Roman" w:eastAsia="Times New Roman" w:hAnsi="Times New Roman"/>
          <w:sz w:val="18"/>
          <w:szCs w:val="18"/>
          <w:b w:val="1"/>
          <w:bCs w:val="1"/>
          <w:color w:val="auto"/>
        </w:rPr>
        <w:t>Investments</w:t>
      </w:r>
      <w:r>
        <w:rPr>
          <w:rFonts w:ascii="Times New Roman" w:cs="Times New Roman" w:eastAsia="Times New Roman" w:hAnsi="Times New Roman"/>
          <w:sz w:val="18"/>
          <w:szCs w:val="18"/>
          <w:color w:val="auto"/>
        </w:rPr>
        <w:t>. The Borrower shall not, nor shall it permit any Subsidiary to, directly or indirectly, make or hold any Investments, except:</w:t>
      </w:r>
    </w:p>
    <w:p>
      <w:pPr>
        <w:spacing w:after="0" w:line="229" w:lineRule="exact"/>
        <w:rPr>
          <w:sz w:val="20"/>
          <w:szCs w:val="20"/>
          <w:color w:val="auto"/>
        </w:rPr>
      </w:pPr>
    </w:p>
    <w:p>
      <w:pPr>
        <w:ind w:left="1300" w:hanging="644"/>
        <w:spacing w:after="0"/>
        <w:tabs>
          <w:tab w:leader="none" w:pos="13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held in the form of cash or Cash Equivalents;</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loans and advances among Consolidated Parties;</w:t>
      </w:r>
    </w:p>
    <w:p>
      <w:pPr>
        <w:spacing w:after="0" w:line="225" w:lineRule="exact"/>
        <w:rPr>
          <w:rFonts w:ascii="Times New Roman" w:cs="Times New Roman" w:eastAsia="Times New Roman" w:hAnsi="Times New Roman"/>
          <w:sz w:val="18"/>
          <w:szCs w:val="18"/>
          <w:color w:val="auto"/>
        </w:rPr>
      </w:pPr>
    </w:p>
    <w:p>
      <w:pPr>
        <w:ind w:right="420" w:firstLine="656"/>
        <w:spacing w:after="0" w:line="282" w:lineRule="auto"/>
        <w:tabs>
          <w:tab w:leader="none" w:pos="1307"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Ground Net Leases (including through the purchase or other acquisition of all of the Equity Interests of any Person that owns a Ground Net Lease);</w:t>
      </w:r>
    </w:p>
    <w:p>
      <w:pPr>
        <w:spacing w:after="0" w:line="161" w:lineRule="exact"/>
        <w:rPr>
          <w:rFonts w:ascii="Times New Roman" w:cs="Times New Roman" w:eastAsia="Times New Roman" w:hAnsi="Times New Roman"/>
          <w:sz w:val="18"/>
          <w:szCs w:val="18"/>
          <w:color w:val="auto"/>
        </w:rPr>
      </w:pPr>
    </w:p>
    <w:p>
      <w:pPr>
        <w:ind w:right="240" w:firstLine="656"/>
        <w:spacing w:after="0" w:line="282" w:lineRule="auto"/>
        <w:tabs>
          <w:tab w:leader="none" w:pos="1304"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unimproved land holdings (including through the purchase or other acquisition of all of the Equity Interests of any Person that owns unimproved land holdings);</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commercial mortgage or mezzanine loans (whether originated or acquired by a Consolidated Party);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Investment Affiliates (including through the purchase or other acquisition of Equity Interests in any Investment Affiliate);</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advances to officers and employees for moving, entertainment, travel and other similar expenses in the ordinary course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206"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permitted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Swap Contracts to the extent resulting in Indebtedness permitted under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aggregate amount of all Investments of the type described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shall not at any time exceed 10% of Total Asset Value and (ii) the aggregate amount of all Investments of the type described in clauses,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shall not at any time exceed 25% of Total Asset Value;</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notwithstanding the foregoing, in no event shall any Investment of the types described in </w:t>
      </w:r>
      <w:r>
        <w:rPr>
          <w:rFonts w:ascii="Times New Roman" w:cs="Times New Roman" w:eastAsia="Times New Roman" w:hAnsi="Times New Roman"/>
          <w:sz w:val="18"/>
          <w:szCs w:val="18"/>
          <w:u w:val="single" w:color="auto"/>
          <w:color w:val="auto"/>
        </w:rPr>
        <w:t>Section 7.02(c)</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be consummated if, (i) immediately before or immediately after giving effect thereto, an Event of Default shall have occurred and be continuing or would result therefrom (except with respect to the performance of any acquisition agreement entered into prior to the occurrence of any Default hereunder that results in an Investment of not more than $25,000,000) or (ii) the Loan Parties would not be in compliance, on a pro forma basis, with the provisions of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determinations of whether an Investment is permitted will be made after giving effect to such Investment.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7.03 Indebtedness</w:t>
      </w:r>
      <w:r>
        <w:rPr>
          <w:rFonts w:ascii="Times New Roman" w:cs="Times New Roman" w:eastAsia="Times New Roman" w:hAnsi="Times New Roman"/>
          <w:sz w:val="18"/>
          <w:szCs w:val="18"/>
          <w:color w:val="auto"/>
        </w:rPr>
        <w:t>. The Borrower shall not, nor shall it permit any Subsidiary to, directly or indirectly, create, incur, assume or suffer to exist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Indebtedness, except:</w:t>
      </w:r>
    </w:p>
    <w:p>
      <w:pPr>
        <w:spacing w:after="0" w:line="159" w:lineRule="exact"/>
        <w:rPr>
          <w:sz w:val="20"/>
          <w:szCs w:val="20"/>
          <w:color w:val="auto"/>
        </w:rPr>
      </w:pPr>
    </w:p>
    <w:p>
      <w:pPr>
        <w:ind w:left="1300" w:hanging="644"/>
        <w:spacing w:after="0"/>
        <w:tabs>
          <w:tab w:leader="none" w:pos="130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the Loan Documents;</w:t>
      </w:r>
    </w:p>
    <w:p>
      <w:pPr>
        <w:sectPr>
          <w:pgSz w:w="11900" w:h="16838" w:orient="portrait"/>
          <w:cols w:equalWidth="0" w:num="1">
            <w:col w:w="11420"/>
          </w:cols>
          <w:pgMar w:left="240" w:top="117" w:right="239" w:bottom="36" w:gutter="0" w:footer="0" w:header="0"/>
        </w:sectPr>
      </w:pPr>
    </w:p>
    <w:bookmarkStart w:id="97" w:name="page98"/>
    <w:bookmarkEnd w:id="97"/>
    <w:p>
      <w:pPr>
        <w:spacing w:after="0" w:line="32" w:lineRule="exact"/>
        <w:rPr>
          <w:sz w:val="20"/>
          <w:szCs w:val="20"/>
          <w:color w:val="auto"/>
        </w:rPr>
      </w:pPr>
    </w:p>
    <w:p>
      <w:pPr>
        <w:ind w:right="220" w:firstLine="656"/>
        <w:spacing w:after="0" w:line="261" w:lineRule="auto"/>
        <w:tabs>
          <w:tab w:leader="none" w:pos="1304"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occurrence of the Investment Grade Release, Unsecured Debt and Secured Debt that constitutes Secured Pari Passu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the incurrence of such Unsecured Debt or Secured Debt, as the case may be, and immediately after giving effect thereto (i) no Event of Default has occurred and is continuing or would result therefrom, (ii) Availability equals or exceeds zero ($0) and (iii) the Loan Parties are in compliance, on a pro forma basis, with the provisions of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and</w:t>
      </w:r>
    </w:p>
    <w:p>
      <w:pPr>
        <w:spacing w:after="0" w:line="180" w:lineRule="exact"/>
        <w:rPr>
          <w:rFonts w:ascii="Times New Roman" w:cs="Times New Roman" w:eastAsia="Times New Roman" w:hAnsi="Times New Roman"/>
          <w:sz w:val="18"/>
          <w:szCs w:val="18"/>
          <w:color w:val="auto"/>
        </w:rPr>
      </w:pPr>
    </w:p>
    <w:p>
      <w:pPr>
        <w:ind w:right="160" w:firstLine="656"/>
        <w:spacing w:after="0" w:line="266" w:lineRule="auto"/>
        <w:tabs>
          <w:tab w:leader="none" w:pos="1307"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Secured Debt that does not constitute Secured Pari Passu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the incurrence of such Secured Debt (including any Liens associated therewith) and immediately after giving effect thereto (i) no Event of Default has occurred and is continuing or would result therefrom and (ii) the Loan Parties are in compliance, on a pro forma basis, with the provisions of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right="2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7.04 Fundamental Changes</w:t>
      </w:r>
      <w:r>
        <w:rPr>
          <w:rFonts w:ascii="Times New Roman" w:cs="Times New Roman" w:eastAsia="Times New Roman" w:hAnsi="Times New Roman"/>
          <w:sz w:val="18"/>
          <w:szCs w:val="18"/>
          <w:color w:val="auto"/>
        </w:rPr>
        <w:t>. The Borrower shall not, nor shall it permit any Subsidiary to, directly or indirectly, merge, dissolve, liquidate,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consolidate with or into another Person, or Dispose of (whether in one transaction or in a series of transactions) all or substantially all of its assets (whether now owned or hereafter acquired) to or in favor of any Person, except that, so long as no Default exists or would result therefrom:</w:t>
      </w:r>
    </w:p>
    <w:p>
      <w:pPr>
        <w:spacing w:after="0" w:line="175" w:lineRule="exact"/>
        <w:rPr>
          <w:sz w:val="20"/>
          <w:szCs w:val="20"/>
          <w:color w:val="auto"/>
        </w:rPr>
      </w:pPr>
    </w:p>
    <w:p>
      <w:pPr>
        <w:ind w:left="1300" w:hanging="644"/>
        <w:spacing w:after="0"/>
        <w:tabs>
          <w:tab w:leader="none" w:pos="130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may merge or consolidate with (i) the Borrower, provided that the Borrower shall be the continuing or surviving Person or</w:t>
      </w:r>
    </w:p>
    <w:p>
      <w:pPr>
        <w:spacing w:after="0" w:line="27" w:lineRule="exact"/>
        <w:rPr>
          <w:rFonts w:ascii="Times New Roman" w:cs="Times New Roman" w:eastAsia="Times New Roman" w:hAnsi="Times New Roman"/>
          <w:sz w:val="18"/>
          <w:szCs w:val="18"/>
          <w:color w:val="auto"/>
        </w:rPr>
      </w:pPr>
    </w:p>
    <w:p>
      <w:pPr>
        <w:ind w:right="60" w:firstLine="8"/>
        <w:spacing w:after="0" w:line="261" w:lineRule="auto"/>
        <w:tabs>
          <w:tab w:leader="none" w:pos="265"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one or more other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when any Grantor or Subsidiary Guarantor is merging with another Subsidiary, a Grantor or Subsidiary Guarantor, as applicable, shall be the continuing or surviving Person;</w:t>
      </w:r>
    </w:p>
    <w:p>
      <w:pPr>
        <w:spacing w:after="0" w:line="179" w:lineRule="exact"/>
        <w:rPr>
          <w:rFonts w:ascii="Times New Roman" w:cs="Times New Roman" w:eastAsia="Times New Roman" w:hAnsi="Times New Roman"/>
          <w:sz w:val="18"/>
          <w:szCs w:val="18"/>
          <w:color w:val="auto"/>
        </w:rPr>
      </w:pPr>
    </w:p>
    <w:p>
      <w:pPr>
        <w:ind w:right="60" w:firstLine="656"/>
        <w:spacing w:after="0" w:line="255" w:lineRule="auto"/>
        <w:tabs>
          <w:tab w:leader="none" w:pos="1304"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of the Borrower may Dispose of all or substantially all of its assets (upon voluntary liquidation or otherwise) to the Borrower or another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the transferor in such a transaction is a Grantor or Subsidiary Guarantor, then the transferee must be a Grantor or a Subsidiary Guarantor, as applicable, (ii) if the property subject to such Disposition includes any Borrowing Base Asset, then, upon consummation of such Disposition such property shall either continue to qualify as a Borrowing Base Asset or shall have been removed as a Borrowing Base Asset pursuant to a Release Transaction in accordance with the provisions of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and (iii) if the property subject to such Disposition includes any Collateral, then, upon consummation of such Disposition such property shall either continue to constitute Collateral or the Borrowing Base Asset constituting or related to such Collateral shall have been removed as a Borrowing Base Asset pursuant to a Release Transaction in accordance with the provisions of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right="380" w:firstLine="656"/>
        <w:spacing w:after="0" w:line="266" w:lineRule="auto"/>
        <w:tabs>
          <w:tab w:leader="none" w:pos="1307"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that are permitted under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and Investments that are permitted under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shall be permitted under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Disposition made in connection with a merger or consolidation, such transaction must also be permitted pursuant to </w:t>
      </w:r>
      <w:r>
        <w:rPr>
          <w:rFonts w:ascii="Times New Roman" w:cs="Times New Roman" w:eastAsia="Times New Roman" w:hAnsi="Times New Roman"/>
          <w:sz w:val="18"/>
          <w:szCs w:val="18"/>
          <w:u w:val="single" w:color="auto"/>
          <w:color w:val="auto"/>
        </w:rPr>
        <w:t>Section 7.04(a)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7.04(d)</w:t>
      </w:r>
      <w:r>
        <w:rPr>
          <w:rFonts w:ascii="Times New Roman" w:cs="Times New Roman" w:eastAsia="Times New Roman" w:hAnsi="Times New Roman"/>
          <w:sz w:val="18"/>
          <w:szCs w:val="18"/>
          <w:color w:val="auto"/>
        </w:rPr>
        <w:t>, as applicable;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656"/>
        <w:spacing w:after="0" w:line="258" w:lineRule="auto"/>
        <w:tabs>
          <w:tab w:leader="none" w:pos="1304"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may merge or consolidate with any Person that is not a Subsidiary in connection with an Investment permitted under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or a Disposition permitted under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 the case of a merger or consolidation involving the Borrower, the Borrower shall be the continuing or surviving Person and (ii) in the case of any merger or consolidation involving a Grantor or a Subsidiary Guarantor and not involving the Borrower, either (x) the continuing or surviving Person shall cease to be a Subsidiary or (y) the continuing or surviving Person must be a Grantor or a Subsidiary Guarantor, as applicable (or become a Grantor or a Subsidiary Guarantor, as applicable, upon the consummation thereof)</w:t>
      </w:r>
    </w:p>
    <w:p>
      <w:pPr>
        <w:spacing w:after="0" w:line="180"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7.05 Dispositions</w:t>
      </w:r>
      <w:r>
        <w:rPr>
          <w:rFonts w:ascii="Times New Roman" w:cs="Times New Roman" w:eastAsia="Times New Roman" w:hAnsi="Times New Roman"/>
          <w:sz w:val="18"/>
          <w:szCs w:val="18"/>
          <w:color w:val="auto"/>
        </w:rPr>
        <w:t>. The Borrower shall not, nor shall it permit any Subsidiary to, directly or indirectly, make any Disposition or, in the case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Subsidiary, issue, sell or otherwise Dispose of any of such Subsidiary’s Equity Interests to any Person, except that, so long as no Default exists or would result therefrom:</w:t>
      </w:r>
    </w:p>
    <w:p>
      <w:pPr>
        <w:spacing w:after="0" w:line="175" w:lineRule="exact"/>
        <w:rPr>
          <w:sz w:val="20"/>
          <w:szCs w:val="20"/>
          <w:color w:val="auto"/>
        </w:rPr>
      </w:pPr>
    </w:p>
    <w:p>
      <w:pPr>
        <w:ind w:left="1300" w:hanging="644"/>
        <w:spacing w:after="0"/>
        <w:tabs>
          <w:tab w:leader="none" w:pos="13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permitted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7.04</w:t>
      </w:r>
      <w:r>
        <w:rPr>
          <w:rFonts w:ascii="Times New Roman" w:cs="Times New Roman" w:eastAsia="Times New Roman" w:hAnsi="Times New Roman"/>
          <w:sz w:val="18"/>
          <w:szCs w:val="18"/>
          <w:color w:val="auto"/>
        </w:rPr>
        <w:t xml:space="preserve"> and, notwithstanding anything in this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to the contrary, Dispositions permitted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firstLine="656"/>
        <w:spacing w:after="0" w:line="255" w:lineRule="auto"/>
        <w:tabs>
          <w:tab w:leader="none" w:pos="1304"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among the Borrower and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the transferor is a Grantor or a Subsidiary Guarantor, then the transferee must be a Grantor or a Subsidiary Guarantor, as applicable, (ii) if the property subject to such Disposition includes any Borrowing Base Asset, then, upon consummation of such Disposition such property shall either continue to qualify as a Borrowing Base Asset or shall have been removed as a Borrowing Base Asset pursuant to a Release Transaction in accordance with the provisions of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and (iii) if the property subject to such Disposition includes any Collateral, then, upon consummation of such Disposition such property shall either continue to constitute Collateral or the Borrowing Base Asset constituting or related to such Collateral shall have been removed as a Borrowing Base Asset pursuant to a Release Transaction in accordance with the provisions of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right="60" w:firstLine="656"/>
        <w:spacing w:after="0" w:line="282" w:lineRule="auto"/>
        <w:tabs>
          <w:tab w:leader="none" w:pos="1307"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sale or other Disposition of limited partnership interests of the Operating Partnership, but solely to the extent that, after giving effect thereto, a Change of Control has not occurred;</w:t>
      </w:r>
    </w:p>
    <w:p>
      <w:pPr>
        <w:spacing w:after="0" w:line="161" w:lineRule="exact"/>
        <w:rPr>
          <w:rFonts w:ascii="Times New Roman" w:cs="Times New Roman" w:eastAsia="Times New Roman" w:hAnsi="Times New Roman"/>
          <w:sz w:val="18"/>
          <w:szCs w:val="18"/>
          <w:color w:val="auto"/>
        </w:rPr>
      </w:pPr>
    </w:p>
    <w:p>
      <w:pPr>
        <w:ind w:right="20" w:firstLine="656"/>
        <w:spacing w:after="0" w:line="266" w:lineRule="auto"/>
        <w:tabs>
          <w:tab w:leader="none" w:pos="1304"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Disposition of any property (including Equity Interests in Subsidiaries) that does not constitute a Borrowing Base Asset or Collateral, so long as the Loan Parties are in compliance with the provisions of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on a pro forma basis immediately after giving effect to the consummation of such Disposition; and</w:t>
      </w:r>
    </w:p>
    <w:p>
      <w:pPr>
        <w:spacing w:after="0" w:line="176" w:lineRule="exact"/>
        <w:rPr>
          <w:rFonts w:ascii="Times New Roman" w:cs="Times New Roman" w:eastAsia="Times New Roman" w:hAnsi="Times New Roman"/>
          <w:sz w:val="18"/>
          <w:szCs w:val="18"/>
          <w:color w:val="auto"/>
        </w:rPr>
      </w:pPr>
    </w:p>
    <w:p>
      <w:pPr>
        <w:ind w:right="80" w:firstLine="656"/>
        <w:spacing w:after="0" w:line="282" w:lineRule="auto"/>
        <w:tabs>
          <w:tab w:leader="none" w:pos="1307"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Disposition of any property constituting a Borrowing Base Asset or Collateral so long as contemporaneously with the consummation of such Disposition such property is released pursuant to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7.06 Restricted Payments</w:t>
      </w:r>
      <w:r>
        <w:rPr>
          <w:rFonts w:ascii="Times New Roman" w:cs="Times New Roman" w:eastAsia="Times New Roman" w:hAnsi="Times New Roman"/>
          <w:sz w:val="18"/>
          <w:szCs w:val="18"/>
          <w:color w:val="auto"/>
        </w:rPr>
        <w:t>. The Borrower shall not, nor shall it permit any Subsidiary to, directly or indirectly, declare or make, 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indirectly, any Restricted Payment, or incur any obligation (contingent or otherwise) to do so;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firstLine="656"/>
        <w:spacing w:after="0" w:line="282" w:lineRule="auto"/>
        <w:tabs>
          <w:tab w:leader="none" w:pos="1294"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of the Borrower may declare and make Restricted Payments ratably to the holders of such Subsidiary’s Equity Interests according to their respective holdings of the type of Equity Interest in respect of which such Restricted Payment is being made;</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fiscal year of the Borrower ending December 31, 2017, the Borrower may declare and make, directly or indirectly,</w:t>
      </w:r>
    </w:p>
    <w:p>
      <w:pPr>
        <w:sectPr>
          <w:pgSz w:w="11900" w:h="16870" w:orient="portrait"/>
          <w:cols w:equalWidth="0" w:num="1">
            <w:col w:w="11420"/>
          </w:cols>
          <w:pgMar w:left="240" w:top="121" w:right="239" w:bottom="0" w:gutter="0" w:footer="0" w:header="0"/>
        </w:sectPr>
      </w:pPr>
    </w:p>
    <w:bookmarkStart w:id="98" w:name="page99"/>
    <w:bookmarkEnd w:id="98"/>
    <w:p>
      <w:pPr>
        <w:ind w:left="1980" w:hanging="675"/>
        <w:spacing w:after="0"/>
        <w:tabs>
          <w:tab w:leader="none" w:pos="198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Payment so long as no Event of Default shall have occurred and be continuing or would result therefrom; and</w:t>
      </w:r>
    </w:p>
    <w:p>
      <w:pPr>
        <w:spacing w:after="0" w:line="225" w:lineRule="exact"/>
        <w:rPr>
          <w:rFonts w:ascii="Times New Roman" w:cs="Times New Roman" w:eastAsia="Times New Roman" w:hAnsi="Times New Roman"/>
          <w:sz w:val="18"/>
          <w:szCs w:val="18"/>
          <w:color w:val="auto"/>
        </w:rPr>
      </w:pPr>
    </w:p>
    <w:p>
      <w:pPr>
        <w:ind w:left="660" w:firstLine="645"/>
        <w:spacing w:after="0" w:line="255" w:lineRule="auto"/>
        <w:tabs>
          <w:tab w:leader="none" w:pos="1987"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 Event of Default has occurred and is continuing or would result therefrom, Restricted Payments in an aggregate amount equal to the amount required to be paid by the Borrower to its equity holders in order for the Borrower to (x) maintain its qualification as a REIT and (y) avoid the payment of federal or state income or excise tax;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no Restricted Payments shall be permitted under this </w:t>
      </w:r>
      <w:r>
        <w:rPr>
          <w:rFonts w:ascii="Times New Roman" w:cs="Times New Roman" w:eastAsia="Times New Roman" w:hAnsi="Times New Roman"/>
          <w:sz w:val="18"/>
          <w:szCs w:val="18"/>
          <w:u w:val="single" w:color="auto"/>
          <w:color w:val="auto"/>
        </w:rPr>
        <w:t>clause (b)(ii)</w:t>
      </w:r>
      <w:r>
        <w:rPr>
          <w:rFonts w:ascii="Times New Roman" w:cs="Times New Roman" w:eastAsia="Times New Roman" w:hAnsi="Times New Roman"/>
          <w:sz w:val="18"/>
          <w:szCs w:val="18"/>
          <w:color w:val="auto"/>
        </w:rPr>
        <w:t xml:space="preserve"> following an acceleration of the Obligations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during the continuance of an Event of Default under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or</w:t>
      </w:r>
    </w:p>
    <w:p>
      <w:pPr>
        <w:spacing w:after="0" w:line="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right="20" w:firstLine="656"/>
        <w:spacing w:after="0" w:line="256" w:lineRule="auto"/>
        <w:tabs>
          <w:tab w:leader="none" w:pos="1307"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fiscal year of the Borrower ending December 31, 2018 and each fiscal year of the Borrower thereafter, the Borrower may declare and make, directly or indirectly, Restricted Payments in an aggregate amount equal to the greater of (i) 110% of “Adjusted Funds From Operations” (calculated on a basis consistent with the Form S-11) for such fiscal year and (ii) the amount of Restricted Payments required to be paid by the Borrower to its equity holders in order for the Borrower to (x) maintain its qualification as a REIT and (y) avoid the payment of federal or state income or excise tax;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no Restricted Payments shall be permitted under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following an acceleration of the Obligations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during the continuance of an Event of Default under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80" w:firstLine="656"/>
        <w:spacing w:after="0" w:line="266" w:lineRule="auto"/>
        <w:tabs>
          <w:tab w:leader="none" w:pos="1304"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no Default shall have occurred and be continuing or would result therefrom, the Borrower may purchase, redeem, retire, acquire, cancel or terminate its Equity Interests so long as after giving effect thereto the Loan Parties are in compliance with the provisions of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on a pro forma basis immediately after giving effect to the making of such Restricted Payment; and</w:t>
      </w:r>
    </w:p>
    <w:p>
      <w:pPr>
        <w:spacing w:after="0" w:line="176" w:lineRule="exact"/>
        <w:rPr>
          <w:rFonts w:ascii="Times New Roman" w:cs="Times New Roman" w:eastAsia="Times New Roman" w:hAnsi="Times New Roman"/>
          <w:sz w:val="18"/>
          <w:szCs w:val="18"/>
          <w:color w:val="auto"/>
        </w:rPr>
      </w:pPr>
    </w:p>
    <w:p>
      <w:pPr>
        <w:ind w:right="560" w:firstLine="656"/>
        <w:spacing w:after="0" w:line="282" w:lineRule="auto"/>
        <w:tabs>
          <w:tab w:leader="none" w:pos="1307"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Consolidated Party may declare and make dividend payments or other distributions payable solely in the common stock or other common Equity Interests in such Person.</w:t>
      </w:r>
    </w:p>
    <w:p>
      <w:pPr>
        <w:spacing w:after="0" w:line="158"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7.07 Change in Nature of Business</w:t>
      </w:r>
      <w:r>
        <w:rPr>
          <w:rFonts w:ascii="Times New Roman" w:cs="Times New Roman" w:eastAsia="Times New Roman" w:hAnsi="Times New Roman"/>
          <w:sz w:val="18"/>
          <w:szCs w:val="18"/>
          <w:color w:val="auto"/>
        </w:rPr>
        <w:t>. The Borrower shall not, nor shall it permit any Subsidiary to, directly or indirectly, engage in any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line of business other than those lines of business described in the Form S-11 and any business substantially related, incidental, ancillary or complimentary thereto.</w:t>
      </w:r>
    </w:p>
    <w:p>
      <w:pPr>
        <w:spacing w:after="0" w:line="171"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7.08 Transactions with Affiliates</w:t>
      </w:r>
      <w:r>
        <w:rPr>
          <w:rFonts w:ascii="Times New Roman" w:cs="Times New Roman" w:eastAsia="Times New Roman" w:hAnsi="Times New Roman"/>
          <w:sz w:val="18"/>
          <w:szCs w:val="18"/>
          <w:color w:val="auto"/>
        </w:rPr>
        <w:t>. The Borrower shall not, nor shall it permit any Subsidiary to, directly or indirectly, enter into any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kind with any Affiliate of the Borrower, whether or not in the ordinary course of business, other than on fair and reasonable terms substantially as favorable to the Borrower or such Subsidiary as would be obtainable by</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such Person at the time in a comparable arm’s length transaction with a Person other than an Affiliate of the Borrower; provided that the foregoing restriction shall not apply to (a) Investments and Restricted Payments expressly permitted hereunder, (b) payment of customary fees, indemnities and reasonable out of pocket expenses to directors, officers, managers and employees in the ordinary course of business, (c) employment and severance arrangements in the ordinary course of business, (d) transactions by and among the Loan Parties or (e) transactions and payments pursuant to the Management Agreement.</w:t>
      </w:r>
    </w:p>
    <w:p>
      <w:pPr>
        <w:spacing w:after="0" w:line="161"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7"/>
          <w:szCs w:val="17"/>
          <w:b w:val="1"/>
          <w:bCs w:val="1"/>
          <w:color w:val="auto"/>
        </w:rPr>
        <w:t>7.09 Burdensome Agreements</w:t>
      </w:r>
      <w:r>
        <w:rPr>
          <w:rFonts w:ascii="Times New Roman" w:cs="Times New Roman" w:eastAsia="Times New Roman" w:hAnsi="Times New Roman"/>
          <w:sz w:val="17"/>
          <w:szCs w:val="17"/>
          <w:color w:val="auto"/>
        </w:rPr>
        <w:t>. The Borrower shall not, nor shall it permit any Subsidiary to, directly or indirectly, enter into any Contractual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Obligation (other than this Agreement or any other Loan Document and Permitted Pari Passu Provisions) that limits the ability of (a) any Subsidiary to make Restricted Payments to the Borrower or a Loan Party, (b) any Subsidiary to Guarantee the Obligations, (c) the Borrower or any Subsidiary to create, incur, assume or suffer to exist Liens on any Borrowing Base Assets or any Collateral or (d) the Borrower or any Subsidiary to otherwise transfer (including by way of a pledge) property to the Borrower or a Loan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xml:space="preserve"> above shall not prohibit any Negative Pledge incurred or provided in favor of any holder of Secured Debt or the lessor of a Capital Lease, in each case, with respect to any Real Property Asset or other asset that is neither Collateral nor a Borrowing Base Asset solely to the extent any such Negative Pledge relates to the Real Property Asset or other asset financed by or the subject of such Secured Debt or Capital Lease, as applicable, or securing such Indebtedness, (ii) </w:t>
      </w:r>
      <w:r>
        <w:rPr>
          <w:rFonts w:ascii="Times New Roman" w:cs="Times New Roman" w:eastAsia="Times New Roman" w:hAnsi="Times New Roman"/>
          <w:sz w:val="17"/>
          <w:szCs w:val="17"/>
          <w:u w:val="single" w:color="auto"/>
          <w:color w:val="auto"/>
        </w:rPr>
        <w:t>clause (d)</w:t>
      </w:r>
      <w:r>
        <w:rPr>
          <w:rFonts w:ascii="Times New Roman" w:cs="Times New Roman" w:eastAsia="Times New Roman" w:hAnsi="Times New Roman"/>
          <w:sz w:val="17"/>
          <w:szCs w:val="17"/>
          <w:color w:val="auto"/>
        </w:rPr>
        <w:t xml:space="preserve"> above shall not prohibit any agreement that conditions a Person’s ability to encumber its assets upon the maintenance of one or more specified ratios that limit such Person’s ability to encumber its assets but that do not generally prohibit the encumbrance of its assets or the encumbrance of specific assets so long as such conditions are no more restrictive than the conditions in this Agreement, (iii) </w:t>
      </w:r>
      <w:r>
        <w:rPr>
          <w:rFonts w:ascii="Times New Roman" w:cs="Times New Roman" w:eastAsia="Times New Roman" w:hAnsi="Times New Roman"/>
          <w:sz w:val="17"/>
          <w:szCs w:val="17"/>
          <w:u w:val="single" w:color="auto"/>
          <w:color w:val="auto"/>
        </w:rPr>
        <w:t>clause (d)</w:t>
      </w:r>
      <w:r>
        <w:rPr>
          <w:rFonts w:ascii="Times New Roman" w:cs="Times New Roman" w:eastAsia="Times New Roman" w:hAnsi="Times New Roman"/>
          <w:sz w:val="17"/>
          <w:szCs w:val="17"/>
          <w:color w:val="auto"/>
        </w:rPr>
        <w:t xml:space="preserve"> above shall not prohibit any Negative Pledge contained in any agreement in connection with a Disposition not prohibited by this Agreement (provided that such limitation shall only be effective against the assets or property that are the subject of Disposition),</w:t>
      </w:r>
    </w:p>
    <w:p>
      <w:pPr>
        <w:spacing w:after="0" w:line="6" w:lineRule="exact"/>
        <w:rPr>
          <w:sz w:val="20"/>
          <w:szCs w:val="20"/>
          <w:color w:val="auto"/>
        </w:rPr>
      </w:pPr>
    </w:p>
    <w:p>
      <w:pPr>
        <w:ind w:right="120" w:firstLine="8"/>
        <w:spacing w:after="0" w:line="253" w:lineRule="auto"/>
        <w:tabs>
          <w:tab w:leader="none" w:pos="30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shall not apply to customary limitations on Restricted Payments contained in the constituent documents of, or joint venture agreements or other similar agreements entered into in the ordinary course of business that are applicable solely to Subsidiaries that are not Wholly-Owned Subsidiaries, and (v)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shall not apply to any encumbrance or restriction consisting of customary non-assignment provisions in agreements entered into in the ordinary course, other than any agreement affecting, relating to, or entered into in connection with, any Borrowing Base Asset or any Collateral.</w:t>
      </w:r>
    </w:p>
    <w:p>
      <w:pPr>
        <w:spacing w:after="0" w:line="183" w:lineRule="exact"/>
        <w:rPr>
          <w:sz w:val="20"/>
          <w:szCs w:val="20"/>
          <w:color w:val="auto"/>
        </w:rPr>
      </w:pPr>
    </w:p>
    <w:p>
      <w:pPr>
        <w:ind w:right="20" w:firstLine="648"/>
        <w:spacing w:after="0" w:line="265" w:lineRule="auto"/>
        <w:rPr>
          <w:sz w:val="20"/>
          <w:szCs w:val="20"/>
          <w:color w:val="auto"/>
        </w:rPr>
      </w:pPr>
      <w:r>
        <w:rPr>
          <w:rFonts w:ascii="Times New Roman" w:cs="Times New Roman" w:eastAsia="Times New Roman" w:hAnsi="Times New Roman"/>
          <w:sz w:val="18"/>
          <w:szCs w:val="18"/>
          <w:b w:val="1"/>
          <w:bCs w:val="1"/>
          <w:color w:val="auto"/>
        </w:rPr>
        <w:t>7.10 Use of Proceeds</w:t>
      </w:r>
      <w:r>
        <w:rPr>
          <w:rFonts w:ascii="Times New Roman" w:cs="Times New Roman" w:eastAsia="Times New Roman" w:hAnsi="Times New Roman"/>
          <w:sz w:val="18"/>
          <w:szCs w:val="18"/>
          <w:color w:val="auto"/>
        </w:rPr>
        <w:t>. The Borrower shall not, nor shall it permit any Subsidiary to, directly or indirectly, use the proceeds of any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7.11</w:t>
      </w:r>
      <w:r>
        <w:rPr>
          <w:sz w:val="20"/>
          <w:szCs w:val="20"/>
          <w:color w:val="auto"/>
        </w:rPr>
        <w:tab/>
      </w:r>
      <w:r>
        <w:rPr>
          <w:rFonts w:ascii="Times New Roman" w:cs="Times New Roman" w:eastAsia="Times New Roman" w:hAnsi="Times New Roman"/>
          <w:sz w:val="18"/>
          <w:szCs w:val="18"/>
          <w:b w:val="1"/>
          <w:bCs w:val="1"/>
          <w:color w:val="auto"/>
        </w:rPr>
        <w:t>Financial Covenants</w:t>
      </w:r>
      <w:r>
        <w:rPr>
          <w:rFonts w:ascii="Times New Roman" w:cs="Times New Roman" w:eastAsia="Times New Roman" w:hAnsi="Times New Roman"/>
          <w:sz w:val="18"/>
          <w:szCs w:val="18"/>
          <w:color w:val="auto"/>
        </w:rPr>
        <w:t>. The Borrower shall not, nor shall it permit any Subsidiary to:</w:t>
      </w:r>
    </w:p>
    <w:p>
      <w:pPr>
        <w:spacing w:after="0" w:line="225" w:lineRule="exact"/>
        <w:rPr>
          <w:sz w:val="20"/>
          <w:szCs w:val="20"/>
          <w:color w:val="auto"/>
        </w:rPr>
      </w:pPr>
    </w:p>
    <w:p>
      <w:pPr>
        <w:ind w:right="60" w:firstLine="656"/>
        <w:spacing w:after="0" w:line="268" w:lineRule="auto"/>
        <w:tabs>
          <w:tab w:leader="none" w:pos="1294"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Total Leverage Ratio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 the Total Leverage Ratio to be greater than 70% as of any date. Notwithstanding the foregoing, the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Parties shall be permitted to increase the maximum Total Leverage Ratio to 75% for any period not to exceed 180 consecutive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may such ratio exceed 70% for more than 180 consecutive days in any 360 consecutive day period.</w:t>
      </w:r>
    </w:p>
    <w:p>
      <w:pPr>
        <w:spacing w:after="0" w:line="170" w:lineRule="exact"/>
        <w:rPr>
          <w:rFonts w:ascii="Times New Roman" w:cs="Times New Roman" w:eastAsia="Times New Roman" w:hAnsi="Times New Roman"/>
          <w:sz w:val="18"/>
          <w:szCs w:val="18"/>
          <w:color w:val="auto"/>
        </w:rPr>
      </w:pPr>
    </w:p>
    <w:p>
      <w:pPr>
        <w:ind w:right="160" w:firstLine="656"/>
        <w:spacing w:after="0" w:line="286" w:lineRule="auto"/>
        <w:tabs>
          <w:tab w:leader="none" w:pos="1304"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Fixed Charge Coverage Ratio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 the ratio of Consolidated EBITDA to Fixed Charges to be less than 1.45:1.00 as of the last day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fiscal quarter of the Borrower for the period of four fiscal quarters ended on such date.</w:t>
      </w:r>
    </w:p>
    <w:p>
      <w:pPr>
        <w:sectPr>
          <w:pgSz w:w="11900" w:h="16838" w:orient="portrait"/>
          <w:cols w:equalWidth="0" w:num="1">
            <w:col w:w="11420"/>
          </w:cols>
          <w:pgMar w:left="240" w:top="337" w:right="239" w:bottom="0" w:gutter="0" w:footer="0" w:header="0"/>
        </w:sectPr>
      </w:pPr>
    </w:p>
    <w:bookmarkStart w:id="99" w:name="page100"/>
    <w:bookmarkEnd w:id="99"/>
    <w:p>
      <w:pPr>
        <w:spacing w:after="0" w:line="81" w:lineRule="exact"/>
        <w:rPr>
          <w:sz w:val="20"/>
          <w:szCs w:val="20"/>
          <w:color w:val="auto"/>
        </w:rPr>
      </w:pPr>
    </w:p>
    <w:p>
      <w:pPr>
        <w:ind w:left="1320" w:hanging="664"/>
        <w:spacing w:after="0"/>
        <w:tabs>
          <w:tab w:leader="none" w:pos="132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Consolidated Tangible Net Worth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 Consolidated Tangible Net Worth on any date to be less than the sum of (i)</w:t>
      </w:r>
    </w:p>
    <w:p>
      <w:pPr>
        <w:spacing w:after="0" w:line="3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[75% of Consolidated Tangible Net Worth as of the date of the most recent financial statements of the Borrower that are available as of the Closing Date], and (ii) an amount equal to 75% of the Net Proceeds of all Equity Issuances effected by the Borrower after the date of the most recent financial statements of the Borrower that are available as of the Closing Date, excluding any such Net Proceeds that are applied to purchase, redeem or otherwise acquire Equity Interests issued by the Borrower within 90 days of receipt of such Net Proceeds.</w:t>
      </w:r>
    </w:p>
    <w:p>
      <w:pPr>
        <w:spacing w:after="0" w:line="182" w:lineRule="exact"/>
        <w:rPr>
          <w:sz w:val="20"/>
          <w:szCs w:val="20"/>
          <w:color w:val="auto"/>
        </w:rPr>
      </w:pPr>
    </w:p>
    <w:p>
      <w:pPr>
        <w:ind w:right="100" w:firstLine="656"/>
        <w:spacing w:after="0" w:line="268" w:lineRule="auto"/>
        <w:tabs>
          <w:tab w:leader="none" w:pos="1304"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Secured Leverage Ratio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 the Secured Leverage Ratio to be greater than 70% as of any date. Notwithstanding the foregoing,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Loan Parties shall be permitted to increase the maximum Secured Leverage Ratio to 75% for any period not to exceed 180 consecutive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may such ratio exceed 70% for more than 180 consecutive days in any 360 consecutive day period.</w:t>
      </w:r>
    </w:p>
    <w:p>
      <w:pPr>
        <w:spacing w:after="0" w:line="170"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Maximum Secured Recourse Debt</w:t>
      </w:r>
      <w:r>
        <w:rPr>
          <w:rFonts w:ascii="Times New Roman" w:cs="Times New Roman" w:eastAsia="Times New Roman" w:hAnsi="Times New Roman"/>
          <w:sz w:val="18"/>
          <w:szCs w:val="18"/>
          <w:color w:val="auto"/>
        </w:rPr>
        <w:t>. Permit Total Secured Debt that is Recourse Debt to exceed 5% of Total Asset Value as of any date.</w:t>
      </w:r>
    </w:p>
    <w:p>
      <w:pPr>
        <w:spacing w:after="0" w:line="225"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7.12 Sanctions</w:t>
      </w:r>
      <w:r>
        <w:rPr>
          <w:rFonts w:ascii="Times New Roman" w:cs="Times New Roman" w:eastAsia="Times New Roman" w:hAnsi="Times New Roman"/>
          <w:sz w:val="18"/>
          <w:szCs w:val="18"/>
          <w:color w:val="auto"/>
        </w:rPr>
        <w:t>. The Borrower shall not, nor shall it permit any Subsidiary to, directly or indirectly, use the proceeds of any Credit Extension,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 contribute or otherwise make available such proceeds to any Subsidiary, joint venture partner or other individual or entity, to knowingly fund any activities of or business with any individual or entity, or in any Sanctioned Country, that, at the time of such funding, is the subject of Sanctions, or in any other manner that will result in a violation by any individual or entity (including any individual or entity participating in the transaction, whether as Lender, Arranger, Administrative Agent, L/C Issuer or otherwise) of Sanctions.</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7.13</w:t>
      </w:r>
      <w:r>
        <w:rPr>
          <w:sz w:val="20"/>
          <w:szCs w:val="20"/>
          <w:color w:val="auto"/>
        </w:rPr>
        <w:tab/>
      </w:r>
      <w:r>
        <w:rPr>
          <w:rFonts w:ascii="Times New Roman" w:cs="Times New Roman" w:eastAsia="Times New Roman" w:hAnsi="Times New Roman"/>
          <w:sz w:val="17"/>
          <w:szCs w:val="17"/>
          <w:b w:val="1"/>
          <w:bCs w:val="1"/>
          <w:color w:val="auto"/>
        </w:rPr>
        <w:t>Anti-Corruption Laws; Anti-Money Laundering</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100" w:firstLine="656"/>
        <w:spacing w:after="0" w:line="266" w:lineRule="auto"/>
        <w:tabs>
          <w:tab w:leader="none" w:pos="1294"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nor shall it permit any Subsidiary to, directly or indirectly, use the proceeds of any Credit Extension for any purpose which would breach the United States Foreign Corrupt Practices Act of 1977, the UK Bribery Act 2010, and other similar anti-corruption legislation in other jurisdictions.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56"/>
        <w:spacing w:after="0" w:line="261" w:lineRule="auto"/>
        <w:tabs>
          <w:tab w:leader="none" w:pos="130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nor shall it permit any Subsidiary to, directly or indirectly, knowingly engage in any transaction, investment, undertaking or activity that conceals the identity, source or destination of the proceeds from any category of prohibited offenses designated in any applicable law, regulation or other binding measure by the Organisation for Economic Cooperation and Development’s Financial Action Task Force on Money Laundering or violate these laws or any other applicable anti-money laundering law or engage in these actions.</w:t>
      </w:r>
    </w:p>
    <w:p>
      <w:pPr>
        <w:spacing w:after="0" w:line="176"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7.14 Amendments, Waivers and Terminations of Certain Agreements</w:t>
      </w:r>
      <w:r>
        <w:rPr>
          <w:rFonts w:ascii="Times New Roman" w:cs="Times New Roman" w:eastAsia="Times New Roman" w:hAnsi="Times New Roman"/>
          <w:sz w:val="18"/>
          <w:szCs w:val="18"/>
          <w:color w:val="auto"/>
        </w:rPr>
        <w:t>. The Borrower shall not, nor shall it permit any Subsidiary to, 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indirectly, amend, modify, supplement or otherwise change, cancel, terminate or waive in any respect:</w:t>
      </w:r>
    </w:p>
    <w:p>
      <w:pPr>
        <w:spacing w:after="0" w:line="159" w:lineRule="exact"/>
        <w:rPr>
          <w:sz w:val="20"/>
          <w:szCs w:val="20"/>
          <w:color w:val="auto"/>
        </w:rPr>
      </w:pPr>
    </w:p>
    <w:p>
      <w:pPr>
        <w:ind w:right="60" w:firstLine="656"/>
        <w:spacing w:after="0" w:line="261" w:lineRule="auto"/>
        <w:tabs>
          <w:tab w:leader="none" w:pos="1294"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of its Organization Documents without, in each case, the express prior written consent or approval of the Administrative Agent, if such changes (i) would materially impair the rights or interests of the Administrative Agent or any Lender in any Collateral or (ii) would adversely affect in any material respect any other rights or interests of the Administrative Agent, any of the L/C Issuers or any of the Lenders hereunder or under any of the other Loan Documents; or</w:t>
      </w:r>
    </w:p>
    <w:p>
      <w:pPr>
        <w:spacing w:after="0" w:line="180" w:lineRule="exact"/>
        <w:rPr>
          <w:rFonts w:ascii="Times New Roman" w:cs="Times New Roman" w:eastAsia="Times New Roman" w:hAnsi="Times New Roman"/>
          <w:sz w:val="18"/>
          <w:szCs w:val="18"/>
          <w:color w:val="auto"/>
        </w:rPr>
      </w:pPr>
    </w:p>
    <w:p>
      <w:pPr>
        <w:ind w:right="160" w:firstLine="656"/>
        <w:spacing w:after="0" w:line="261" w:lineRule="auto"/>
        <w:tabs>
          <w:tab w:leader="none" w:pos="1304"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or provisions of any agreement constituting or related to any Eligible Loan Asset or Eligible Ground Net Lease Asset that is included in the calculation of the Borrowing Base Amount, other than amendments and modifications that could not reasonably be expected to have a material adverse effect on the ability of any Loan Party to perform its obligations under any Loan Document to which it is a party and are not adverse in any material respect to the Administrative Agent or the Lenders.</w:t>
      </w:r>
    </w:p>
    <w:p>
      <w:pPr>
        <w:spacing w:after="0" w:line="176"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7.15 Accounting Changes; Fiscal Year</w:t>
      </w:r>
      <w:r>
        <w:rPr>
          <w:rFonts w:ascii="Times New Roman" w:cs="Times New Roman" w:eastAsia="Times New Roman" w:hAnsi="Times New Roman"/>
          <w:sz w:val="18"/>
          <w:szCs w:val="18"/>
          <w:color w:val="auto"/>
        </w:rPr>
        <w:t>. The Borrower shall not, nor shall it permit any Subsidiary to, directly or indirectly, make any change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(a) accounting policies or reporting practices except as required or permitted by GAAP or (b) fiscal year.</w:t>
      </w:r>
    </w:p>
    <w:p>
      <w:pPr>
        <w:spacing w:after="0" w:line="15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ARTICLE VIII. EVENTS OF DEFAULT AND REMEDIES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8.01</w:t>
      </w:r>
      <w:r>
        <w:rPr>
          <w:sz w:val="20"/>
          <w:szCs w:val="20"/>
          <w:color w:val="auto"/>
        </w:rPr>
        <w:tab/>
      </w:r>
      <w:r>
        <w:rPr>
          <w:rFonts w:ascii="Times New Roman" w:cs="Times New Roman" w:eastAsia="Times New Roman" w:hAnsi="Times New Roman"/>
          <w:sz w:val="18"/>
          <w:szCs w:val="18"/>
          <w:b w:val="1"/>
          <w:bCs w:val="1"/>
          <w:color w:val="auto"/>
        </w:rPr>
        <w:t>Events of Default</w:t>
      </w:r>
      <w:r>
        <w:rPr>
          <w:rFonts w:ascii="Times New Roman" w:cs="Times New Roman" w:eastAsia="Times New Roman" w:hAnsi="Times New Roman"/>
          <w:sz w:val="18"/>
          <w:szCs w:val="18"/>
          <w:color w:val="auto"/>
        </w:rPr>
        <w:t>. Any of the following shall constitute an Event of Default:</w:t>
      </w:r>
    </w:p>
    <w:p>
      <w:pPr>
        <w:spacing w:after="0" w:line="229" w:lineRule="exact"/>
        <w:rPr>
          <w:sz w:val="20"/>
          <w:szCs w:val="20"/>
          <w:color w:val="auto"/>
        </w:rPr>
      </w:pPr>
    </w:p>
    <w:p>
      <w:pPr>
        <w:jc w:val="both"/>
        <w:ind w:right="20" w:firstLine="656"/>
        <w:spacing w:after="0" w:line="266" w:lineRule="auto"/>
        <w:tabs>
          <w:tab w:leader="none" w:pos="1294"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Non-Payment</w:t>
      </w:r>
      <w:r>
        <w:rPr>
          <w:rFonts w:ascii="Times New Roman" w:cs="Times New Roman" w:eastAsia="Times New Roman" w:hAnsi="Times New Roman"/>
          <w:sz w:val="18"/>
          <w:szCs w:val="18"/>
          <w:color w:val="auto"/>
        </w:rPr>
        <w:t>. The Borrower or any other Loan Party fails to pay (i) when and as required to be paid herein, any amount of principal of any Loan or any L/C Obligation, or (ii) within five (5) Days after the same becomes due, any other amount payable hereunder or under any other Loan Document; or</w:t>
      </w:r>
    </w:p>
    <w:p>
      <w:pPr>
        <w:spacing w:after="0" w:line="176" w:lineRule="exact"/>
        <w:rPr>
          <w:rFonts w:ascii="Times New Roman" w:cs="Times New Roman" w:eastAsia="Times New Roman" w:hAnsi="Times New Roman"/>
          <w:sz w:val="18"/>
          <w:szCs w:val="18"/>
          <w:color w:val="auto"/>
        </w:rPr>
      </w:pPr>
    </w:p>
    <w:p>
      <w:pPr>
        <w:ind w:right="160" w:firstLine="656"/>
        <w:spacing w:after="0" w:line="261" w:lineRule="auto"/>
        <w:tabs>
          <w:tab w:leader="none" w:pos="1304"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Covenants</w:t>
      </w:r>
      <w:r>
        <w:rPr>
          <w:rFonts w:ascii="Times New Roman" w:cs="Times New Roman" w:eastAsia="Times New Roman" w:hAnsi="Times New Roman"/>
          <w:sz w:val="18"/>
          <w:szCs w:val="18"/>
          <w:color w:val="auto"/>
        </w:rPr>
        <w:t xml:space="preserve">. (i) The Borrower fails to perform or observe any term, covenant or agreement contained in any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6.11, 6.12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10.21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(ii) any Guarantor fails to perform or observe any term, covenant or agreement contained in the Guaranty or (iii) any Grantor fails to perform or observe any term, covenant or agreement contained in any Collateral Document to which it is a party; or</w:t>
      </w:r>
    </w:p>
    <w:p>
      <w:pPr>
        <w:spacing w:after="0" w:line="180" w:lineRule="exact"/>
        <w:rPr>
          <w:rFonts w:ascii="Times New Roman" w:cs="Times New Roman" w:eastAsia="Times New Roman" w:hAnsi="Times New Roman"/>
          <w:sz w:val="18"/>
          <w:szCs w:val="18"/>
          <w:color w:val="auto"/>
        </w:rPr>
      </w:pPr>
    </w:p>
    <w:p>
      <w:pPr>
        <w:ind w:right="140" w:firstLine="656"/>
        <w:spacing w:after="0" w:line="282" w:lineRule="auto"/>
        <w:tabs>
          <w:tab w:leader="none" w:pos="1307"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Defaults</w:t>
      </w:r>
      <w:r>
        <w:rPr>
          <w:rFonts w:ascii="Times New Roman" w:cs="Times New Roman" w:eastAsia="Times New Roman" w:hAnsi="Times New Roman"/>
          <w:sz w:val="18"/>
          <w:szCs w:val="18"/>
          <w:color w:val="auto"/>
        </w:rPr>
        <w:t xml:space="preserve">. Any Loan Party fails to perform or observe any other covenant or agreement (not specified in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contained in any Loan Document on its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part to be performed or observed and such failure continues for thirty (30) days (or if such default is of such a nature that it cannot with reasonable effort be completely remedied within said period of thirty (30) days, such additional period of time as may be reasonably necessary to cure same, not to exceed sixty</w:t>
      </w:r>
    </w:p>
    <w:p>
      <w:pPr>
        <w:ind w:left="360" w:hanging="352"/>
        <w:spacing w:after="0"/>
        <w:tabs>
          <w:tab w:leader="none" w:pos="36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or</w:t>
      </w:r>
    </w:p>
    <w:p>
      <w:pPr>
        <w:spacing w:after="0" w:line="206" w:lineRule="exact"/>
        <w:rPr>
          <w:rFonts w:ascii="Times New Roman" w:cs="Times New Roman" w:eastAsia="Times New Roman" w:hAnsi="Times New Roman"/>
          <w:sz w:val="18"/>
          <w:szCs w:val="18"/>
          <w:color w:val="auto"/>
        </w:rPr>
      </w:pPr>
    </w:p>
    <w:p>
      <w:pPr>
        <w:ind w:right="200" w:firstLine="656"/>
        <w:spacing w:after="0" w:line="266" w:lineRule="auto"/>
        <w:tabs>
          <w:tab w:leader="none" w:pos="1304"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Any representation, warranty, certification or statement of fact made or deemed made by or on behalf of any Borrower or any other Loan Party herein, in any other Loan Document, or in any document delivered in connection herewith or therewith shall be incorrect or misleading in any material respect when made or deemed made or any representation or warranty that is already by its terms qualified as to</w:t>
      </w:r>
    </w:p>
    <w:p>
      <w:pPr>
        <w:sectPr>
          <w:pgSz w:w="11900" w:h="16919" w:orient="portrait"/>
          <w:cols w:equalWidth="0" w:num="1">
            <w:col w:w="11420"/>
          </w:cols>
          <w:pgMar w:left="240" w:top="117" w:right="239" w:bottom="0" w:gutter="0" w:footer="0" w:header="0"/>
        </w:sectPr>
      </w:pPr>
    </w:p>
    <w:bookmarkStart w:id="100" w:name="page101"/>
    <w:bookmarkEnd w:id="100"/>
    <w:p>
      <w:pPr>
        <w:spacing w:after="0" w:line="7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“materiality”, “Material Adverse Effect” or similar language shall be incorrect or misleading in any respect after giving effect to such qualification when made or deemed made; or</w:t>
      </w:r>
    </w:p>
    <w:p>
      <w:pPr>
        <w:spacing w:after="0" w:line="162" w:lineRule="exact"/>
        <w:rPr>
          <w:sz w:val="20"/>
          <w:szCs w:val="20"/>
          <w:color w:val="auto"/>
        </w:rPr>
      </w:pPr>
    </w:p>
    <w:p>
      <w:pPr>
        <w:ind w:firstLine="656"/>
        <w:spacing w:after="0" w:line="252" w:lineRule="auto"/>
        <w:tabs>
          <w:tab w:leader="none" w:pos="1307"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Cross-Default</w:t>
      </w:r>
      <w:r>
        <w:rPr>
          <w:rFonts w:ascii="Times New Roman" w:cs="Times New Roman" w:eastAsia="Times New Roman" w:hAnsi="Times New Roman"/>
          <w:sz w:val="18"/>
          <w:szCs w:val="18"/>
          <w:color w:val="auto"/>
        </w:rPr>
        <w:t xml:space="preserve">. (i) The Borrower or any Significant Subsidiary (A) fails to make any payment when due (whether by scheduled maturity, required prepayment, acceleration, demand, or otherwise) and such failure continues beyond the applicable grace period, if any, in respect of any Recourse Indebtedness or Guarantee of Recourse Indebtedness (other than Indebtedness arising under the Loan Documents and Indebtedness under Swap Contracts), having an aggregate principal amount, individually or in the aggregate with all other Recourse Indebtedness as to which such a failure exists, of more than $50,000,000, or (B) fails to observe or perform any other agreement or condition relating to such Recourse Indebtedness or Guarantee of Recourse Indebtedness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(B) shall not apply to any Indebtedness that becomes due as a result of customary non-default mandatory prepayments resulting from asset sales, casualty or condemnation events, the incurrence of Indebtedness or issuances of Equity Interests; (ii) the Borrower or any Significant Subsidiary (A) fails to make any payment when due (whether by scheduled maturity, required prepayment, acceleration, demand, or otherwise) and such failure continues beyond the applicable grace period, if any, in respect of any Non-Recourse Indebtedness or Guarantee of Non-Recourse Indebtedness (other than Indebtedness arising under the Loan Documents and Indebtedness under Swap Contracts), having an aggregate principal amount, individually or in the aggregate with all other Non-Recourse Indebtedness as to which such a failure exists, of more than $125,000,000, or (B) fails to observe or perform any other agreement or condition relating to such Non-Recourse Indebtedness or Guarantee of Non-Recourse Indebtedness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Indebtedness to be made, prior to its stated maturity, or such Guarantee to become payable or cash collateral in respect thereof to be demanded;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(B) shall not apply to any Indebtedness that becomes due as a result of customary non-default mandatory prepayments resulting from asset sales, casualty or condemnation events, the incurrence of Indebtedness or issuances of Equity Interests; or (iii) there occurs under any Swap Contract an Early Termination Date (as defined in such Swap Contract) resulting from (A) any event of default under such Swap Contract as to which the Borrower or any Significant Subsidiary is the Defaulting Party (as defined in such Swap Contract) or (B) any Termination Event (as so defined) under such Swap Contract as to which the Borrower or any Significant Subsidiary is an Affected Party (as so defined) and, in either event, the Swap Termination Value owed by the Borrower or such Significant Subsidiary as a result thereof is greater than $50,000,000; or</w:t>
      </w:r>
    </w:p>
    <w:p>
      <w:pPr>
        <w:spacing w:after="0" w:line="189" w:lineRule="exact"/>
        <w:rPr>
          <w:sz w:val="20"/>
          <w:szCs w:val="20"/>
          <w:color w:val="auto"/>
        </w:rPr>
      </w:pPr>
    </w:p>
    <w:p>
      <w:pPr>
        <w:ind w:right="40" w:firstLine="656"/>
        <w:spacing w:after="0" w:line="255" w:lineRule="auto"/>
        <w:tabs>
          <w:tab w:leader="none" w:pos="1301"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Insolvency Proceedings, Etc.</w:t>
      </w:r>
      <w:r>
        <w:rPr>
          <w:rFonts w:ascii="Times New Roman" w:cs="Times New Roman" w:eastAsia="Times New Roman" w:hAnsi="Times New Roman"/>
          <w:sz w:val="18"/>
          <w:szCs w:val="18"/>
          <w:color w:val="auto"/>
        </w:rPr>
        <w:t xml:space="preserve"> Any Loan Party or any Significant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89" w:lineRule="exact"/>
        <w:rPr>
          <w:rFonts w:ascii="Times New Roman" w:cs="Times New Roman" w:eastAsia="Times New Roman" w:hAnsi="Times New Roman"/>
          <w:sz w:val="18"/>
          <w:szCs w:val="18"/>
          <w:color w:val="auto"/>
        </w:rPr>
      </w:pPr>
    </w:p>
    <w:p>
      <w:pPr>
        <w:ind w:right="240" w:firstLine="656"/>
        <w:spacing w:after="0" w:line="266" w:lineRule="auto"/>
        <w:tabs>
          <w:tab w:leader="none" w:pos="1317"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Pay Debts; Attachment</w:t>
      </w:r>
      <w:r>
        <w:rPr>
          <w:rFonts w:ascii="Times New Roman" w:cs="Times New Roman" w:eastAsia="Times New Roman" w:hAnsi="Times New Roman"/>
          <w:sz w:val="18"/>
          <w:szCs w:val="18"/>
          <w:color w:val="auto"/>
        </w:rPr>
        <w:t>. (i) The Borrower or any Significant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60 days after its issue or levy; or</w:t>
      </w:r>
    </w:p>
    <w:p>
      <w:pPr>
        <w:spacing w:after="0" w:line="176" w:lineRule="exact"/>
        <w:rPr>
          <w:rFonts w:ascii="Times New Roman" w:cs="Times New Roman" w:eastAsia="Times New Roman" w:hAnsi="Times New Roman"/>
          <w:sz w:val="18"/>
          <w:szCs w:val="18"/>
          <w:color w:val="auto"/>
        </w:rPr>
      </w:pPr>
    </w:p>
    <w:p>
      <w:pPr>
        <w:ind w:right="20" w:firstLine="656"/>
        <w:spacing w:after="0" w:line="256" w:lineRule="auto"/>
        <w:tabs>
          <w:tab w:leader="none" w:pos="1304"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Judgments</w:t>
      </w:r>
      <w:r>
        <w:rPr>
          <w:rFonts w:ascii="Times New Roman" w:cs="Times New Roman" w:eastAsia="Times New Roman" w:hAnsi="Times New Roman"/>
          <w:sz w:val="18"/>
          <w:szCs w:val="18"/>
          <w:color w:val="auto"/>
        </w:rPr>
        <w:t>. There is entered against the Borrower or any Significant Subsidiary (i) one or more final judgments or orders for the payment of money in an aggregate amount (as to all such judgments or orders) exceeding $50,000,000 (to the extent not covered by independent third-party insurance as to which the insurer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90 consecutive days during which such judgment is not discharged or dismissed or a stay of enforcement of such judgment, by reason of a pending appeal or otherwise, is not in effect; or</w:t>
      </w:r>
    </w:p>
    <w:p>
      <w:pPr>
        <w:spacing w:after="0" w:line="187"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right="80" w:firstLine="645"/>
        <w:spacing w:after="0" w:line="266" w:lineRule="auto"/>
        <w:tabs>
          <w:tab w:leader="none" w:pos="1978"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any Termination Event with respect to a Plan or Multiemployer Plan shall occur as a result of which Termination Event or Events any member of the ERISA Group has incurred or may incur any liability to the PBGC or any other Person and the sum (determined as of the date of occurrence of such Termination Event) of the insufficiency of such Plan or Multiemployer Plan and the insufficiency of any and all</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40"/>
        <w:spacing w:after="0" w:line="258" w:lineRule="auto"/>
        <w:rPr>
          <w:sz w:val="20"/>
          <w:szCs w:val="20"/>
          <w:color w:val="auto"/>
        </w:rPr>
      </w:pPr>
      <w:r>
        <w:rPr>
          <w:rFonts w:ascii="Times New Roman" w:cs="Times New Roman" w:eastAsia="Times New Roman" w:hAnsi="Times New Roman"/>
          <w:sz w:val="18"/>
          <w:szCs w:val="18"/>
          <w:color w:val="auto"/>
        </w:rPr>
        <w:t>other Plans and Multiemployer Plans with respect to which such a Termination Event shall occur and be continuing (or, in the case of a Multiple Employer Plan with respect to which a Termination Event described in clause (ii) of the definition of Termination Event shall occur and be continuing and in the case of a liability with respect to a Termination Event which is or could be a liability of the Borrower rather than a liability of the Plan, the liability of the Borrower) is equal to or greater than $10,000,000 and which the Required Banks reasonably determine will have a Material Adverse Effect; or</w:t>
      </w:r>
    </w:p>
    <w:p>
      <w:pPr>
        <w:spacing w:after="0" w:line="184" w:lineRule="exact"/>
        <w:rPr>
          <w:sz w:val="20"/>
          <w:szCs w:val="20"/>
          <w:color w:val="auto"/>
        </w:rPr>
      </w:pPr>
    </w:p>
    <w:p>
      <w:pPr>
        <w:ind w:left="660" w:firstLine="645"/>
        <w:spacing w:after="0" w:line="261" w:lineRule="auto"/>
        <w:tabs>
          <w:tab w:leader="none" w:pos="1987"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member of the ERISA Group shall commit a failure described in Section 302(f)(1) of ERISA or Section 412(n)(1) of the Code and the amount of the lien determined under Section 302(f)(3) of ERISA or Section 412(n)(3) of the Code that could reasonably be expected to be imposed on any member of the ERISA Group or their assets in respect of such failure shall be equal to or greater than $10,000,000 and which the Required Banks reasonably determine will have a Material Adverse Effect; or</w:t>
      </w:r>
    </w:p>
    <w:p>
      <w:pPr>
        <w:sectPr>
          <w:pgSz w:w="11900" w:h="16915" w:orient="portrait"/>
          <w:cols w:equalWidth="0" w:num="1">
            <w:col w:w="11400"/>
          </w:cols>
          <w:pgMar w:left="240" w:top="121" w:right="259" w:bottom="0" w:gutter="0" w:footer="0" w:header="0"/>
        </w:sectPr>
      </w:pPr>
    </w:p>
    <w:bookmarkStart w:id="101" w:name="page102"/>
    <w:bookmarkEnd w:id="101"/>
    <w:p>
      <w:pPr>
        <w:ind w:left="660" w:right="80" w:firstLine="645"/>
        <w:spacing w:after="0" w:line="266" w:lineRule="auto"/>
        <w:tabs>
          <w:tab w:leader="none" w:pos="1997"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assets of the Borrower shall constitute “assets” (within the meaning of ERISA or Section 4975 of the Code, including but not limited to 29 C.F.R. § 2510.3-101 or any successor regulation thereto) of an “employee benefit plan” within the meaning of Section 3(3) of ERISA or a “plan” within the meaning of Section 4975(e)(1) of the Code; or</w:t>
      </w:r>
    </w:p>
    <w:p>
      <w:pPr>
        <w:spacing w:after="0" w:line="176" w:lineRule="exact"/>
        <w:rPr>
          <w:rFonts w:ascii="Times New Roman" w:cs="Times New Roman" w:eastAsia="Times New Roman" w:hAnsi="Times New Roman"/>
          <w:sz w:val="18"/>
          <w:szCs w:val="18"/>
          <w:color w:val="auto"/>
        </w:rPr>
      </w:pPr>
    </w:p>
    <w:p>
      <w:pPr>
        <w:ind w:firstLine="656"/>
        <w:spacing w:after="0" w:line="261" w:lineRule="auto"/>
        <w:tabs>
          <w:tab w:leader="none" w:pos="1304"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Invalidity of Loan Documents</w:t>
      </w:r>
      <w:r>
        <w:rPr>
          <w:rFonts w:ascii="Times New Roman" w:cs="Times New Roman" w:eastAsia="Times New Roman" w:hAnsi="Times New Roman"/>
          <w:sz w:val="18"/>
          <w:szCs w:val="18"/>
          <w:color w:val="auto"/>
        </w:rPr>
        <w:t>. Any material provision of any Loan Document, at any time after its execution and delivery and for any reason other than as expressly permitted hereunder or thereunder or satisfaction in full of all the Obligations, ceases to be in full force and effect; or any Consolidated Party contests in any manner the validity or enforceability of any material provision of any Loan Document; or any Loan Party denies that it has any or further liability or obligation under any Loan Document, or purports to revoke, terminate or rescind any material provision of any Loan Document; or</w:t>
      </w:r>
    </w:p>
    <w:p>
      <w:pPr>
        <w:spacing w:after="0" w:line="180" w:lineRule="exact"/>
        <w:rPr>
          <w:rFonts w:ascii="Times New Roman" w:cs="Times New Roman" w:eastAsia="Times New Roman" w:hAnsi="Times New Roman"/>
          <w:sz w:val="18"/>
          <w:szCs w:val="18"/>
          <w:color w:val="auto"/>
        </w:rPr>
      </w:pPr>
    </w:p>
    <w:p>
      <w:pPr>
        <w:jc w:val="both"/>
        <w:ind w:right="500" w:firstLine="656"/>
        <w:spacing w:after="0" w:line="266" w:lineRule="auto"/>
        <w:tabs>
          <w:tab w:leader="none" w:pos="1304"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Any Collateral Document after delivery thereof shall for any reason cease to create a valid and perfected first priority Lien (subject to Permitted Property Encumbrances or Permitted Equity Encumbrances, as applicable) on the Collateral purported to be covered thereby; or</w:t>
      </w:r>
    </w:p>
    <w:p>
      <w:pPr>
        <w:spacing w:after="0" w:line="176"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There occurs any Change of Control.</w:t>
      </w:r>
    </w:p>
    <w:p>
      <w:pPr>
        <w:spacing w:after="0" w:line="221"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8.02 Remedies Upon Event of Default</w:t>
      </w:r>
      <w:r>
        <w:rPr>
          <w:rFonts w:ascii="Times New Roman" w:cs="Times New Roman" w:eastAsia="Times New Roman" w:hAnsi="Times New Roman"/>
          <w:sz w:val="18"/>
          <w:szCs w:val="18"/>
          <w:color w:val="auto"/>
        </w:rPr>
        <w:t>. If any Event of Default occurs and is continuing, the Administrative Agent shall, at the request of,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with the consent of, the Required Lenders, take any or all of the following actions:</w:t>
      </w:r>
    </w:p>
    <w:p>
      <w:pPr>
        <w:spacing w:after="0" w:line="159" w:lineRule="exact"/>
        <w:rPr>
          <w:sz w:val="20"/>
          <w:szCs w:val="20"/>
          <w:color w:val="auto"/>
        </w:rPr>
      </w:pPr>
    </w:p>
    <w:p>
      <w:pPr>
        <w:ind w:right="700" w:firstLine="656"/>
        <w:spacing w:after="0" w:line="282" w:lineRule="auto"/>
        <w:tabs>
          <w:tab w:leader="none" w:pos="1294"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commitment of each Lender to make Loans and any obligation of each L/C Issuer to make L/C Credit Extensions to be terminated, whereupon such commitments and obligation shall be terminated;</w:t>
      </w:r>
    </w:p>
    <w:p>
      <w:pPr>
        <w:spacing w:after="0" w:line="161" w:lineRule="exact"/>
        <w:rPr>
          <w:rFonts w:ascii="Times New Roman" w:cs="Times New Roman" w:eastAsia="Times New Roman" w:hAnsi="Times New Roman"/>
          <w:sz w:val="18"/>
          <w:szCs w:val="18"/>
          <w:color w:val="auto"/>
        </w:rPr>
      </w:pPr>
    </w:p>
    <w:p>
      <w:pPr>
        <w:ind w:right="120" w:firstLine="656"/>
        <w:spacing w:after="0" w:line="266" w:lineRule="auto"/>
        <w:tabs>
          <w:tab w:leader="none" w:pos="1304"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the Borrower Cash Collateralize the L/C Obligations (in an amount equal to the Minimum Collateral Amount with respect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thereto); and</w:t>
      </w:r>
    </w:p>
    <w:p>
      <w:pPr>
        <w:spacing w:after="0" w:line="206"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 on behalf of itself, the Lenders and the L/C Issuers all rights and remedies available to it, the Lenders and the L/C Issuers under the</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Loan Documents;</w:t>
      </w:r>
    </w:p>
    <w:p>
      <w:pPr>
        <w:spacing w:after="0" w:line="20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upon the occurrence of an actual or deemed entry of an order for relief with respect to the Borrower under the Bankruptcy Code of the United States, the obligation of each Lender to make Loans and the obligation of each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any L/C Issuer or any Lender.</w:t>
      </w:r>
    </w:p>
    <w:p>
      <w:pPr>
        <w:spacing w:after="0" w:line="180"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8.03 Application of Funds</w:t>
      </w:r>
      <w:r>
        <w:rPr>
          <w:rFonts w:ascii="Times New Roman" w:cs="Times New Roman" w:eastAsia="Times New Roman" w:hAnsi="Times New Roman"/>
          <w:sz w:val="18"/>
          <w:szCs w:val="18"/>
          <w:color w:val="auto"/>
        </w:rPr>
        <w:t>. After the exercise of remedies provided for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after the Loans have automatically become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immediately due and payable and the L/C Obligations have automatically been required to be Cash Collateralized as set forth in the proviso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any amounts received on account of the Obligations shall, subject to the provisions of </w:t>
      </w:r>
      <w:r>
        <w:rPr>
          <w:rFonts w:ascii="Times New Roman" w:cs="Times New Roman" w:eastAsia="Times New Roman" w:hAnsi="Times New Roman"/>
          <w:sz w:val="18"/>
          <w:szCs w:val="18"/>
          <w:u w:val="single" w:color="auto"/>
          <w:color w:val="auto"/>
        </w:rPr>
        <w:t>Sections 2.16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be applied by the Administrative Agent in the following order:</w:t>
      </w:r>
    </w:p>
    <w:p>
      <w:pPr>
        <w:spacing w:after="0" w:line="181"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payable to the Administrative Agent in its capacity as such;</w:t>
      </w:r>
    </w:p>
    <w:p>
      <w:pPr>
        <w:spacing w:after="0" w:line="162" w:lineRule="exact"/>
        <w:rPr>
          <w:sz w:val="20"/>
          <w:szCs w:val="20"/>
          <w:color w:val="auto"/>
        </w:rPr>
      </w:pPr>
    </w:p>
    <w:p>
      <w:pPr>
        <w:jc w:val="both"/>
        <w:ind w:right="180" w:firstLine="648"/>
        <w:spacing w:after="0" w:line="289" w:lineRule="auto"/>
        <w:rPr>
          <w:sz w:val="20"/>
          <w:szCs w:val="20"/>
          <w:color w:val="auto"/>
        </w:rPr>
      </w:pPr>
      <w:r>
        <w:rPr>
          <w:rFonts w:ascii="Times New Roman" w:cs="Times New Roman" w:eastAsia="Times New Roman" w:hAnsi="Times New Roman"/>
          <w:sz w:val="17"/>
          <w:szCs w:val="17"/>
          <w:u w:val="single" w:color="auto"/>
          <w:color w:val="auto"/>
        </w:rPr>
        <w:t>Second</w:t>
      </w:r>
      <w:r>
        <w:rPr>
          <w:rFonts w:ascii="Times New Roman" w:cs="Times New Roman" w:eastAsia="Times New Roman" w:hAnsi="Times New Roman"/>
          <w:sz w:val="17"/>
          <w:szCs w:val="17"/>
          <w:color w:val="auto"/>
        </w:rPr>
        <w:t xml:space="preserve">, to payment of that portion of the Obligations constituting fees, indemnities and other amounts (other than principal, interest and Letter of Credit Fees) payable to the Lenders and the L/C Issuers (including fees, charges and disbursements of counsel to the respective Lenders and the L/C Issuers and amounts payable under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ratably among them in proportion to the respective amounts described in this </w:t>
      </w:r>
      <w:r>
        <w:rPr>
          <w:rFonts w:ascii="Times New Roman" w:cs="Times New Roman" w:eastAsia="Times New Roman" w:hAnsi="Times New Roman"/>
          <w:sz w:val="17"/>
          <w:szCs w:val="17"/>
          <w:u w:val="single" w:color="auto"/>
          <w:color w:val="auto"/>
        </w:rPr>
        <w:t>clause Second</w:t>
      </w:r>
      <w:r>
        <w:rPr>
          <w:rFonts w:ascii="Times New Roman" w:cs="Times New Roman" w:eastAsia="Times New Roman" w:hAnsi="Times New Roman"/>
          <w:sz w:val="17"/>
          <w:szCs w:val="17"/>
          <w:color w:val="auto"/>
        </w:rPr>
        <w:t xml:space="preserve"> payable to them;</w:t>
      </w:r>
    </w:p>
    <w:p>
      <w:pPr>
        <w:spacing w:after="0" w:line="158" w:lineRule="exact"/>
        <w:rPr>
          <w:sz w:val="20"/>
          <w:szCs w:val="20"/>
          <w:color w:val="auto"/>
        </w:rPr>
      </w:pPr>
    </w:p>
    <w:p>
      <w:pPr>
        <w:ind w:right="40" w:firstLine="648"/>
        <w:spacing w:after="0" w:line="313" w:lineRule="auto"/>
        <w:rPr>
          <w:sz w:val="20"/>
          <w:szCs w:val="20"/>
          <w:color w:val="auto"/>
        </w:rPr>
      </w:pPr>
      <w:r>
        <w:rPr>
          <w:rFonts w:ascii="Times New Roman" w:cs="Times New Roman" w:eastAsia="Times New Roman" w:hAnsi="Times New Roman"/>
          <w:sz w:val="17"/>
          <w:szCs w:val="17"/>
          <w:u w:val="single" w:color="auto"/>
          <w:color w:val="auto"/>
        </w:rPr>
        <w:t>Third</w:t>
      </w:r>
      <w:r>
        <w:rPr>
          <w:rFonts w:ascii="Times New Roman" w:cs="Times New Roman" w:eastAsia="Times New Roman" w:hAnsi="Times New Roman"/>
          <w:sz w:val="17"/>
          <w:szCs w:val="17"/>
          <w:color w:val="auto"/>
        </w:rPr>
        <w:t>, to payment of that portion of the Obligations constituting accrued and unpaid Letter of Credit Fees and interest on the Loans, L/C Borrowings and other Obligations, ratably among the Lenders and the L/C Issuers in proportion to the respective amounts described in this clause Third payable to them;</w:t>
      </w:r>
    </w:p>
    <w:p>
      <w:pPr>
        <w:spacing w:after="0" w:line="13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payment of that portion of the Obligations constituting unpaid principal of the Loans and L/C Borrowings, ratably among the Lenders and the L/C Issuers in proportion to the respective amounts described in this </w:t>
      </w:r>
      <w:r>
        <w:rPr>
          <w:rFonts w:ascii="Times New Roman" w:cs="Times New Roman" w:eastAsia="Times New Roman" w:hAnsi="Times New Roman"/>
          <w:sz w:val="18"/>
          <w:szCs w:val="18"/>
          <w:u w:val="single" w:color="auto"/>
          <w:color w:val="auto"/>
        </w:rPr>
        <w:t>clause Fourth</w:t>
      </w:r>
      <w:r>
        <w:rPr>
          <w:rFonts w:ascii="Times New Roman" w:cs="Times New Roman" w:eastAsia="Times New Roman" w:hAnsi="Times New Roman"/>
          <w:sz w:val="18"/>
          <w:szCs w:val="18"/>
          <w:color w:val="auto"/>
        </w:rPr>
        <w:t xml:space="preserve"> held by them;</w:t>
      </w:r>
    </w:p>
    <w:p>
      <w:pPr>
        <w:spacing w:after="0" w:line="162"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to the Administrative Agent for the account of the L/C Issuers, to Cash Collateralize that portion of L/C Obligations comprised of the aggregate undrawn amount of Letters of Credit to the extent not otherwise Cash Collateralized by the Borrower pursuant to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u w:val="single" w:color="auto"/>
          <w:color w:val="auto"/>
        </w:rPr>
        <w:t>Last</w:t>
      </w:r>
      <w:r>
        <w:rPr>
          <w:rFonts w:ascii="Times New Roman" w:cs="Times New Roman" w:eastAsia="Times New Roman" w:hAnsi="Times New Roman"/>
          <w:sz w:val="18"/>
          <w:szCs w:val="18"/>
          <w:color w:val="auto"/>
        </w:rPr>
        <w:t>, the balance, if any, after all of the Obligations have been indefeasibly paid in full, to the Borrower or as otherwise required by Law.</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Sections 2.03(c)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amounts used to Cash Collateralize the aggregate undrawn amount of Letters of Credit pursuant to </w:t>
      </w:r>
      <w:r>
        <w:rPr>
          <w:rFonts w:ascii="Times New Roman" w:cs="Times New Roman" w:eastAsia="Times New Roman" w:hAnsi="Times New Roman"/>
          <w:sz w:val="18"/>
          <w:szCs w:val="18"/>
          <w:u w:val="single" w:color="auto"/>
          <w:color w:val="auto"/>
        </w:rPr>
        <w:t>clause Fifth</w:t>
      </w:r>
      <w:r>
        <w:rPr>
          <w:rFonts w:ascii="Times New Roman" w:cs="Times New Roman" w:eastAsia="Times New Roman" w:hAnsi="Times New Roman"/>
          <w:sz w:val="18"/>
          <w:szCs w:val="18"/>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72" w:lineRule="exact"/>
        <w:rPr>
          <w:sz w:val="20"/>
          <w:szCs w:val="20"/>
          <w:color w:val="auto"/>
        </w:rPr>
      </w:pPr>
    </w:p>
    <w:p>
      <w:pPr>
        <w:jc w:val="center"/>
        <w:ind w:right="-19"/>
        <w:spacing w:after="0"/>
        <w:tabs>
          <w:tab w:leader="none" w:pos="180" w:val="left"/>
        </w:tabs>
        <w:rPr>
          <w:sz w:val="20"/>
          <w:szCs w:val="20"/>
          <w:color w:val="auto"/>
        </w:rPr>
      </w:pPr>
      <w:r>
        <w:rPr>
          <w:rFonts w:ascii="Times New Roman" w:cs="Times New Roman" w:eastAsia="Times New Roman" w:hAnsi="Times New Roman"/>
          <w:sz w:val="18"/>
          <w:szCs w:val="18"/>
          <w:b w:val="1"/>
          <w:bCs w:val="1"/>
          <w:color w:val="auto"/>
        </w:rPr>
        <w:t>ARTICLE IX.</w:t>
      </w:r>
      <w:r>
        <w:rPr>
          <w:sz w:val="20"/>
          <w:szCs w:val="20"/>
          <w:color w:val="auto"/>
        </w:rPr>
        <w:tab/>
      </w:r>
      <w:r>
        <w:rPr>
          <w:rFonts w:ascii="Times New Roman" w:cs="Times New Roman" w:eastAsia="Times New Roman" w:hAnsi="Times New Roman"/>
          <w:sz w:val="17"/>
          <w:szCs w:val="17"/>
          <w:b w:val="1"/>
          <w:bCs w:val="1"/>
          <w:color w:val="auto"/>
        </w:rPr>
        <w:t>ADMINISTRATIVE AGENT</w:t>
      </w:r>
    </w:p>
    <w:p>
      <w:pPr>
        <w:sectPr>
          <w:pgSz w:w="11900" w:h="16838" w:orient="portrait"/>
          <w:cols w:equalWidth="0" w:num="1">
            <w:col w:w="11400"/>
          </w:cols>
          <w:pgMar w:left="240" w:top="337" w:right="259" w:bottom="40" w:gutter="0" w:footer="0" w:header="0"/>
        </w:sectPr>
      </w:pPr>
    </w:p>
    <w:bookmarkStart w:id="102" w:name="page103"/>
    <w:bookmarkEnd w:id="102"/>
    <w:p>
      <w:pPr>
        <w:spacing w:after="0" w:line="6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9.01 Appointment and Authority</w:t>
      </w:r>
      <w:r>
        <w:rPr>
          <w:rFonts w:ascii="Times New Roman" w:cs="Times New Roman" w:eastAsia="Times New Roman" w:hAnsi="Times New Roman"/>
          <w:sz w:val="18"/>
          <w:szCs w:val="18"/>
          <w:color w:val="auto"/>
        </w:rPr>
        <w:t>. Each of the Lenders and L/C Issuers hereby irrevocably appoints Bank of America to act on its behalf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Issuers, and neither the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Administrative Agent shall also act as the “collateral agent” under the Loan Documents, and each of the Lenders and the L/C Issuers hereby irrevocably appoints and authorizes the Administrative Agent to act as the agent of such Lender and such L/C Issuer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 as though such co-agents, sub-agents and attorneys-in-fact were the “collateral agent” under the Loan Documents) as if set forth in full herein with respect thereto.</w:t>
      </w:r>
    </w:p>
    <w:p>
      <w:pPr>
        <w:spacing w:after="0" w:line="181" w:lineRule="exact"/>
        <w:rPr>
          <w:sz w:val="20"/>
          <w:szCs w:val="20"/>
          <w:color w:val="auto"/>
        </w:rPr>
      </w:pPr>
    </w:p>
    <w:p>
      <w:pPr>
        <w:ind w:right="1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9.02 Rights as a Lender</w:t>
      </w:r>
      <w:r>
        <w:rPr>
          <w:rFonts w:ascii="Times New Roman" w:cs="Times New Roman" w:eastAsia="Times New Roman" w:hAnsi="Times New Roman"/>
          <w:sz w:val="18"/>
          <w:szCs w:val="18"/>
          <w:color w:val="auto"/>
        </w:rPr>
        <w:t>. The Person serving as the Administrative Agent hereunder shall have the same rights and powers in its capacity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business with the Borrower or any Subsidiary or other Affiliate thereof as if such Person were not the Administrative Agent hereunder and without any duty to account therefor to the Lenders.</w:t>
      </w:r>
    </w:p>
    <w:p>
      <w:pPr>
        <w:spacing w:after="0" w:line="158"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9.03 Exculpatory Provisions</w:t>
      </w:r>
      <w:r>
        <w:rPr>
          <w:rFonts w:ascii="Times New Roman" w:cs="Times New Roman" w:eastAsia="Times New Roman" w:hAnsi="Times New Roman"/>
          <w:sz w:val="18"/>
          <w:szCs w:val="18"/>
          <w:color w:val="auto"/>
        </w:rPr>
        <w:t>. The Administrative Agent shall not have any duties or obligations except those expressly set forth herein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other Loan Documents, and its duties hereunder shall be administrative in nature. Without limiting the generality of the foregoing, the Administrative Agent:</w:t>
      </w:r>
    </w:p>
    <w:p>
      <w:pPr>
        <w:spacing w:after="0" w:line="175" w:lineRule="exact"/>
        <w:rPr>
          <w:sz w:val="20"/>
          <w:szCs w:val="20"/>
          <w:color w:val="auto"/>
        </w:rPr>
      </w:pPr>
    </w:p>
    <w:p>
      <w:pPr>
        <w:ind w:left="1940" w:hanging="554"/>
        <w:spacing w:after="0"/>
        <w:tabs>
          <w:tab w:leader="none" w:pos="194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Default has occurred and is continuing;</w:t>
      </w:r>
    </w:p>
    <w:p>
      <w:pPr>
        <w:spacing w:after="0" w:line="225" w:lineRule="exact"/>
        <w:rPr>
          <w:rFonts w:ascii="Times New Roman" w:cs="Times New Roman" w:eastAsia="Times New Roman" w:hAnsi="Times New Roman"/>
          <w:sz w:val="18"/>
          <w:szCs w:val="18"/>
          <w:color w:val="auto"/>
        </w:rPr>
      </w:pPr>
    </w:p>
    <w:p>
      <w:pPr>
        <w:ind w:left="740" w:right="120" w:firstLine="646"/>
        <w:spacing w:after="0" w:line="255" w:lineRule="auto"/>
        <w:tabs>
          <w:tab w:leader="none" w:pos="1963"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89" w:lineRule="exact"/>
        <w:rPr>
          <w:rFonts w:ascii="Times New Roman" w:cs="Times New Roman" w:eastAsia="Times New Roman" w:hAnsi="Times New Roman"/>
          <w:sz w:val="18"/>
          <w:szCs w:val="18"/>
          <w:color w:val="auto"/>
        </w:rPr>
      </w:pPr>
    </w:p>
    <w:p>
      <w:pPr>
        <w:ind w:left="740" w:right="200" w:firstLine="646"/>
        <w:spacing w:after="0" w:line="266" w:lineRule="auto"/>
        <w:tabs>
          <w:tab w:leader="none" w:pos="1966"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Administrative Agent shall not be liable for any action taken or not taken by it (i) with the consent or at the request of the Required Lenders or the Super Majority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Sections 10.01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Borrower, a Lender or an L/C Issuer.</w:t>
      </w:r>
    </w:p>
    <w:p>
      <w:pPr>
        <w:spacing w:after="0" w:line="18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to be created by the Collateral Documents, (v) the value or the sufficiency of any Collateral, or (v)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herein, other than to confirm receipt of items expressly required to be delivered to the Administrative Agent.</w:t>
      </w:r>
    </w:p>
    <w:p>
      <w:pPr>
        <w:spacing w:after="0" w:line="15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9.04 Reliance by Administrative Agent</w:t>
      </w:r>
      <w:r>
        <w:rPr>
          <w:rFonts w:ascii="Times New Roman" w:cs="Times New Roman" w:eastAsia="Times New Roman" w:hAnsi="Times New Roman"/>
          <w:sz w:val="18"/>
          <w:szCs w:val="18"/>
          <w:color w:val="auto"/>
        </w:rPr>
        <w:t>. The Administrative Agent shall be entitled to rely upon, and shall not incur any liability for relying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 presume that such condition is satisfactory to such Lender or such L/C Issuer unless the Administrative Agent shall have received notice to the contrary from such Lender or</w:t>
      </w:r>
    </w:p>
    <w:p>
      <w:pPr>
        <w:sectPr>
          <w:pgSz w:w="11900" w:h="16908" w:orient="portrait"/>
          <w:cols w:equalWidth="0" w:num="1">
            <w:col w:w="11420"/>
          </w:cols>
          <w:pgMar w:left="240" w:top="117" w:right="239" w:bottom="0" w:gutter="0" w:footer="0" w:header="0"/>
        </w:sectPr>
      </w:pPr>
    </w:p>
    <w:bookmarkStart w:id="103" w:name="page104"/>
    <w:bookmarkEnd w:id="103"/>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such L/C Issuer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72"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9.05 Delegation of Duties</w:t>
      </w:r>
      <w:r>
        <w:rPr>
          <w:rFonts w:ascii="Times New Roman" w:cs="Times New Roman" w:eastAsia="Times New Roman" w:hAnsi="Times New Roman"/>
          <w:sz w:val="18"/>
          <w:szCs w:val="18"/>
          <w:color w:val="auto"/>
        </w:rPr>
        <w:t>. The Administrative Agent may perform any and all of its duties and exercise its rights and powers hereunder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any other Loan Document by or through any one or more sub agents appointed by the Administrative Agent. The Administrative Agent and any such sub agent may perform any and all of its duties and exercise its rights and powers by or through their respective Related Parties. The exculpatory provisions of this Article shall apply to any such sub agent and to the Related Parties of the Administrative Agent and any such sub 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9.06</w:t>
      </w:r>
      <w:r>
        <w:rPr>
          <w:sz w:val="20"/>
          <w:szCs w:val="20"/>
          <w:color w:val="auto"/>
        </w:rPr>
        <w:tab/>
      </w:r>
      <w:r>
        <w:rPr>
          <w:rFonts w:ascii="Times New Roman" w:cs="Times New Roman" w:eastAsia="Times New Roman" w:hAnsi="Times New Roman"/>
          <w:sz w:val="17"/>
          <w:szCs w:val="17"/>
          <w:b w:val="1"/>
          <w:bCs w:val="1"/>
          <w:color w:val="auto"/>
        </w:rPr>
        <w:t>Resignation of Administrative Agent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40" w:firstLine="656"/>
        <w:spacing w:after="0" w:line="255" w:lineRule="auto"/>
        <w:tabs>
          <w:tab w:leader="none" w:pos="1294"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at any time give notice of its resignation to the Lenders, the L/C Issuers and the Borrower. Upon receipt of any such notice of resignation, the Required Lenders shall have the right, subject to the approval (not to be unreasonably withheld, delayed or conditioned) of the Borrower (unless an Event of Default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then the retiring Administrative Agent may (but shall not be obligated to) on behalf of the Lenders and the L/C Issuers, appoint a successor Administrative Agent meeting the qualifications set forth above,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provided that in no event shall any such successor Administrative Agent be a Defaulting Lender. Whether or not a successor has been appointed, such resignation shall become effective in accordance with such notice on the Resignation Effective Date.</w:t>
      </w:r>
    </w:p>
    <w:p>
      <w:pPr>
        <w:spacing w:after="0" w:line="162" w:lineRule="exact"/>
        <w:rPr>
          <w:sz w:val="20"/>
          <w:szCs w:val="20"/>
          <w:color w:val="auto"/>
        </w:rPr>
      </w:pPr>
    </w:p>
    <w:p>
      <w:pPr>
        <w:ind w:right="40" w:firstLine="656"/>
        <w:spacing w:after="0" w:line="256" w:lineRule="auto"/>
        <w:tabs>
          <w:tab w:leader="none" w:pos="1304"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Person serving as Administrative Agent is a Defaulting Lender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thereof, the Required Lenders may, to the extent permitted by applicable law, by notice in writing to the Borrower and such Person remove such Person as Administrative Agent and, with the consent of the Borrower so long as no Event of Default has occurred and is continuing (such consent not to be unreasonably withheld, delayed or conditioned, appoint a successor. If no such successor shall have been so appointed by the Required Lenders and shall have accepted such appointment within thirty (30) days (or such earlier day as shall be agreed by the Required Lenders) (the “</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187" w:lineRule="exact"/>
        <w:rPr>
          <w:rFonts w:ascii="Times New Roman" w:cs="Times New Roman" w:eastAsia="Times New Roman" w:hAnsi="Times New Roman"/>
          <w:sz w:val="18"/>
          <w:szCs w:val="18"/>
          <w:color w:val="auto"/>
        </w:rPr>
      </w:pPr>
    </w:p>
    <w:p>
      <w:pPr>
        <w:ind w:right="20" w:firstLine="656"/>
        <w:spacing w:after="0" w:line="252" w:lineRule="auto"/>
        <w:tabs>
          <w:tab w:leader="none" w:pos="1307"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effect from the Resignation Effective Date or the Removal Effective Date (as applicable) (1) the retiring or removed Administrative Agent shall be discharged from its duties and obligations hereunder and under the other Loan Documents (except that in the case of any Collateral held by the Administrative Agent on behalf of the Lenders or the L/C Issuers under any of the Loan Documents, the retiring or removed Administrative Agent shall continue to hold such Collateral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and each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 w:cs="Times New Roman" w:eastAsia="Times New Roman" w:hAnsi="Times New Roman"/>
          <w:sz w:val="18"/>
          <w:szCs w:val="18"/>
          <w:u w:val="single" w:color="auto"/>
          <w:color w:val="auto"/>
        </w:rPr>
        <w:t>Section 3.01(g)</w:t>
      </w:r>
      <w:r>
        <w:rPr>
          <w:rFonts w:ascii="Times New Roman" w:cs="Times New Roman" w:eastAsia="Times New Roman" w:hAnsi="Times New Roman"/>
          <w:sz w:val="18"/>
          <w:szCs w:val="18"/>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shall continue in effect for the benefit of such retiring or removed Administrative Agent, its sub 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(a) acting as collateral agent or otherwise holding any Collateral on behalf of any of the Secured Parties and (b) in respect of any actions taken in connection with transferring the agency to any successor Administrative Agent.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firstLine="656"/>
        <w:spacing w:after="0" w:line="254" w:lineRule="auto"/>
        <w:tabs>
          <w:tab w:leader="none" w:pos="1304"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resignation by, or removal of, Bank of America as Administrative Agent pursuant to this Section shall also constitute its resignation as an L/C Issuer. If Bank of America resigns as an L/C Issuer, it shall retain all the rights, powers, privileges and duties of an L/C Issuer hereunder with respect to all Letters of Credit issued by it and outstanding as of the effective date of its resignation as an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Upon the appointment by the Borrower of a successor L/C Issuer hereunder (which successor shall in all cases be a Lender other than a Defaulting Lender), (a) such successor shall succeed to and become vested with all of the rights, powers, privileges and duties of the retiring L/C Issuer, (b) the retiring L/C Issuer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85"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9.07 Non-Reliance on Administrative Agent and Other Lenders</w:t>
      </w:r>
      <w:r>
        <w:rPr>
          <w:rFonts w:ascii="Times New Roman" w:cs="Times New Roman" w:eastAsia="Times New Roman" w:hAnsi="Times New Roman"/>
          <w:sz w:val="18"/>
          <w:szCs w:val="18"/>
          <w:color w:val="auto"/>
        </w:rPr>
        <w:t>. Each Lender and each L/C Issuer acknowledges that it has, independently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without reliance upon the Administrative Agent or any other Lender or any of their Related Parties and based on such documents and information as it has deemed appropriate, made its own credit analysis and decision to enter into this Agreement. Each Lender and each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ectPr>
          <w:pgSz w:w="11900" w:h="16838" w:orient="portrait"/>
          <w:cols w:equalWidth="0" w:num="1">
            <w:col w:w="11420"/>
          </w:cols>
          <w:pgMar w:left="240" w:top="121" w:right="239" w:bottom="0" w:gutter="0" w:footer="0" w:header="0"/>
        </w:sectPr>
      </w:pPr>
    </w:p>
    <w:bookmarkStart w:id="104" w:name="page105"/>
    <w:bookmarkEnd w:id="104"/>
    <w:p>
      <w:pPr>
        <w:ind w:right="2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9.08 No Other Duties, Etc. </w:t>
      </w:r>
      <w:r>
        <w:rPr>
          <w:rFonts w:ascii="Times New Roman" w:cs="Times New Roman" w:eastAsia="Times New Roman" w:hAnsi="Times New Roman"/>
          <w:sz w:val="18"/>
          <w:szCs w:val="18"/>
          <w:color w:val="auto"/>
        </w:rPr>
        <w:t>Anything herein to the contrary notwithstanding, none of the Bookrunner, Arrangers or [other titles as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listed on the cover page hereof shall have any powers, duties or responsibilities under this Agreement or any of the other Loan Documents, except in its capacity, as applicable, as the Administrative Agent, a Lender or an L/C Issuer hereunder.</w:t>
      </w:r>
    </w:p>
    <w:p>
      <w:pPr>
        <w:spacing w:after="0" w:line="171" w:lineRule="exact"/>
        <w:rPr>
          <w:sz w:val="20"/>
          <w:szCs w:val="20"/>
          <w:color w:val="auto"/>
        </w:rPr>
      </w:pPr>
    </w:p>
    <w:p>
      <w:pPr>
        <w:ind w:right="1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9.09 Administrative Agent May File Proofs of Claim; Credit Bidding. </w:t>
      </w:r>
      <w:r>
        <w:rPr>
          <w:rFonts w:ascii="Times New Roman" w:cs="Times New Roman" w:eastAsia="Times New Roman" w:hAnsi="Times New Roman"/>
          <w:sz w:val="18"/>
          <w:szCs w:val="18"/>
          <w:color w:val="auto"/>
        </w:rPr>
        <w:t>In case of the pendency of any proceeding under any Debtor Relief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81" w:lineRule="exact"/>
        <w:rPr>
          <w:sz w:val="20"/>
          <w:szCs w:val="20"/>
          <w:color w:val="auto"/>
        </w:rPr>
      </w:pPr>
    </w:p>
    <w:p>
      <w:pPr>
        <w:ind w:left="740" w:right="100" w:firstLine="646"/>
        <w:spacing w:after="0" w:line="258" w:lineRule="auto"/>
        <w:tabs>
          <w:tab w:leader="none" w:pos="1952"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 xml:space="preserve">and the Administrative Agent under </w:t>
      </w:r>
      <w:r>
        <w:rPr>
          <w:rFonts w:ascii="Times New Roman" w:cs="Times New Roman" w:eastAsia="Times New Roman" w:hAnsi="Times New Roman"/>
          <w:sz w:val="18"/>
          <w:szCs w:val="18"/>
          <w:u w:val="single" w:color="auto"/>
          <w:color w:val="auto"/>
        </w:rPr>
        <w:t>Sections 2.03(i)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 allowed in such judicial proceeding; and</w:t>
      </w:r>
    </w:p>
    <w:p>
      <w:pPr>
        <w:spacing w:after="0" w:line="225" w:lineRule="exact"/>
        <w:rPr>
          <w:sz w:val="20"/>
          <w:szCs w:val="20"/>
          <w:color w:val="auto"/>
        </w:rPr>
      </w:pPr>
    </w:p>
    <w:p>
      <w:pPr>
        <w:ind w:left="1960" w:hanging="574"/>
        <w:spacing w:after="0"/>
        <w:tabs>
          <w:tab w:leader="none" w:pos="196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and any custodian, receiver, assignee, trustee, liquidator, sequestrator or other similar official in any such judicial proceeding is hereby authorized by each Lender and each L/C Issuer to make such payments to the Administrative Agent and, in the event that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8"/>
          <w:szCs w:val="18"/>
          <w:u w:val="single" w:color="auto"/>
          <w:color w:val="auto"/>
        </w:rPr>
        <w:t>Sections 2.09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 Lender or any L/C Issuer any plan of reorganization, arrangement, adjustment or composition affecting the Obligations or the rights of any Lender or any L/C Issuer to authorize the Administrative Agent to vote in respect of the claim of any Lender or any L/C Issuer in any such proceeding.</w:t>
      </w:r>
    </w:p>
    <w:p>
      <w:pPr>
        <w:spacing w:after="0" w:line="176"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Secured Parties hereby irrevocably authorize the Administrative Agent, at the direction of the Required Lenders, to credit bid all or any portion of the Obligations (including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(a) through (h)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of this Agreement, (iii) the Administrative Agent shall be authorized to assign the relevant Obligations to any such acquisition vehicle pro rata by the Lenders, as a result of which each of the Lenders shall be deemed to have received a pro rata portion of any Equity Interests and/or debt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instruments issued by such an acquisition vehicle on account of the assignment of the Obligations to be credit bid, all without the need for any Secured Party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184"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9.10 Collateral and Guaranty Matters. </w:t>
      </w:r>
      <w:r>
        <w:rPr>
          <w:rFonts w:ascii="Times New Roman" w:cs="Times New Roman" w:eastAsia="Times New Roman" w:hAnsi="Times New Roman"/>
          <w:sz w:val="18"/>
          <w:szCs w:val="18"/>
          <w:color w:val="auto"/>
        </w:rPr>
        <w:t>Without limiting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the Lenders and the L/C Issuers irrevocably authorize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Administrative Agent, at its option and in its discretion,</w:t>
      </w:r>
    </w:p>
    <w:p>
      <w:pPr>
        <w:spacing w:after="0" w:line="159" w:lineRule="exact"/>
        <w:rPr>
          <w:sz w:val="20"/>
          <w:szCs w:val="20"/>
          <w:color w:val="auto"/>
        </w:rPr>
      </w:pPr>
    </w:p>
    <w:p>
      <w:pPr>
        <w:ind w:left="660" w:right="20" w:firstLine="645"/>
        <w:spacing w:after="0" w:line="255" w:lineRule="auto"/>
        <w:tabs>
          <w:tab w:leader="none" w:pos="1954"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release any Lien on any property granted to or held by the Administrative Agent under any Loan Document (i) upon termination of the Aggregate Commitments and payment in full of all Obligations (other than contingent indemnification and reimbursement obligations) and the expiration or termination of all Letters of Credit (other than Letters of Credit as to which other arrangements satisfactory to the Administrative Agent and the applicable L/C Issuer shall have been made), (ii) that is sold or otherwise disposed of, or to be sold or otherwise disposed of, as part of or in connection with any sale or other disposition permitted hereunder or under any other Loan Document, (iii) upon consummation of a Release Transaction relating to such property in accordance with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(iv) upon the occurrence of the Investment Grade Release or (v) subject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if approved, authorized or ratified in writing by the Required Lenders; and</w:t>
      </w:r>
    </w:p>
    <w:p>
      <w:pPr>
        <w:spacing w:after="0" w:line="189" w:lineRule="exact"/>
        <w:rPr>
          <w:rFonts w:ascii="Times New Roman" w:cs="Times New Roman" w:eastAsia="Times New Roman" w:hAnsi="Times New Roman"/>
          <w:sz w:val="18"/>
          <w:szCs w:val="18"/>
          <w:color w:val="auto"/>
        </w:rPr>
      </w:pPr>
    </w:p>
    <w:p>
      <w:pPr>
        <w:ind w:left="660" w:right="500" w:firstLine="645"/>
        <w:spacing w:after="0" w:line="282" w:lineRule="auto"/>
        <w:tabs>
          <w:tab w:leader="none" w:pos="1964"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release any Subsidiary Guarantor from its obligations under the Guaranty if such Person is not required to be a Subsidiary Guarantor pursuant to the terms hereof.</w:t>
      </w:r>
    </w:p>
    <w:p>
      <w:pPr>
        <w:sectPr>
          <w:pgSz w:w="11900" w:h="16838" w:orient="portrait"/>
          <w:cols w:equalWidth="0" w:num="1">
            <w:col w:w="11420"/>
          </w:cols>
          <w:pgMar w:left="240" w:top="117" w:right="239" w:bottom="0" w:gutter="0" w:footer="0" w:header="0"/>
        </w:sectPr>
      </w:pPr>
    </w:p>
    <w:bookmarkStart w:id="105" w:name="page106"/>
    <w:bookmarkEnd w:id="105"/>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Upon request by the Administrative Agent at any time, the Required Lenders will confirm in writing the Administrative Agent’s authority to release its interest in particular types or items of property, or to release any Subsidiary Guarantor from its obligations under the Guaranty pursuant to this</w:t>
      </w:r>
    </w:p>
    <w:p>
      <w:pPr>
        <w:spacing w:after="0"/>
        <w:rPr>
          <w:sz w:val="20"/>
          <w:szCs w:val="20"/>
          <w:color w:val="auto"/>
        </w:rPr>
      </w:pP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76"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9.11</w:t>
      </w:r>
      <w:r>
        <w:rPr>
          <w:sz w:val="20"/>
          <w:szCs w:val="20"/>
          <w:color w:val="auto"/>
        </w:rPr>
        <w:tab/>
      </w:r>
      <w:r>
        <w:rPr>
          <w:rFonts w:ascii="Times New Roman" w:cs="Times New Roman" w:eastAsia="Times New Roman" w:hAnsi="Times New Roman"/>
          <w:sz w:val="18"/>
          <w:szCs w:val="18"/>
          <w:b w:val="1"/>
          <w:bCs w:val="1"/>
          <w:color w:val="auto"/>
        </w:rPr>
        <w:t>ERISA.</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Each Lender that is a Lender on the Closing Date represents and warrants to the Administrative Agent and its Affiliates, and not, for the avoidance of doubt, for the benefit of either Borrower or any other Credit Party, that as of the Closing Date such Lender is not and will not be (1) an employee benefit plan subject to Title I of the Employee Retirement Income Security Act of 1974, as amended (“ERISA”), (2) a plan or account subject to Section 4975 of the Internal Revenue Code of 1986 (the “Code”); (3) an entity deemed to hold “plan assets” of any such plans or accounts for purposes of ERISA or the Code; or (4) a “governmental plan” within the meaning of ERISA.</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ARTICLE X.</w:t>
      </w:r>
      <w:r>
        <w:rPr>
          <w:sz w:val="20"/>
          <w:szCs w:val="20"/>
          <w:color w:val="auto"/>
        </w:rPr>
        <w:tab/>
      </w:r>
      <w:r>
        <w:rPr>
          <w:rFonts w:ascii="Times New Roman" w:cs="Times New Roman" w:eastAsia="Times New Roman" w:hAnsi="Times New Roman"/>
          <w:sz w:val="17"/>
          <w:szCs w:val="17"/>
          <w:b w:val="1"/>
          <w:bCs w:val="1"/>
          <w:color w:val="auto"/>
        </w:rPr>
        <w:t>MISCELLANEOUS</w:t>
      </w:r>
    </w:p>
    <w:p>
      <w:pPr>
        <w:spacing w:after="0" w:line="225" w:lineRule="exact"/>
        <w:rPr>
          <w:sz w:val="20"/>
          <w:szCs w:val="20"/>
          <w:color w:val="auto"/>
        </w:rPr>
      </w:pPr>
    </w:p>
    <w:p>
      <w:pPr>
        <w:ind w:right="2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10.01 Amendments, Etc. </w:t>
      </w:r>
      <w:r>
        <w:rPr>
          <w:rFonts w:ascii="Times New Roman" w:cs="Times New Roman" w:eastAsia="Times New Roman" w:hAnsi="Times New Roman"/>
          <w:sz w:val="18"/>
          <w:szCs w:val="18"/>
          <w:color w:val="auto"/>
        </w:rPr>
        <w:t>No amendment or waiver of any provision of this Agreement or any other Loan Document, and no consent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departure by the Borrower or any other Loan Party therefrom, shall be effective unless in writing signed by the Required Lenders (or such other number or percentage of the Lenders as shall be expressly provided for herein or in the other Loan Documents) and the Borrower or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amendment, waiver or consent shall:</w:t>
      </w:r>
    </w:p>
    <w:p>
      <w:pPr>
        <w:spacing w:after="0" w:line="184" w:lineRule="exact"/>
        <w:rPr>
          <w:sz w:val="20"/>
          <w:szCs w:val="20"/>
          <w:color w:val="auto"/>
        </w:rPr>
      </w:pPr>
    </w:p>
    <w:p>
      <w:pPr>
        <w:ind w:left="1300" w:hanging="644"/>
        <w:spacing w:after="0"/>
        <w:tabs>
          <w:tab w:leader="none" w:pos="130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 any condition set forth in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 xml:space="preserve"> without the written consent of each Lender;</w:t>
      </w:r>
    </w:p>
    <w:p>
      <w:pPr>
        <w:spacing w:after="0" w:line="225" w:lineRule="exact"/>
        <w:rPr>
          <w:rFonts w:ascii="Times New Roman" w:cs="Times New Roman" w:eastAsia="Times New Roman" w:hAnsi="Times New Roman"/>
          <w:sz w:val="18"/>
          <w:szCs w:val="18"/>
          <w:color w:val="auto"/>
        </w:rPr>
      </w:pPr>
    </w:p>
    <w:p>
      <w:pPr>
        <w:ind w:right="200" w:firstLine="656"/>
        <w:spacing w:after="0" w:line="282" w:lineRule="auto"/>
        <w:tabs>
          <w:tab w:leader="none" w:pos="1304"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extend or increase the Commitment of any Lender (or reinstate any Commitment terminated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without the written consent of such Lender;</w:t>
      </w:r>
    </w:p>
    <w:p>
      <w:pPr>
        <w:spacing w:after="0" w:line="161" w:lineRule="exact"/>
        <w:rPr>
          <w:rFonts w:ascii="Times New Roman" w:cs="Times New Roman" w:eastAsia="Times New Roman" w:hAnsi="Times New Roman"/>
          <w:sz w:val="18"/>
          <w:szCs w:val="18"/>
          <w:color w:val="auto"/>
        </w:rPr>
      </w:pPr>
    </w:p>
    <w:p>
      <w:pPr>
        <w:ind w:right="40" w:firstLine="656"/>
        <w:spacing w:after="0" w:line="282" w:lineRule="auto"/>
        <w:tabs>
          <w:tab w:leader="none" w:pos="1307"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postpone any date fixed by this Agreement or any other Loan Document for any payment of principal, interest, fees or other amounts due to the Lenders (or any of them) hereunder or under any other Loan Document without the written consent of each Lender directly affected thereby;</w:t>
      </w:r>
    </w:p>
    <w:p>
      <w:pPr>
        <w:spacing w:after="0" w:line="161" w:lineRule="exact"/>
        <w:rPr>
          <w:rFonts w:ascii="Times New Roman" w:cs="Times New Roman" w:eastAsia="Times New Roman" w:hAnsi="Times New Roman"/>
          <w:sz w:val="18"/>
          <w:szCs w:val="18"/>
          <w:color w:val="auto"/>
        </w:rPr>
      </w:pPr>
    </w:p>
    <w:p>
      <w:pPr>
        <w:ind w:right="80" w:firstLine="656"/>
        <w:spacing w:after="0" w:line="261" w:lineRule="auto"/>
        <w:tabs>
          <w:tab w:leader="none" w:pos="1304"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principal of, or the rate of interest specified herein on, any Loan or L/C Borrowing, or (subject to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of the second proviso to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any fees or other amounts payable hereunder or under any other Loan Document without the written consent of each Lender directly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only the consent of the Required Lenders shall be necessary to amend the definition of “Default Rate” or to waive any obligation of the Borrower to pay interest or Letter of Credit Fees at the Default Rate;</w:t>
      </w:r>
    </w:p>
    <w:p>
      <w:pPr>
        <w:spacing w:after="0" w:line="180" w:lineRule="exact"/>
        <w:rPr>
          <w:rFonts w:ascii="Times New Roman" w:cs="Times New Roman" w:eastAsia="Times New Roman" w:hAnsi="Times New Roman"/>
          <w:sz w:val="18"/>
          <w:szCs w:val="18"/>
          <w:color w:val="auto"/>
        </w:rPr>
      </w:pPr>
    </w:p>
    <w:p>
      <w:pPr>
        <w:ind w:right="400" w:firstLine="656"/>
        <w:spacing w:after="0" w:line="282" w:lineRule="auto"/>
        <w:tabs>
          <w:tab w:leader="none" w:pos="1307"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Section 8.03 in a manner that would alter the pro rata sharing of payments required thereby without the written consent of each Lender directly and adversely affected;</w:t>
      </w:r>
    </w:p>
    <w:p>
      <w:pPr>
        <w:spacing w:after="0" w:line="161" w:lineRule="exact"/>
        <w:rPr>
          <w:rFonts w:ascii="Times New Roman" w:cs="Times New Roman" w:eastAsia="Times New Roman" w:hAnsi="Times New Roman"/>
          <w:sz w:val="18"/>
          <w:szCs w:val="18"/>
          <w:color w:val="auto"/>
        </w:rPr>
      </w:pPr>
    </w:p>
    <w:p>
      <w:pPr>
        <w:ind w:right="160" w:firstLine="656"/>
        <w:spacing w:after="0" w:line="266" w:lineRule="auto"/>
        <w:tabs>
          <w:tab w:leader="none" w:pos="1301"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provision of this Section or the definitions of “Required Lenders” or “Super Majority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176" w:lineRule="exact"/>
        <w:rPr>
          <w:rFonts w:ascii="Times New Roman" w:cs="Times New Roman" w:eastAsia="Times New Roman" w:hAnsi="Times New Roman"/>
          <w:sz w:val="18"/>
          <w:szCs w:val="18"/>
          <w:color w:val="auto"/>
        </w:rPr>
      </w:pPr>
    </w:p>
    <w:p>
      <w:pPr>
        <w:ind w:right="180" w:firstLine="656"/>
        <w:spacing w:after="0" w:line="266" w:lineRule="auto"/>
        <w:tabs>
          <w:tab w:leader="none" w:pos="1317"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(i) all or substantially all of the value of the Guaranty (excluding, for the avoidance of doubt, a release of applicable Subsidiary Guarantors made pursuant to the Investment Grade Release)or (ii) the Operating Partnership from the Guaranty, in each case, without the written consent of each Lender; or</w:t>
      </w:r>
    </w:p>
    <w:p>
      <w:pPr>
        <w:spacing w:after="0" w:line="176"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all or substantially all of the Collateral in any transaction or series of related transactions, without the written consent of each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 no amendment, waiver or consent shall, unless in writing and signed by an L/C Issuer in addition to the Lenders required above, affect the rights or duties of such L/C Issuer under this Agreement or any Issuer Document relating to any Letter of Credit issued or to be issued by it; (ii) no amendment, waiver or consent shall, unless in writing and signed by the Administrative Agent in addition to the Lenders required above, affect the rights or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duties of the Administrative Agent under this Agreement or any other Loan Document; and (iii) the Fee Letter may be amended, or rights or privileges thereunder waived, in a writing executed only by the parties thereto.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anything to the contrary herein,</w:t>
      </w:r>
    </w:p>
    <w:p>
      <w:pPr>
        <w:spacing w:after="0" w:line="225" w:lineRule="exact"/>
        <w:rPr>
          <w:sz w:val="20"/>
          <w:szCs w:val="20"/>
          <w:color w:val="auto"/>
        </w:rPr>
      </w:pPr>
    </w:p>
    <w:p>
      <w:pPr>
        <w:ind w:left="660" w:right="20" w:firstLine="645"/>
        <w:spacing w:after="0" w:line="256" w:lineRule="auto"/>
        <w:tabs>
          <w:tab w:leader="none" w:pos="1978"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ectPr>
          <w:pgSz w:w="11900" w:h="16838" w:orient="portrait"/>
          <w:cols w:equalWidth="0" w:num="1">
            <w:col w:w="11420"/>
          </w:cols>
          <w:pgMar w:left="240" w:top="121" w:right="239" w:bottom="0" w:gutter="0" w:footer="0" w:header="0"/>
        </w:sectPr>
      </w:pPr>
    </w:p>
    <w:bookmarkStart w:id="106" w:name="page107"/>
    <w:bookmarkEnd w:id="106"/>
    <w:p>
      <w:pPr>
        <w:spacing w:after="0" w:line="70" w:lineRule="exact"/>
        <w:rPr>
          <w:sz w:val="20"/>
          <w:szCs w:val="20"/>
          <w:color w:val="auto"/>
        </w:rPr>
      </w:pPr>
    </w:p>
    <w:p>
      <w:pPr>
        <w:ind w:left="660" w:right="360" w:firstLine="645"/>
        <w:spacing w:after="0" w:line="282" w:lineRule="auto"/>
        <w:tabs>
          <w:tab w:leader="none" w:pos="1987"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the Borrower may, with the consent of the other (but without the consent of any Lender or other Loan Party), amend, modify or supplement this Agreement and any other Loan Document:</w:t>
      </w:r>
    </w:p>
    <w:p>
      <w:pPr>
        <w:spacing w:after="0" w:line="161" w:lineRule="exact"/>
        <w:rPr>
          <w:rFonts w:ascii="Times New Roman" w:cs="Times New Roman" w:eastAsia="Times New Roman" w:hAnsi="Times New Roman"/>
          <w:sz w:val="18"/>
          <w:szCs w:val="18"/>
          <w:color w:val="auto"/>
        </w:rPr>
      </w:pPr>
    </w:p>
    <w:p>
      <w:pPr>
        <w:ind w:left="1300" w:firstLine="653"/>
        <w:spacing w:after="0" w:line="282" w:lineRule="auto"/>
        <w:tabs>
          <w:tab w:leader="none" w:pos="2617"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typographical error, mistake, defect or inconsistency if such amendment, modification or supplement does not adversely affect the rights of the Administrative Agent or any Lender, or</w:t>
      </w:r>
    </w:p>
    <w:p>
      <w:pPr>
        <w:spacing w:after="0" w:line="161"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 “Subsidiary Guarantor” in accordance with the applicable provisions of this Agreement and the other Loan</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w:t>
      </w:r>
    </w:p>
    <w:p>
      <w:pPr>
        <w:spacing w:after="0" w:line="20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any provision herein to the contrary, this Agreement may be amended with the written consent of the Lenders participating in any Incremental Revolving Increase or Incremental Term Loan Facility, the Administrative Agent and the Borrower (i) to add one or more additional revolving credit or term loan facilities to this Agreement , in each case subject to the limitations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and to permit the extensions of credit and all related obligations and liabilities arising in connection therewith from time to time outstanding to share ratably (or on a basis subordinated to the existing facilities hereunder) in the benefits of this Agreement and the other Loan Documents with the obligations and liabilities from time to time outstanding in respect of the existing facilities hereunder, and (ii) in connection with the foregoing, to permit, as deemed appropriate by the Administrative Agent and approved by the Lenders providing such additional credit facilities to participate in any required vote or action required to be approved by the Required Lenders or by any other number, percentage or class of Lenders hereunder.</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10.02</w:t>
      </w:r>
      <w:r>
        <w:rPr>
          <w:sz w:val="20"/>
          <w:szCs w:val="20"/>
          <w:color w:val="auto"/>
        </w:rPr>
        <w:tab/>
      </w:r>
      <w:r>
        <w:rPr>
          <w:rFonts w:ascii="Times New Roman" w:cs="Times New Roman" w:eastAsia="Times New Roman" w:hAnsi="Times New Roman"/>
          <w:sz w:val="17"/>
          <w:szCs w:val="17"/>
          <w:b w:val="1"/>
          <w:bCs w:val="1"/>
          <w:color w:val="auto"/>
        </w:rPr>
        <w:t>Notices; Effectiveness; Electronic Communication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40" w:firstLine="656"/>
        <w:spacing w:after="0" w:line="261" w:lineRule="auto"/>
        <w:tabs>
          <w:tab w:leader="none" w:pos="1294"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xml:space="preserve">. Except in the case of notices and other communications expressly permitted to be given by telephone (and except as provided in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below), all notices and other communications provided for herein shall be in writing and shall be delivered by hand or overnight courier service, mailed by certified or registered mail or sent by facsimile as follows, and all notices and other communications expressly permitted hereunder to be given by telephone shall be made to the applicable telephone number, as follows: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740" w:firstLine="645"/>
        <w:spacing w:after="0" w:line="282" w:lineRule="auto"/>
        <w:tabs>
          <w:tab w:leader="none" w:pos="1978"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Borrower or any other Loan Party, the Administrative Agent or any L/C Issuer, to the address, facsimile number, electronic mail address or telephone number specified for such Person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660" w:right="680" w:firstLine="645"/>
        <w:spacing w:after="0" w:line="289" w:lineRule="auto"/>
        <w:tabs>
          <w:tab w:leader="none" w:pos="1987" w:val="left"/>
        </w:tabs>
        <w:numPr>
          <w:ilvl w:val="0"/>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5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below, shall be effective as provided in such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firstLine="656"/>
        <w:spacing w:after="0" w:line="255" w:lineRule="auto"/>
        <w:tabs>
          <w:tab w:leader="none" w:pos="130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to the Lenders and the L/C Issuers hereunder may be delivered or furnished by electronic communication (including e-mail, FpML (financial products Markup Language) messaging,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or any L/C Issuer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if such Lender or such L/C Issuer, as applicable, has notified the Administrative Agent that it is incapable of receiving notices under such Article by electronic communication. The Administrative Agent, any L/C Issuer or the Borrower may each,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notification that such notice or communication is available and identifying the website address therefor; provided that, for both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89" w:lineRule="exact"/>
        <w:rPr>
          <w:sz w:val="20"/>
          <w:szCs w:val="20"/>
          <w:color w:val="auto"/>
        </w:rPr>
      </w:pPr>
    </w:p>
    <w:p>
      <w:pPr>
        <w:ind w:right="280" w:firstLine="656"/>
        <w:spacing w:after="0" w:line="289" w:lineRule="auto"/>
        <w:tabs>
          <w:tab w:leader="none" w:pos="1307" w:val="left"/>
        </w:tabs>
        <w:numPr>
          <w:ilvl w:val="0"/>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The Platform</w:t>
      </w:r>
      <w:r>
        <w:rPr>
          <w:rFonts w:ascii="Times New Roman" w:cs="Times New Roman" w:eastAsia="Times New Roman" w:hAnsi="Times New Roman"/>
          <w:sz w:val="17"/>
          <w:szCs w:val="17"/>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xml:space="preserve">”) have any liability to the Borrower, any Lender, any L/C Issuer or any other Person for losses, claims, damages, liabilities or expenses of any kind (whether in tort, contract or otherwise) arising out of the Borrower’s, any Loan Party’s or the Administrative Agent’s transmission of Borrower Materials or notices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bad faith, willful misconduct or gross negligence of such Agent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Agent Party have any liability to any Loan Party, any Lender, any L/C Issuer or any other Person for indirect, special, incidental, consequential or punitive damages (as opposed to direct or actual damages).</w:t>
      </w:r>
    </w:p>
    <w:p>
      <w:pPr>
        <w:sectPr>
          <w:pgSz w:w="11900" w:h="16909" w:orient="portrait"/>
          <w:cols w:equalWidth="0" w:num="1">
            <w:col w:w="11420"/>
          </w:cols>
          <w:pgMar w:left="240" w:top="121" w:right="239" w:bottom="0" w:gutter="0" w:footer="0" w:header="0"/>
        </w:sectPr>
      </w:pPr>
    </w:p>
    <w:bookmarkStart w:id="107" w:name="page108"/>
    <w:bookmarkEnd w:id="107"/>
    <w:p>
      <w:pPr>
        <w:spacing w:after="0" w:line="81" w:lineRule="exact"/>
        <w:rPr>
          <w:sz w:val="20"/>
          <w:szCs w:val="20"/>
          <w:color w:val="auto"/>
        </w:rPr>
      </w:pPr>
    </w:p>
    <w:p>
      <w:pPr>
        <w:ind w:right="40" w:firstLine="656"/>
        <w:spacing w:after="0" w:line="254" w:lineRule="auto"/>
        <w:tabs>
          <w:tab w:leader="none" w:pos="1304"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Address, Etc.</w:t>
      </w:r>
      <w:r>
        <w:rPr>
          <w:rFonts w:ascii="Times New Roman" w:cs="Times New Roman" w:eastAsia="Times New Roman" w:hAnsi="Times New Roman"/>
          <w:sz w:val="18"/>
          <w:szCs w:val="18"/>
          <w:color w:val="auto"/>
        </w:rPr>
        <w:t xml:space="preserve"> Each of the Borrower, the Administrative Agent and each of the L/C Issuers may change its address, facsimile or telephone number for notices and other communications hereunder by notice to the other parties hereto. Each other Lender may change its address, facsimile or telephone number for notices and other communications hereunder by notice to the Borrower, the Administrative Agent and the L/C Issuers.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86" w:lineRule="exact"/>
        <w:rPr>
          <w:rFonts w:ascii="Times New Roman" w:cs="Times New Roman" w:eastAsia="Times New Roman" w:hAnsi="Times New Roman"/>
          <w:sz w:val="18"/>
          <w:szCs w:val="18"/>
          <w:color w:val="auto"/>
        </w:rPr>
      </w:pPr>
    </w:p>
    <w:p>
      <w:pPr>
        <w:ind w:right="60" w:firstLine="656"/>
        <w:spacing w:after="0" w:line="255" w:lineRule="auto"/>
        <w:tabs>
          <w:tab w:leader="none" w:pos="1307"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by Administrative Agent, L/C Issuers and Lenders</w:t>
      </w:r>
      <w:r>
        <w:rPr>
          <w:rFonts w:ascii="Times New Roman" w:cs="Times New Roman" w:eastAsia="Times New Roman" w:hAnsi="Times New Roman"/>
          <w:sz w:val="18"/>
          <w:szCs w:val="18"/>
          <w:color w:val="auto"/>
        </w:rPr>
        <w:t>. The Administrative Agent, the L/C Issuers and the Lenders shall be entitled to rely and act upon any notices (including telephonic notices, Committed Loan Notices, and Letter of Credit Applications)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jointly and severally, the Administrative Agent, each L/C Issuer, each Lender and the Related Parties of each of them from all losses, costs, expenses and liabilities resulting from the reliance by such Person on each notice purportedly given by or on behalf of the Borrower, except to the extent that such losses, costs, expenses or liabilities are determined by a court of competent jurisdiction by a final and nonappealable judgment to have resulted from the bad faith, willful misconduct or gross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negligence of such Person. All telephonic notices to and other telephonic communications with the Administrative Agent may be recorded by the Administrative Agent, and each of the parties hereto hereby consents to such recording.</w:t>
      </w:r>
    </w:p>
    <w:p>
      <w:pPr>
        <w:spacing w:after="0" w:line="158"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10.03 No Waiver; Cumulative Remedies; Enforcement</w:t>
      </w:r>
      <w:r>
        <w:rPr>
          <w:rFonts w:ascii="Times New Roman" w:cs="Times New Roman" w:eastAsia="Times New Roman" w:hAnsi="Times New Roman"/>
          <w:sz w:val="18"/>
          <w:szCs w:val="18"/>
          <w:color w:val="auto"/>
        </w:rPr>
        <w:t>. No failure by any Lender, any L/C Issuer or the Administrative Agent to exercise,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4"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17"/>
          <w:szCs w:val="17"/>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17"/>
          <w:szCs w:val="17"/>
          <w:u w:val="single" w:color="auto"/>
          <w:color w:val="auto"/>
        </w:rPr>
        <w:t>Section 8.02</w:t>
      </w:r>
      <w:r>
        <w:rPr>
          <w:rFonts w:ascii="Times New Roman" w:cs="Times New Roman" w:eastAsia="Times New Roman" w:hAnsi="Times New Roman"/>
          <w:sz w:val="17"/>
          <w:szCs w:val="17"/>
          <w:color w:val="auto"/>
        </w:rPr>
        <w:t xml:space="preserve"> for the benefit of all the Lenders and the L/C Issuers;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foregoing shall not prohibit (a) the Administrative Agent from exercising on its own behalf the rights and remedies that inure to its benefit (solely in its capacity as Administrative Agent) hereunder and under the other Loan Documents, (b) any L/C Issuer from exercising the rights and remedies that inure to its benefit (solely in its capacity as an L/C Issuer) hereunder and under the other Loan Documents,</w:t>
      </w:r>
    </w:p>
    <w:p>
      <w:pPr>
        <w:ind w:right="140" w:firstLine="8"/>
        <w:spacing w:after="0" w:line="252" w:lineRule="auto"/>
        <w:tabs>
          <w:tab w:leader="none" w:pos="245"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from exercising setoff rights in accordance with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and (ii) in addition to the matters set forth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preceding proviso and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any Lender may, with the consent of the Required Lenders, enforce any rights and remedies available to it and as authorized by the Required Lenders.</w:t>
      </w:r>
    </w:p>
    <w:p>
      <w:pPr>
        <w:spacing w:after="0" w:line="18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10.04</w:t>
      </w:r>
      <w:r>
        <w:rPr>
          <w:sz w:val="20"/>
          <w:szCs w:val="20"/>
          <w:color w:val="auto"/>
        </w:rPr>
        <w:tab/>
      </w:r>
      <w:r>
        <w:rPr>
          <w:rFonts w:ascii="Times New Roman" w:cs="Times New Roman" w:eastAsia="Times New Roman" w:hAnsi="Times New Roman"/>
          <w:sz w:val="17"/>
          <w:szCs w:val="17"/>
          <w:b w:val="1"/>
          <w:bCs w:val="1"/>
          <w:color w:val="auto"/>
        </w:rPr>
        <w:t>Expenses; Indemnity; Damage Waiver</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120" w:firstLine="656"/>
        <w:spacing w:after="0" w:line="255" w:lineRule="auto"/>
        <w:tabs>
          <w:tab w:leader="none" w:pos="1294"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Without limiting any other Loan Document, the Borrower shall pay (i) all reasonable and documented out-of-pocket expenses incurred by the Administrative Agent and its Affiliates (including the reasonable and documented out-of-pocket fees, charges and disbursements of one counsel, taken as a whole, and, if applicable, one local counsel in each material jurisdiction,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any L/C Issuer in connection with the issuance, amendment, renewal or extension of any Letter of Credit or any demand for payment thereunder and (iii) all documented out-of-pocket expenses incurred by the Administrative Agent, any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Lender or any L/C Issuer (including the fees, charges and disbursements of one counsel for the Administrative Agent, the Lenders and the L/C Issuers, taken as a whole, and, if applicable, one local counsel in each material jurisdiction), in connection with the enforcement or protection of its rights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 and including, in each case under clauses (i) through (iii) above, as applicable, (1) appraisal and re-appraisal costs, to the extent required to be paid by the Borrower, and survey costs; (2) title insurance charges and premiums; (3) title search or examination costs, including abstracts, abstractors’ certificates and uniform commercial code searches; (4) judgment and tax lien searches; (5) escrow fees; (6) fees and costs of environmental investigations, site assessments and remediations; (7) recordation taxes, documentary taxes, transfer taxes and mortgage taxes; (8) filing and recording fees; (9) loan brokerage fees; (10) actual and reasonable fees and costs in connection with the addition or release of any Real Property Asset as a Borrowing Base Asset; and (11) actual and reasonable fees and costs in connection with any Mortgage with respect to such Borrowing Base Asset.</w:t>
      </w:r>
    </w:p>
    <w:p>
      <w:pPr>
        <w:spacing w:after="0" w:line="186" w:lineRule="exact"/>
        <w:rPr>
          <w:sz w:val="20"/>
          <w:szCs w:val="20"/>
          <w:color w:val="auto"/>
        </w:rPr>
      </w:pPr>
    </w:p>
    <w:p>
      <w:pPr>
        <w:ind w:firstLine="656"/>
        <w:spacing w:after="0" w:line="266" w:lineRule="auto"/>
        <w:tabs>
          <w:tab w:leader="none" w:pos="1304"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Borrower</w:t>
      </w:r>
      <w:r>
        <w:rPr>
          <w:rFonts w:ascii="Times New Roman" w:cs="Times New Roman" w:eastAsia="Times New Roman" w:hAnsi="Times New Roman"/>
          <w:sz w:val="18"/>
          <w:szCs w:val="18"/>
          <w:color w:val="auto"/>
        </w:rPr>
        <w:t>. The Borrower shall indemnify the Administrative Agent (and any sub-agent thereof), each Lender and each L/C Issuer,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against, and hold each Indemnitee harmless from, any and all losses, claims, damages, liabilities and related expenses (including the reasonable and documented fees, charges and disbursements</w:t>
      </w:r>
    </w:p>
    <w:p>
      <w:pPr>
        <w:sectPr>
          <w:pgSz w:w="11900" w:h="16919" w:orient="portrait"/>
          <w:cols w:equalWidth="0" w:num="1">
            <w:col w:w="11420"/>
          </w:cols>
          <w:pgMar w:left="240" w:top="337" w:right="239" w:bottom="0" w:gutter="0" w:footer="0" w:header="0"/>
        </w:sectPr>
      </w:pPr>
    </w:p>
    <w:bookmarkStart w:id="108" w:name="page109"/>
    <w:bookmarkEnd w:id="108"/>
    <w:p>
      <w:pPr>
        <w:spacing w:after="0" w:line="4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 xml:space="preserve">of any counsel for any Indemnitee), incurred by any Indemnitee or asserted against any Indemnitee by any Person (including the Borrower or any other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(ii) any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Environmental Affiliate, any violation by the Borrower or an Environmental Affiliate of any applicable Environmental Law, the breach of any environmental representation or warranty set forth herein or any Environmental Claim related in any way to the Borrower or any Environmental Affiliate, or</w:t>
      </w:r>
    </w:p>
    <w:p>
      <w:pPr>
        <w:spacing w:after="0" w:line="6" w:lineRule="exact"/>
        <w:rPr>
          <w:sz w:val="20"/>
          <w:szCs w:val="20"/>
          <w:color w:val="auto"/>
        </w:rPr>
      </w:pPr>
    </w:p>
    <w:p>
      <w:pPr>
        <w:ind w:firstLine="8"/>
        <w:spacing w:after="0" w:line="265" w:lineRule="auto"/>
        <w:tabs>
          <w:tab w:leader="none" w:pos="305" w:val="left"/>
        </w:tabs>
        <w:numPr>
          <w:ilvl w:val="0"/>
          <w:numId w:val="3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w:t>
      </w:r>
      <w:r>
        <w:rPr>
          <w:rFonts w:ascii="Times New Roman" w:cs="Times New Roman" w:eastAsia="Times New Roman" w:hAnsi="Times New Roman"/>
          <w:sz w:val="17"/>
          <w:szCs w:val="17"/>
          <w:b w:val="1"/>
          <w:bCs w:val="1"/>
          <w:color w:val="auto"/>
        </w:rPr>
        <w:t>, IN ALL CASES,</w:t>
      </w:r>
    </w:p>
    <w:p>
      <w:pPr>
        <w:ind w:right="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WHETHER OR NOT CAUSED BY OR ARISING, IN WHOLE OR IN PART, OUT OF THE COMPARATIVE, CONTRIBUTORY OR SOLE NEGLIGENCE OF THE INDEMNITEE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such indemnity shall not, as to any Indemnitee, be available to the extent that such losses,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damages, liabilities or related expenses (i) are determined by a court of competent jurisdiction by final and nonappealable judgment to have resulted from the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 xml:space="preserve">the material breach, bad faith, gross negligence or willful misconduct of such Indemnitee, if the Borrower or such Loan Party has obtained a final and nonappealable judgment in its favor on such claim as determined by a court of competent jurisdiction or (ii) result from a dispute solely among Indemnitees and not involving any act or omission of the Borrower or any of its Affiliates (other than, with respect to the Administrative Agent, any of the Arrangers or any other agent or arranger under this Agreement, any dispute involving such Person in its capacity or in fulfilling its role as such). Without limiting the provisions of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10.4(b)</w:t>
      </w:r>
      <w:r>
        <w:rPr>
          <w:rFonts w:ascii="Times New Roman" w:cs="Times New Roman" w:eastAsia="Times New Roman" w:hAnsi="Times New Roman"/>
          <w:sz w:val="18"/>
          <w:szCs w:val="18"/>
          <w:color w:val="auto"/>
        </w:rPr>
        <w:t xml:space="preserve"> shall not apply with respect to Taxes other than any Taxes that represent losses, claims, damages, etc. arising from any non-Tax claim.</w:t>
      </w:r>
    </w:p>
    <w:p>
      <w:pPr>
        <w:spacing w:after="0" w:line="188" w:lineRule="exact"/>
        <w:rPr>
          <w:sz w:val="20"/>
          <w:szCs w:val="20"/>
          <w:color w:val="auto"/>
        </w:rPr>
      </w:pPr>
    </w:p>
    <w:p>
      <w:pPr>
        <w:ind w:right="40" w:firstLine="656"/>
        <w:spacing w:after="0" w:line="254" w:lineRule="auto"/>
        <w:tabs>
          <w:tab w:leader="none" w:pos="1307"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by Lenders</w:t>
      </w:r>
      <w:r>
        <w:rPr>
          <w:rFonts w:ascii="Times New Roman" w:cs="Times New Roman" w:eastAsia="Times New Roman" w:hAnsi="Times New Roman"/>
          <w:sz w:val="18"/>
          <w:szCs w:val="18"/>
          <w:color w:val="auto"/>
        </w:rPr>
        <w:t xml:space="preserve">. To the extent that the Borrower for any reason fails to indefeasibly pay any amount required under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Section to be paid by it to the Administrative Agent (or any sub-agent thereof), any L/C Issuer or any Related Party of any of the foregoing, each Lender severally agrees to pay to the Administrative Agent (or any such sub-agent), such L/C Issuer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Administrative Agent (or any such sub-agent), any L/C Issuer in its capacity as such, or against any Related Party of any of the foregoing acting for the Administrative Agent (or any such sub-agent) or such L/C Issuer in connection with such capacity. The obligations of the Lenders under this </w:t>
      </w:r>
      <w:r>
        <w:rPr>
          <w:rFonts w:ascii="Times New Roman" w:cs="Times New Roman" w:eastAsia="Times New Roman" w:hAnsi="Times New Roman"/>
          <w:sz w:val="18"/>
          <w:szCs w:val="18"/>
          <w:u w:val="single" w:color="auto"/>
          <w:color w:val="auto"/>
        </w:rPr>
        <w:t>subsection (c)</w:t>
      </w:r>
      <w:r>
        <w:rPr>
          <w:rFonts w:ascii="Times New Roman" w:cs="Times New Roman" w:eastAsia="Times New Roman" w:hAnsi="Times New Roman"/>
          <w:sz w:val="18"/>
          <w:szCs w:val="18"/>
          <w:color w:val="auto"/>
        </w:rPr>
        <w:t xml:space="preserve"> are subject to the provisions of </w:t>
      </w:r>
      <w:r>
        <w:rPr>
          <w:rFonts w:ascii="Times New Roman" w:cs="Times New Roman" w:eastAsia="Times New Roman" w:hAnsi="Times New Roman"/>
          <w:sz w:val="18"/>
          <w:szCs w:val="18"/>
          <w:u w:val="single" w:color="auto"/>
          <w:color w:val="auto"/>
        </w:rPr>
        <w:t>Section 2.12(d)</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right="40" w:firstLine="656"/>
        <w:spacing w:after="0" w:line="271" w:lineRule="auto"/>
        <w:tabs>
          <w:tab w:leader="none" w:pos="1304" w:val="left"/>
        </w:tabs>
        <w:numPr>
          <w:ilvl w:val="0"/>
          <w:numId w:val="3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 of Consequential Damages, Etc.</w:t>
      </w:r>
      <w:r>
        <w:rPr>
          <w:rFonts w:ascii="Times New Roman" w:cs="Times New Roman" w:eastAsia="Times New Roman" w:hAnsi="Times New Roman"/>
          <w:sz w:val="17"/>
          <w:szCs w:val="17"/>
          <w:color w:val="auto"/>
        </w:rPr>
        <w:t xml:space="preserve"> To the fullest extent permitted by applicable law, none of the Borrower, the Arrangers, the Lenders or the Administrative Agent shall assert, and each hereby waives, and acknowledges that no other Person shall have, any claim against any of the Borrower, the Arrangers, the Lenders or the Administrative Agent,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Times New Roman" w:cs="Times New Roman" w:eastAsia="Times New Roman" w:hAnsi="Times New Roman"/>
          <w:sz w:val="17"/>
          <w:szCs w:val="17"/>
          <w:u w:val="single" w:color="auto"/>
          <w:color w:val="auto"/>
        </w:rPr>
        <w:t>subsection (b)</w:t>
      </w:r>
      <w:r>
        <w:rPr>
          <w:rFonts w:ascii="Times New Roman" w:cs="Times New Roman" w:eastAsia="Times New Roman" w:hAnsi="Times New Roman"/>
          <w:sz w:val="17"/>
          <w:szCs w:val="17"/>
          <w:color w:val="auto"/>
        </w:rPr>
        <w:t xml:space="preserve">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bad faith, willful misconduct or gross negligence of such Indemnitee as determined by a final and nonappealable judgment of a court of competent jurisdiction.</w:t>
      </w:r>
    </w:p>
    <w:p>
      <w:pPr>
        <w:spacing w:after="0" w:line="174" w:lineRule="exact"/>
        <w:rPr>
          <w:rFonts w:ascii="Times New Roman" w:cs="Times New Roman" w:eastAsia="Times New Roman" w:hAnsi="Times New Roman"/>
          <w:sz w:val="17"/>
          <w:szCs w:val="17"/>
          <w:color w:val="auto"/>
        </w:rPr>
      </w:pPr>
    </w:p>
    <w:p>
      <w:pPr>
        <w:ind w:left="1320" w:hanging="664"/>
        <w:spacing w:after="0"/>
        <w:tabs>
          <w:tab w:leader="none" w:pos="132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All amounts due under this Section shall be payable not later than ten Business Days after demand therefor.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80" w:firstLine="656"/>
        <w:spacing w:after="0" w:line="266" w:lineRule="auto"/>
        <w:tabs>
          <w:tab w:leader="none" w:pos="1301"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agreements in this Section and the indemnity provisions of </w:t>
      </w:r>
      <w:r>
        <w:rPr>
          <w:rFonts w:ascii="Times New Roman" w:cs="Times New Roman" w:eastAsia="Times New Roman" w:hAnsi="Times New Roman"/>
          <w:sz w:val="18"/>
          <w:szCs w:val="18"/>
          <w:u w:val="single" w:color="auto"/>
          <w:color w:val="auto"/>
        </w:rPr>
        <w:t>Section 10.02(e)</w:t>
      </w:r>
      <w:r>
        <w:rPr>
          <w:rFonts w:ascii="Times New Roman" w:cs="Times New Roman" w:eastAsia="Times New Roman" w:hAnsi="Times New Roman"/>
          <w:sz w:val="18"/>
          <w:szCs w:val="18"/>
          <w:color w:val="auto"/>
        </w:rPr>
        <w:t xml:space="preserve"> shall survive the resignation of the Administrative Agent and any L/C Issuer, the replacement of any Lender, the termination of the Aggregate Commitments and the repayment, satisfaction or discharge of all the other Obligations.</w:t>
      </w:r>
    </w:p>
    <w:p>
      <w:pPr>
        <w:spacing w:after="0" w:line="17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10.05 Payments Set Aside</w:t>
      </w:r>
      <w:r>
        <w:rPr>
          <w:rFonts w:ascii="Times New Roman" w:cs="Times New Roman" w:eastAsia="Times New Roman" w:hAnsi="Times New Roman"/>
          <w:sz w:val="18"/>
          <w:szCs w:val="18"/>
          <w:color w:val="auto"/>
        </w:rPr>
        <w:t>. To the extent that any payment by or on behalf of the Borrower is made to the Administrative Agent, any L/C Issuer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 Issuers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preceding sentence shall survive the payment in full of the Obligations and the termination of this Agreement.</w:t>
      </w:r>
    </w:p>
    <w:p>
      <w:pPr>
        <w:spacing w:after="0" w:line="18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10.06</w:t>
      </w:r>
      <w:r>
        <w:rPr>
          <w:sz w:val="20"/>
          <w:szCs w:val="20"/>
          <w:color w:val="auto"/>
        </w:rPr>
        <w:tab/>
      </w:r>
      <w:r>
        <w:rPr>
          <w:rFonts w:ascii="Times New Roman" w:cs="Times New Roman" w:eastAsia="Times New Roman" w:hAnsi="Times New Roman"/>
          <w:sz w:val="17"/>
          <w:szCs w:val="17"/>
          <w:b w:val="1"/>
          <w:bCs w:val="1"/>
          <w:color w:val="auto"/>
        </w:rPr>
        <w:t>Successors and Assigns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20" w:firstLine="656"/>
        <w:spacing w:after="0" w:line="256" w:lineRule="auto"/>
        <w:tabs>
          <w:tab w:leader="none" w:pos="1294"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 Generally</w:t>
      </w:r>
      <w:r>
        <w:rPr>
          <w:rFonts w:ascii="Times New Roman" w:cs="Times New Roman" w:eastAsia="Times New Roman" w:hAnsi="Times New Roman"/>
          <w:sz w:val="18"/>
          <w:szCs w:val="18"/>
          <w:color w:val="auto"/>
        </w:rPr>
        <w:t xml:space="preserve">.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of this Section, (ii) by way of participation in accordance with the provisions of </w:t>
      </w:r>
      <w:r>
        <w:rPr>
          <w:rFonts w:ascii="Times New Roman" w:cs="Times New Roman" w:eastAsia="Times New Roman" w:hAnsi="Times New Roman"/>
          <w:sz w:val="18"/>
          <w:szCs w:val="18"/>
          <w:u w:val="single" w:color="auto"/>
          <w:color w:val="auto"/>
        </w:rPr>
        <w:t>subsection (d)</w:t>
      </w:r>
      <w:r>
        <w:rPr>
          <w:rFonts w:ascii="Times New Roman" w:cs="Times New Roman" w:eastAsia="Times New Roman" w:hAnsi="Times New Roman"/>
          <w:sz w:val="18"/>
          <w:szCs w:val="18"/>
          <w:color w:val="auto"/>
        </w:rPr>
        <w:t xml:space="preserve"> of this Section, or (iii) by way of pledge or assignment of a security interest subject to the restrictions of </w:t>
      </w:r>
      <w:r>
        <w:rPr>
          <w:rFonts w:ascii="Times New Roman" w:cs="Times New Roman" w:eastAsia="Times New Roman" w:hAnsi="Times New Roman"/>
          <w:sz w:val="18"/>
          <w:szCs w:val="18"/>
          <w:u w:val="single" w:color="auto"/>
          <w:color w:val="auto"/>
        </w:rPr>
        <w:t>subsection (e)</w:t>
      </w:r>
      <w:r>
        <w:rPr>
          <w:rFonts w:ascii="Times New Roman" w:cs="Times New Roman" w:eastAsia="Times New Roman" w:hAnsi="Times New Roman"/>
          <w:sz w:val="18"/>
          <w:szCs w:val="18"/>
          <w:color w:val="auto"/>
        </w:rPr>
        <w:t xml:space="preserve"> of this Section (and any other attempted assignment or transfer by any party hereto shall be null and void). Nothing in this</w:t>
      </w:r>
    </w:p>
    <w:p>
      <w:pPr>
        <w:sectPr>
          <w:pgSz w:w="11900" w:h="16880" w:orient="portrait"/>
          <w:cols w:equalWidth="0" w:num="1">
            <w:col w:w="11420"/>
          </w:cols>
          <w:pgMar w:left="240" w:top="121" w:right="239" w:bottom="0" w:gutter="0" w:footer="0" w:header="0"/>
        </w:sectPr>
      </w:pPr>
    </w:p>
    <w:bookmarkStart w:id="109" w:name="page110"/>
    <w:bookmarkEnd w:id="109"/>
    <w:p>
      <w:pPr>
        <w:spacing w:after="0" w:line="6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8"/>
          <w:szCs w:val="18"/>
          <w:u w:val="single" w:color="auto"/>
          <w:color w:val="auto"/>
        </w:rPr>
        <w:t>subsection (d)</w:t>
      </w:r>
      <w:r>
        <w:rPr>
          <w:rFonts w:ascii="Times New Roman" w:cs="Times New Roman" w:eastAsia="Times New Roman" w:hAnsi="Times New Roman"/>
          <w:sz w:val="18"/>
          <w:szCs w:val="18"/>
          <w:color w:val="auto"/>
        </w:rPr>
        <w:t xml:space="preserve"> of this Section and, to the extent expressly contemplated hereby, the Related Parties of each of the Administrative Agent, the L/C Issuers and the Lenders) any legal or equitable right, remedy or claim under or by reason of this Agreement.</w:t>
      </w:r>
    </w:p>
    <w:p>
      <w:pPr>
        <w:spacing w:after="0" w:line="176" w:lineRule="exact"/>
        <w:rPr>
          <w:sz w:val="20"/>
          <w:szCs w:val="20"/>
          <w:color w:val="auto"/>
        </w:rPr>
      </w:pPr>
    </w:p>
    <w:p>
      <w:pPr>
        <w:ind w:right="120" w:firstLine="656"/>
        <w:spacing w:after="0" w:line="266" w:lineRule="auto"/>
        <w:tabs>
          <w:tab w:leader="none" w:pos="1304"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 xml:space="preserve">. Any Lender may at any time assign to one or more assignees all or a portion of its rights and obligations under this Agreement (including all or a portion of its Commitment and the Loans (including for purposes of this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participations in L/C Obligations) at the time owing to it); provided that any such assignment shall be subject to the following conditions: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80" w:hanging="675"/>
        <w:spacing w:after="0"/>
        <w:tabs>
          <w:tab w:leader="none" w:pos="198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Amounts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right="120" w:firstLine="653"/>
        <w:spacing w:after="0" w:line="261" w:lineRule="auto"/>
        <w:tabs>
          <w:tab w:leader="none" w:pos="2617"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 assignment of the entire remaining amount of the assigning Lender’s Commitment and/or the Loans at the time owing to it or contemporaneous assignments to related Approved Funds (determined after giving effect to such Assignments) that equal at least the amount specified in </w:t>
      </w:r>
      <w:r>
        <w:rPr>
          <w:rFonts w:ascii="Times New Roman" w:cs="Times New Roman" w:eastAsia="Times New Roman" w:hAnsi="Times New Roman"/>
          <w:sz w:val="18"/>
          <w:szCs w:val="18"/>
          <w:u w:val="single" w:color="auto"/>
          <w:color w:val="auto"/>
        </w:rPr>
        <w:t>paragraph (b)(i)(B)</w:t>
      </w:r>
      <w:r>
        <w:rPr>
          <w:rFonts w:ascii="Times New Roman" w:cs="Times New Roman" w:eastAsia="Times New Roman" w:hAnsi="Times New Roman"/>
          <w:sz w:val="18"/>
          <w:szCs w:val="18"/>
          <w:color w:val="auto"/>
        </w:rPr>
        <w:t xml:space="preserve"> of this Section in the aggregate or in the case of an assignment to a Lender, an Affiliate of a Lender or an Approved Fund, no minimum amount need be assigned; and</w:t>
      </w:r>
    </w:p>
    <w:p>
      <w:pPr>
        <w:spacing w:after="0" w:line="180" w:lineRule="exact"/>
        <w:rPr>
          <w:rFonts w:ascii="Times New Roman" w:cs="Times New Roman" w:eastAsia="Times New Roman" w:hAnsi="Times New Roman"/>
          <w:sz w:val="18"/>
          <w:szCs w:val="18"/>
          <w:color w:val="auto"/>
        </w:rPr>
      </w:pPr>
    </w:p>
    <w:p>
      <w:pPr>
        <w:ind w:left="1300" w:right="40" w:firstLine="653"/>
        <w:spacing w:after="0" w:line="256" w:lineRule="auto"/>
        <w:tabs>
          <w:tab w:leader="none" w:pos="2607"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not described in </w:t>
      </w:r>
      <w:r>
        <w:rPr>
          <w:rFonts w:ascii="Times New Roman" w:cs="Times New Roman" w:eastAsia="Times New Roman" w:hAnsi="Times New Roman"/>
          <w:sz w:val="18"/>
          <w:szCs w:val="18"/>
          <w:u w:val="single" w:color="auto"/>
          <w:color w:val="auto"/>
        </w:rPr>
        <w:t>subsection (b)(i)(A)</w:t>
      </w:r>
      <w:r>
        <w:rPr>
          <w:rFonts w:ascii="Times New Roman" w:cs="Times New Roman" w:eastAsia="Times New Roman" w:hAnsi="Times New Roman"/>
          <w:sz w:val="18"/>
          <w:szCs w:val="18"/>
          <w:color w:val="auto"/>
        </w:rPr>
        <w:t xml:space="preserve">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Borrower otherwise consents (each such consent not to be unreasonably withheld, delayed or conditioned).</w:t>
      </w:r>
    </w:p>
    <w:p>
      <w:pPr>
        <w:spacing w:after="0" w:line="187" w:lineRule="exact"/>
        <w:rPr>
          <w:rFonts w:ascii="Times New Roman" w:cs="Times New Roman" w:eastAsia="Times New Roman" w:hAnsi="Times New Roman"/>
          <w:sz w:val="18"/>
          <w:szCs w:val="18"/>
          <w:color w:val="auto"/>
        </w:rPr>
      </w:pPr>
    </w:p>
    <w:p>
      <w:pPr>
        <w:ind w:left="660" w:right="560" w:firstLine="645"/>
        <w:spacing w:after="0" w:line="282" w:lineRule="auto"/>
        <w:tabs>
          <w:tab w:leader="none" w:pos="1987"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Proportionate Amounts</w:t>
      </w:r>
      <w:r>
        <w:rPr>
          <w:rFonts w:ascii="Times New Roman" w:cs="Times New Roman" w:eastAsia="Times New Roman" w:hAnsi="Times New Roman"/>
          <w:sz w:val="18"/>
          <w:szCs w:val="18"/>
          <w:color w:val="auto"/>
        </w:rPr>
        <w:t>. Each partial assignment shall be made as an assignment of a proportionate part of all the assigning Lender’s rights and obligations under this Agreement with respect to the Loans or the Commitment assigned;</w:t>
      </w:r>
    </w:p>
    <w:p>
      <w:pPr>
        <w:spacing w:after="0" w:line="161" w:lineRule="exact"/>
        <w:rPr>
          <w:rFonts w:ascii="Times New Roman" w:cs="Times New Roman" w:eastAsia="Times New Roman" w:hAnsi="Times New Roman"/>
          <w:sz w:val="18"/>
          <w:szCs w:val="18"/>
          <w:color w:val="auto"/>
        </w:rPr>
      </w:pPr>
    </w:p>
    <w:p>
      <w:pPr>
        <w:ind w:left="660" w:right="180" w:firstLine="645"/>
        <w:spacing w:after="0" w:line="282" w:lineRule="auto"/>
        <w:tabs>
          <w:tab w:leader="none" w:pos="1997"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xml:space="preserve">. No consent shall be required for any assignment except to the extent required by </w:t>
      </w:r>
      <w:r>
        <w:rPr>
          <w:rFonts w:ascii="Times New Roman" w:cs="Times New Roman" w:eastAsia="Times New Roman" w:hAnsi="Times New Roman"/>
          <w:sz w:val="18"/>
          <w:szCs w:val="18"/>
          <w:u w:val="single" w:color="auto"/>
          <w:color w:val="auto"/>
        </w:rPr>
        <w:t>subsection (b)(i)(B)</w:t>
      </w:r>
      <w:r>
        <w:rPr>
          <w:rFonts w:ascii="Times New Roman" w:cs="Times New Roman" w:eastAsia="Times New Roman" w:hAnsi="Times New Roman"/>
          <w:sz w:val="18"/>
          <w:szCs w:val="18"/>
          <w:color w:val="auto"/>
        </w:rPr>
        <w:t xml:space="preserve"> of this Section and, in addition:</w:t>
      </w:r>
    </w:p>
    <w:p>
      <w:pPr>
        <w:spacing w:after="0" w:line="161" w:lineRule="exact"/>
        <w:rPr>
          <w:rFonts w:ascii="Times New Roman" w:cs="Times New Roman" w:eastAsia="Times New Roman" w:hAnsi="Times New Roman"/>
          <w:sz w:val="18"/>
          <w:szCs w:val="18"/>
          <w:color w:val="auto"/>
        </w:rPr>
      </w:pPr>
    </w:p>
    <w:p>
      <w:pPr>
        <w:ind w:left="1300" w:right="80" w:firstLine="653"/>
        <w:spacing w:after="0" w:line="261" w:lineRule="auto"/>
        <w:tabs>
          <w:tab w:leader="none" w:pos="2617"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consent of the Borrower (such consent not to be unreasonably withheld, delayed or conditioned) shall be required unless (1) an Event of Default has occurred and is continuing at the time of such assignment or (2) such assignment is to a Lender, an Affiliate of a Lender or an Approved 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deemed to have consented to any such assignment unless it shall object thereto by written notice to the Administrative Agent within ten (10) Business Days after having received notice thereof;</w:t>
      </w:r>
    </w:p>
    <w:p>
      <w:pPr>
        <w:spacing w:after="0" w:line="180" w:lineRule="exact"/>
        <w:rPr>
          <w:rFonts w:ascii="Times New Roman" w:cs="Times New Roman" w:eastAsia="Times New Roman" w:hAnsi="Times New Roman"/>
          <w:sz w:val="18"/>
          <w:szCs w:val="18"/>
          <w:color w:val="auto"/>
        </w:rPr>
      </w:pPr>
    </w:p>
    <w:p>
      <w:pPr>
        <w:ind w:left="1300" w:right="260" w:firstLine="653"/>
        <w:spacing w:after="0" w:line="282" w:lineRule="auto"/>
        <w:tabs>
          <w:tab w:leader="none" w:pos="2607"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Administrative Agent (such consent not to be unreasonably withheld or delayed) shall be required if such assignment is to a Person that is not a Lender, an Affiliate of such Lender or an Approved Fund with respect to such Lender; and</w:t>
      </w:r>
    </w:p>
    <w:p>
      <w:pPr>
        <w:spacing w:after="0" w:line="161"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each L/C Issuer shall be required for any assignment.</w:t>
      </w:r>
    </w:p>
    <w:p>
      <w:pPr>
        <w:spacing w:after="0" w:line="225" w:lineRule="exact"/>
        <w:rPr>
          <w:rFonts w:ascii="Times New Roman" w:cs="Times New Roman" w:eastAsia="Times New Roman" w:hAnsi="Times New Roman"/>
          <w:sz w:val="18"/>
          <w:szCs w:val="18"/>
          <w:color w:val="auto"/>
        </w:rPr>
      </w:pPr>
    </w:p>
    <w:p>
      <w:pPr>
        <w:ind w:left="660" w:right="40" w:firstLine="645"/>
        <w:spacing w:after="0" w:line="282" w:lineRule="auto"/>
        <w:tabs>
          <w:tab w:leader="none" w:pos="1973"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62" w:lineRule="exact"/>
        <w:rPr>
          <w:sz w:val="20"/>
          <w:szCs w:val="20"/>
          <w:color w:val="auto"/>
        </w:rPr>
      </w:pPr>
    </w:p>
    <w:p>
      <w:pPr>
        <w:jc w:val="both"/>
        <w:ind w:left="660" w:right="80" w:firstLine="645"/>
        <w:spacing w:after="0" w:line="261" w:lineRule="auto"/>
        <w:tabs>
          <w:tab w:leader="none" w:pos="1964"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Certain Persons</w:t>
      </w:r>
      <w:r>
        <w:rPr>
          <w:rFonts w:ascii="Times New Roman" w:cs="Times New Roman" w:eastAsia="Times New Roman" w:hAnsi="Times New Roman"/>
          <w:sz w:val="18"/>
          <w:szCs w:val="18"/>
          <w:color w:val="auto"/>
        </w:rPr>
        <w:t xml:space="preserve">. No such assignment shall be made (A) to the Borrower or any of the Borrower’s Affiliates or Subsidiaries, (B)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or (C) to a natural Person (or a holding company, investment vehicle or trust for, or owned and operated for the primary benefit of a natural Person).</w:t>
      </w:r>
    </w:p>
    <w:p>
      <w:pPr>
        <w:spacing w:after="0" w:line="180" w:lineRule="exact"/>
        <w:rPr>
          <w:rFonts w:ascii="Times New Roman" w:cs="Times New Roman" w:eastAsia="Times New Roman" w:hAnsi="Times New Roman"/>
          <w:sz w:val="18"/>
          <w:szCs w:val="18"/>
          <w:color w:val="auto"/>
        </w:rPr>
      </w:pPr>
    </w:p>
    <w:p>
      <w:pPr>
        <w:ind w:left="660" w:right="20" w:firstLine="645"/>
        <w:spacing w:after="0" w:line="253" w:lineRule="auto"/>
        <w:tabs>
          <w:tab w:leader="none" w:pos="1973"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Additional Payments</w:t>
      </w:r>
      <w:r>
        <w:rPr>
          <w:rFonts w:ascii="Times New Roman" w:cs="Times New Roman" w:eastAsia="Times New Roman" w:hAnsi="Times New Roman"/>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any L/C Issuer or any Lender hereunder (and interest accrued thereon) and (y) acquire (and fund as appropriate) its full pro rata share of all Loans and participations in Letters of Credit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 xml:space="preserve"> with respect to facts and circumstances occurring prior to the effective date of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except to the extent otherwise expressly agreed by the affected parties, no assignment by a Defaulting Lender will constitute a waiver or release</w:t>
      </w:r>
    </w:p>
    <w:p>
      <w:pPr>
        <w:sectPr>
          <w:pgSz w:w="11900" w:h="16906" w:orient="portrait"/>
          <w:cols w:equalWidth="0" w:num="1">
            <w:col w:w="11400"/>
          </w:cols>
          <w:pgMar w:left="240" w:top="121" w:right="259" w:bottom="0" w:gutter="0" w:footer="0" w:header="0"/>
        </w:sectPr>
      </w:pPr>
    </w:p>
    <w:bookmarkStart w:id="110" w:name="page111"/>
    <w:bookmarkEnd w:id="110"/>
    <w:p>
      <w:pPr>
        <w:spacing w:after="0" w:line="2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Lender of a participation in such rights and obligations in accordance with </w:t>
      </w:r>
      <w:r>
        <w:rPr>
          <w:rFonts w:ascii="Times New Roman" w:cs="Times New Roman" w:eastAsia="Times New Roman" w:hAnsi="Times New Roman"/>
          <w:sz w:val="18"/>
          <w:szCs w:val="18"/>
          <w:u w:val="single" w:color="auto"/>
          <w:color w:val="auto"/>
        </w:rPr>
        <w:t>subsection (d)</w:t>
      </w:r>
      <w:r>
        <w:rPr>
          <w:rFonts w:ascii="Times New Roman" w:cs="Times New Roman" w:eastAsia="Times New Roman" w:hAnsi="Times New Roman"/>
          <w:sz w:val="18"/>
          <w:szCs w:val="18"/>
          <w:color w:val="auto"/>
        </w:rPr>
        <w:t xml:space="preserve"> of this Section.</w:t>
      </w:r>
    </w:p>
    <w:p>
      <w:pPr>
        <w:spacing w:after="0" w:line="225" w:lineRule="exact"/>
        <w:rPr>
          <w:sz w:val="20"/>
          <w:szCs w:val="20"/>
          <w:color w:val="auto"/>
        </w:rPr>
      </w:pPr>
    </w:p>
    <w:p>
      <w:pPr>
        <w:ind w:right="100" w:firstLine="656"/>
        <w:spacing w:after="0" w:line="255" w:lineRule="auto"/>
        <w:tabs>
          <w:tab w:leader="none" w:pos="1307"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Upon the written request of the Borrower, the Administrative Agent shall provide copies of the Register to the Borrower, and the Register shall be available for inspection by the Borrower and any Lender, at any reasonable time and from time to time upon reasonable prior notice.</w:t>
      </w:r>
    </w:p>
    <w:p>
      <w:pPr>
        <w:spacing w:after="0" w:line="185" w:lineRule="exact"/>
        <w:rPr>
          <w:rFonts w:ascii="Times New Roman" w:cs="Times New Roman" w:eastAsia="Times New Roman" w:hAnsi="Times New Roman"/>
          <w:sz w:val="18"/>
          <w:szCs w:val="18"/>
          <w:color w:val="auto"/>
        </w:rPr>
      </w:pPr>
    </w:p>
    <w:p>
      <w:pPr>
        <w:ind w:right="60" w:firstLine="656"/>
        <w:spacing w:after="0" w:line="254" w:lineRule="auto"/>
        <w:tabs>
          <w:tab w:leader="none" w:pos="1304"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Any Lender may at any time, without the consent of, or notice to, the Borrower, the Administrative Agent or any L/C Issuer, sell participations to any Person (other than a natural Person, or a holding company, investment vehicle or trust for, or owned and operated for the primary benefit of a natural Person, a Defaulting Lender or the Borrower or any of the Borrower’s Affiliates or Subsidiaries)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and/or obligations under this Agreement (including all or a portion of its Commitment and/or the Loans (including such Lender’s participations in L/C Obligations)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L/C Issuers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 xml:space="preserve"> without regard to the existence of any participation.</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that affects such Participant. The Borrower agrees that each Participant shall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of this Section (it being understood that the documentation required under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shall be delivered to the Lender who sells the participation)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 agrees to be subject to the provisions of </w:t>
      </w:r>
      <w:r>
        <w:rPr>
          <w:rFonts w:ascii="Times New Roman" w:cs="Times New Roman" w:eastAsia="Times New Roman" w:hAnsi="Times New Roman"/>
          <w:sz w:val="18"/>
          <w:szCs w:val="18"/>
          <w:u w:val="single" w:color="auto"/>
          <w:color w:val="auto"/>
        </w:rPr>
        <w:t>Sections 3.06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10.13</w:t>
      </w:r>
      <w:r>
        <w:rPr>
          <w:rFonts w:ascii="Times New Roman" w:cs="Times New Roman" w:eastAsia="Times New Roman" w:hAnsi="Times New Roman"/>
          <w:sz w:val="18"/>
          <w:szCs w:val="18"/>
          <w:color w:val="auto"/>
        </w:rPr>
        <w:t xml:space="preserve"> as if it were an assignee under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and (B) shall not be entitled to receive any greater payment under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with respect to any participation, than the Lender from whom it acquired the applicable participation would have been entitled to receive, except to the extent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as though it were a Lender; provided that such Participant agrees to be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9" w:lineRule="exact"/>
        <w:rPr>
          <w:sz w:val="20"/>
          <w:szCs w:val="20"/>
          <w:color w:val="auto"/>
        </w:rPr>
      </w:pPr>
    </w:p>
    <w:p>
      <w:pPr>
        <w:ind w:right="60" w:firstLine="656"/>
        <w:spacing w:after="0" w:line="261" w:lineRule="auto"/>
        <w:tabs>
          <w:tab w:leader="none" w:pos="1307"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Pledges</w:t>
      </w:r>
      <w:r>
        <w:rPr>
          <w:rFonts w:ascii="Times New Roman" w:cs="Times New Roman" w:eastAsia="Times New Roman" w:hAnsi="Times New Roman"/>
          <w:sz w:val="18"/>
          <w:szCs w:val="18"/>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or any other central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80" w:lineRule="exact"/>
        <w:rPr>
          <w:rFonts w:ascii="Times New Roman" w:cs="Times New Roman" w:eastAsia="Times New Roman" w:hAnsi="Times New Roman"/>
          <w:sz w:val="18"/>
          <w:szCs w:val="18"/>
          <w:color w:val="auto"/>
        </w:rPr>
      </w:pPr>
    </w:p>
    <w:p>
      <w:pPr>
        <w:ind w:right="140" w:firstLine="656"/>
        <w:spacing w:after="0" w:line="253" w:lineRule="auto"/>
        <w:tabs>
          <w:tab w:leader="none" w:pos="1301"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as L/C Issuer after Assignment</w:t>
      </w:r>
      <w:r>
        <w:rPr>
          <w:rFonts w:ascii="Times New Roman" w:cs="Times New Roman" w:eastAsia="Times New Roman" w:hAnsi="Times New Roman"/>
          <w:sz w:val="18"/>
          <w:szCs w:val="18"/>
          <w:color w:val="auto"/>
        </w:rPr>
        <w:t xml:space="preserve">. Notwithstanding anything to the contrary contained herein, if at any time a Lender that is an L/C Issuer assigns all of its Commitment and Loans pursuant to subsection (b) above, such Lender may, upon 30 days’ notice to the Borrower and the Lenders, resign as an L/C Issuer. In the event of any such resignation as an L/C Issuer, the Borrower shall be entitled to appoint from among the Lenders a successor L/C Issuer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failure by the Borrower to appoint any such successor shall affect the resignation of such Lender as an L/C Issuer. If any Lender resigns as an L/C Issuer, it shall retain all the rights, powers, privileges and duties of an L/C Issuer hereunder with respect to all Letters of Credit issued by it and outstanding as of the effective date of its resignation as an L/C Issuer and all L/C Obligations with respect thereto (including the right to require the Lenders to make Base Rate Committed Loans or fund risk participations in Unreimbursed Amounts pursuant to</w:t>
      </w:r>
    </w:p>
    <w:p>
      <w:pPr>
        <w:spacing w:after="0" w:line="3" w:lineRule="exact"/>
        <w:rPr>
          <w:rFonts w:ascii="Times New Roman" w:cs="Times New Roman" w:eastAsia="Times New Roman" w:hAnsi="Times New Roman"/>
          <w:sz w:val="18"/>
          <w:szCs w:val="18"/>
          <w:color w:val="auto"/>
        </w:rPr>
      </w:pPr>
    </w:p>
    <w:p>
      <w:pPr>
        <w:ind w:right="3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Upon the appointment of a successor L/C Issuer, (a) such successor shall succeed to and become vested with all of the rights, powers, privileges and duties of the resigning L/C Issuer and (b) the successor L/C Issuer shall issue letters of credit in substitution for the Letters of Credit, if any, issued by the resigning L/C Issuer and outstanding at the time of such succession or make other arrangements satisfactory to the resigning L/C Issuer to effectively assume the obligations of the resigning L/C Issuer with respect to such Letters of Credit.</w:t>
      </w:r>
    </w:p>
    <w:p>
      <w:pPr>
        <w:sectPr>
          <w:pgSz w:w="11900" w:h="16858" w:orient="portrait"/>
          <w:cols w:equalWidth="0" w:num="1">
            <w:col w:w="11420"/>
          </w:cols>
          <w:pgMar w:left="240" w:top="121" w:right="239" w:bottom="0" w:gutter="0" w:footer="0" w:header="0"/>
        </w:sectPr>
      </w:pP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139</w:t>
      </w:r>
    </w:p>
    <w:p>
      <w:pPr>
        <w:sectPr>
          <w:pgSz w:w="11900" w:h="16858" w:orient="portrait"/>
          <w:cols w:equalWidth="0" w:num="1">
            <w:col w:w="11420"/>
          </w:cols>
          <w:pgMar w:left="240" w:top="121" w:right="239" w:bottom="0" w:gutter="0" w:footer="0" w:header="0"/>
          <w:type w:val="continuous"/>
        </w:sectPr>
      </w:pPr>
    </w:p>
    <w:bookmarkStart w:id="111" w:name="page112"/>
    <w:bookmarkEnd w:id="111"/>
    <w:p>
      <w:pPr>
        <w:spacing w:after="0" w:line="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6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10.07 Treatment of Certain Information; Confidentiality</w:t>
      </w:r>
      <w:r>
        <w:rPr>
          <w:rFonts w:ascii="Times New Roman" w:cs="Times New Roman" w:eastAsia="Times New Roman" w:hAnsi="Times New Roman"/>
          <w:sz w:val="18"/>
          <w:szCs w:val="18"/>
          <w:color w:val="auto"/>
        </w:rPr>
        <w:t>. Each of the Administrative Agent, the Lenders and the L/C Issuer agrees to maintain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confidentiality of the Information (as defined below), except that Information may be disclosed (a) to its Affiliates, its auditors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invited to be a Lender pursuant to </w:t>
      </w:r>
      <w:r>
        <w:rPr>
          <w:rFonts w:ascii="Times New Roman" w:cs="Times New Roman" w:eastAsia="Times New Roman" w:hAnsi="Times New Roman"/>
          <w:sz w:val="18"/>
          <w:szCs w:val="18"/>
          <w:u w:val="single" w:color="auto"/>
          <w:color w:val="auto"/>
        </w:rPr>
        <w:t>Section 2.15(c)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or (ii) any actual or prospective party (or its Related Parties) to any swap, derivative or other transaction under which payments are to be made by reference to the Borrower and its obligations, this Agreement or payments hereunder, (g) on a confidential basis to</w:t>
      </w:r>
    </w:p>
    <w:p>
      <w:pPr>
        <w:spacing w:after="0" w:line="9" w:lineRule="exact"/>
        <w:rPr>
          <w:sz w:val="20"/>
          <w:szCs w:val="20"/>
          <w:color w:val="auto"/>
        </w:rPr>
      </w:pPr>
    </w:p>
    <w:p>
      <w:pPr>
        <w:ind w:right="60" w:firstLine="8"/>
        <w:spacing w:after="0" w:line="252" w:lineRule="auto"/>
        <w:tabs>
          <w:tab w:leader="none" w:pos="215"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rating agency in connection with rating the Borrower or its Subsidiaries or the credit facilities provided hereunder or (ii) the CUSIP Service Bureau or any similar agency in connection with the issuance and monitoring of CUSIP numbers or other market identifiers with respect to the credit facilities provided hereunder, (h) with the consent of the Borrower or (i) to the extent such Information (x) becomes publicly available other than as a result of a breach of this Section or (y) becomes available to the Administrative Agent, any Lender, any L/C Issuer or any of their respective Affiliates on a nonconfidential basis from a source other than the Borrower. In addition, the Administrative Agent and the Lenders may disclose the existence of this Agreement and information about this Agreement to market data collectors, similar service providers to the lending industry and service providers to the Agents and the Lenders in connection with the administration of this Agreement, the other Loan Documents, and the Commitments.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means all information received from the Borrower or any Subsidiary relating to the Borrower or any Subsidiary or any of their respective businesses, other than any such information that is available to the Administrative Agent, any Lender or any L/C Issuer on a nonconfidential basis prior to disclosure by the Borrower or any Subsidiary, provided that, in the case of information received from the Borrower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Each of the Administrative Agent, the Lenders and the L/C Issuers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7"/>
          <w:szCs w:val="17"/>
          <w:b w:val="1"/>
          <w:bCs w:val="1"/>
          <w:color w:val="auto"/>
        </w:rPr>
        <w:t>10.08 Right of Setoff</w:t>
      </w:r>
      <w:r>
        <w:rPr>
          <w:rFonts w:ascii="Times New Roman" w:cs="Times New Roman" w:eastAsia="Times New Roman" w:hAnsi="Times New Roman"/>
          <w:sz w:val="17"/>
          <w:szCs w:val="17"/>
          <w:color w:val="auto"/>
        </w:rPr>
        <w:t>. If an Event of Default shall have occurred and be continuing, each Lender, each L/C Issuer and each of their respective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Affiliates is hereby authorized at any time and from time to time, after obtaining the prior written consent of the Administrative Agent,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the Borrower or any other Loan Party (in each case, other than the accounts pledged to secure the CMBS Financing pursuant to the documents related thereto and any other account held for the benefit of another Person) against any and all of the obligations of the Borrower or such Loan Party now or hereafter existing under this Agreement or any other Loan Document to such Lender or such L/C Issuer or their respective Affiliates, irrespective of whether or not such Lender, L/C Issuer or Affiliate shall have made any demand under this Agreement or any other Loan Document and although such obligations of the Borrower or such Loan Party may be contingent or unmatured or are owed to a branch, office or Affiliate of such Lender or such L/C Issuer different from the branch, office or Affiliate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17"/>
          <w:szCs w:val="17"/>
          <w:u w:val="single" w:color="auto"/>
          <w:color w:val="auto"/>
        </w:rPr>
        <w:t>Section 2.17</w:t>
      </w:r>
      <w:r>
        <w:rPr>
          <w:rFonts w:ascii="Times New Roman" w:cs="Times New Roman" w:eastAsia="Times New Roman" w:hAnsi="Times New Roman"/>
          <w:sz w:val="17"/>
          <w:szCs w:val="17"/>
          <w:color w:val="auto"/>
        </w:rPr>
        <w:t xml:space="preserve"> and, pending such payment, shall be segregated by such Defaulting Lender from its other funds and deemed held in trust for the benefit of the Administrative Agent, the L/C Issuers and the Lenders, and (y) the Defaulting Lender shall provide promptly to the Administrative Agent a statement describing in reasonable detail the Obligations owing to such Defaulting Lender as to which it exercised such right of setoff. The rights of each Lender, each L/C Issuer and their respective Affiliates under this Section are in addition to other rights and remedies (including other rights of setoff) that such Lender, such L/C Issuer or their respective Affiliates may have. Each Lender and each L/C Issuer agrees to notify the Borrower and the Administrative Agent promptly after any such setoff and application,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failure to give such notice shall not affect the validity of such setoff and application.</w:t>
      </w:r>
    </w:p>
    <w:p>
      <w:pPr>
        <w:spacing w:after="0" w:line="17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10.09 Interest Rate Limitation</w:t>
      </w:r>
      <w:r>
        <w:rPr>
          <w:rFonts w:ascii="Times New Roman" w:cs="Times New Roman" w:eastAsia="Times New Roman" w:hAnsi="Times New Roman"/>
          <w:sz w:val="18"/>
          <w:szCs w:val="18"/>
          <w:color w:val="auto"/>
        </w:rPr>
        <w:t>. Notwithstanding anything to the contrary contained in any Loan Document, the interest paid or agreed to be 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Loan Documents shall not exceed the maximum rate of non-usurious interest permitted by applicable Law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83"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10.10 Counterparts; Integration; Effectiveness</w:t>
      </w:r>
      <w:r>
        <w:rPr>
          <w:rFonts w:ascii="Times New Roman" w:cs="Times New Roman" w:eastAsia="Times New Roman" w:hAnsi="Times New Roman"/>
          <w:sz w:val="18"/>
          <w:szCs w:val="18"/>
          <w:color w:val="auto"/>
        </w:rPr>
        <w:t>. This Agreement may be executed in counterparts (and by different parties hereto in different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counterparts), each of which shall constitute an original, but all of which when taken together shall constitute a single contract. This Agreement, the other Loan Documents, and any separate letter agreements with respect to fees payable to the Administrative Agent or the L/C Issuers, constitute the entire contract among</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this Agreement shall become effective when it shall have been executed by the Administrative Agent and when the Administrative Agent shall have received counterparts hereof that, when taken together, bear the signatures of each of the other parties hereto.</w:t>
      </w:r>
    </w:p>
    <w:p>
      <w:pPr>
        <w:sectPr>
          <w:pgSz w:w="11900" w:h="16879" w:orient="portrait"/>
          <w:cols w:equalWidth="0" w:num="1">
            <w:col w:w="11420"/>
          </w:cols>
          <w:pgMar w:left="240" w:top="725" w:right="239" w:bottom="0" w:gutter="0" w:footer="0" w:header="0"/>
        </w:sectPr>
      </w:pPr>
    </w:p>
    <w:bookmarkStart w:id="112" w:name="page113"/>
    <w:bookmarkEnd w:id="112"/>
    <w:p>
      <w:pPr>
        <w:spacing w:after="0" w:line="6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Delivery of an executed counterpart of a signature page of this Agreement by facsimile or other electronic imaging means (e.g. “pdf” or “tif”) shall be effective as delivery of a manually executed counterpart of this Agreement.</w:t>
      </w:r>
    </w:p>
    <w:p>
      <w:pPr>
        <w:spacing w:after="0" w:line="158"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10.11 Survival of Representations and Warranties</w:t>
      </w:r>
      <w:r>
        <w:rPr>
          <w:rFonts w:ascii="Times New Roman" w:cs="Times New Roman" w:eastAsia="Times New Roman" w:hAnsi="Times New Roman"/>
          <w:sz w:val="18"/>
          <w:szCs w:val="18"/>
          <w:color w:val="auto"/>
        </w:rPr>
        <w:t>. All representations and warranties made hereunder and in any other Loan Document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10.12 Severability</w:t>
      </w:r>
      <w:r>
        <w:rPr>
          <w:rFonts w:ascii="Times New Roman" w:cs="Times New Roman" w:eastAsia="Times New Roman" w:hAnsi="Times New Roman"/>
          <w:sz w:val="18"/>
          <w:szCs w:val="18"/>
          <w:color w:val="auto"/>
        </w:rPr>
        <w:t>. If any provision of this Agreement or the other Loan Documents is held to be illegal, invalid or unenforceable, (a) the legality,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if and to the extent that the enforceability of any provisions in this Agreement relating to Defaulting Lenders shall be limited by Debtor Relief Laws, as determined in good faith by the Administrative Agent or any L/C Issuer, as applicable, then such provisions shall be deemed to be in effect only to the extent not so limited.</w:t>
      </w:r>
    </w:p>
    <w:p>
      <w:pPr>
        <w:spacing w:after="0" w:line="183"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10.13 Replacement of Lenders</w:t>
      </w:r>
      <w:r>
        <w:rPr>
          <w:rFonts w:ascii="Times New Roman" w:cs="Times New Roman" w:eastAsia="Times New Roman" w:hAnsi="Times New Roman"/>
          <w:sz w:val="18"/>
          <w:szCs w:val="18"/>
          <w:color w:val="auto"/>
        </w:rPr>
        <w:t>. If the Borrower is entitled to replace a Lender pursuant to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or if any Lender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Defaulting Lender or a Non-Consenting Lender or if any other circumstances exist hereunder that gives the Borrower the rights to replace a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all of its interests, rights (other than its existing rights to payments pursuant to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w:t>
      </w:r>
    </w:p>
    <w:p>
      <w:pPr>
        <w:spacing w:after="0" w:line="187" w:lineRule="exact"/>
        <w:rPr>
          <w:sz w:val="20"/>
          <w:szCs w:val="20"/>
          <w:color w:val="auto"/>
        </w:rPr>
      </w:pPr>
    </w:p>
    <w:p>
      <w:pPr>
        <w:ind w:left="5580" w:right="2720" w:hanging="4924"/>
        <w:spacing w:after="0" w:line="532" w:lineRule="auto"/>
        <w:tabs>
          <w:tab w:leader="none" w:pos="1303"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the assignment fee (if any) specified in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 142</w:t>
      </w: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firstLine="656"/>
        <w:spacing w:after="0" w:line="266" w:lineRule="auto"/>
        <w:tabs>
          <w:tab w:leader="none" w:pos="1304"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from the assignee (to the extent of such outstanding principal and accrued interest and fees) or the Borrower (in the case of all other amounts);</w:t>
      </w:r>
    </w:p>
    <w:p>
      <w:pPr>
        <w:spacing w:after="0" w:line="176" w:lineRule="exact"/>
        <w:rPr>
          <w:rFonts w:ascii="Times New Roman" w:cs="Times New Roman" w:eastAsia="Times New Roman" w:hAnsi="Times New Roman"/>
          <w:sz w:val="18"/>
          <w:szCs w:val="18"/>
          <w:color w:val="auto"/>
        </w:rPr>
      </w:pPr>
    </w:p>
    <w:p>
      <w:pPr>
        <w:ind w:right="20" w:firstLine="656"/>
        <w:spacing w:after="0" w:line="282" w:lineRule="auto"/>
        <w:tabs>
          <w:tab w:leader="none" w:pos="1307"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such assignment resulting from a claim for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such assignment will result in a reduction in such compensation or payments thereafter;</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assignment does not conflict with applicable Laws; and</w:t>
      </w:r>
    </w:p>
    <w:p>
      <w:pPr>
        <w:spacing w:after="0" w:line="225" w:lineRule="exact"/>
        <w:rPr>
          <w:rFonts w:ascii="Times New Roman" w:cs="Times New Roman" w:eastAsia="Times New Roman" w:hAnsi="Times New Roman"/>
          <w:sz w:val="18"/>
          <w:szCs w:val="18"/>
          <w:color w:val="auto"/>
        </w:rPr>
      </w:pPr>
    </w:p>
    <w:p>
      <w:pPr>
        <w:ind w:right="200" w:firstLine="656"/>
        <w:spacing w:after="0" w:line="282" w:lineRule="auto"/>
        <w:tabs>
          <w:tab w:leader="none" w:pos="1307"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resulting from a Lender becoming a Non-Consenting Lender, the applicable assignee shall have consented to the applicable amendment, waiver or consent, which vote shall count towards the approval of the applicable amendment, waiver or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-1919605</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4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10.14</w:t>
      </w:r>
      <w:r>
        <w:rPr>
          <w:sz w:val="20"/>
          <w:szCs w:val="20"/>
          <w:color w:val="auto"/>
        </w:rPr>
        <w:tab/>
      </w:r>
      <w:r>
        <w:rPr>
          <w:rFonts w:ascii="Times New Roman" w:cs="Times New Roman" w:eastAsia="Times New Roman" w:hAnsi="Times New Roman"/>
          <w:sz w:val="17"/>
          <w:szCs w:val="17"/>
          <w:b w:val="1"/>
          <w:bCs w:val="1"/>
          <w:color w:val="auto"/>
        </w:rPr>
        <w:t>Governing Law; Jurisdiction; Etc.</w:t>
      </w:r>
    </w:p>
    <w:p>
      <w:pPr>
        <w:spacing w:after="0" w:line="229" w:lineRule="exact"/>
        <w:rPr>
          <w:sz w:val="20"/>
          <w:szCs w:val="20"/>
          <w:color w:val="auto"/>
        </w:rPr>
      </w:pPr>
    </w:p>
    <w:p>
      <w:pPr>
        <w:ind w:right="100" w:firstLine="656"/>
        <w:spacing w:after="0" w:line="256" w:lineRule="auto"/>
        <w:tabs>
          <w:tab w:leader="none" w:pos="1294"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 WITHOUT REGARD TO PRINCIPLES OF CONFLICTS OF LAWS THEREOF (OTHER THAN SECTIONS 5-1401 AND 5-1402 OF THE GENERAL OBLIGATIONS LAW OF THE STATE OF NEW YORK).</w:t>
      </w:r>
    </w:p>
    <w:p>
      <w:pPr>
        <w:spacing w:after="0" w:line="187" w:lineRule="exact"/>
        <w:rPr>
          <w:rFonts w:ascii="Times New Roman" w:cs="Times New Roman" w:eastAsia="Times New Roman" w:hAnsi="Times New Roman"/>
          <w:sz w:val="18"/>
          <w:szCs w:val="18"/>
          <w:color w:val="auto"/>
        </w:rPr>
      </w:pPr>
    </w:p>
    <w:p>
      <w:pPr>
        <w:ind w:right="140" w:firstLine="656"/>
        <w:spacing w:after="0" w:line="254" w:lineRule="auto"/>
        <w:tabs>
          <w:tab w:leader="none" w:pos="1304"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THE BORROWER AND EACH OTHER LOAN PARTY IRREVOCABLY AND UNCONDITIONALLY AGREES THAT IT WILL NOT COMMENCE ANY ACTION, LITIGATION OR PROCEEDING OF ANY KIND OR DESCRIPTION, WHETHER IN LAW OR EQUITY, WHETHER IN CONTRACT OR IN TORT OR OTHERWISE, AGAINST THE ADMINISTRATIVE AGENT, ANY LENDER, ANY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ANY L/C ISSUER MAY OTHERWISE HAVE TO BRING ANY ACTION OR PROCEEDING RELATING TO THIS AGREEMENT OR ANY OTHER LOAN DOCUMENT AGAINST THE BORROWER OR ANY OTHER LOAN PARTY OR ITS PROPERTIES IN THE COURTS OF ANY JURISDICTION.</w:t>
      </w:r>
    </w:p>
    <w:p>
      <w:pPr>
        <w:sectPr>
          <w:pgSz w:w="11900" w:h="16906" w:orient="portrait"/>
          <w:cols w:equalWidth="0" w:num="1">
            <w:col w:w="11420"/>
          </w:cols>
          <w:pgMar w:left="240" w:top="121" w:right="239" w:bottom="0" w:gutter="0" w:footer="0" w:header="0"/>
        </w:sectPr>
      </w:pPr>
    </w:p>
    <w:bookmarkStart w:id="113" w:name="page114"/>
    <w:bookmarkEnd w:id="113"/>
    <w:p>
      <w:pPr>
        <w:ind w:firstLine="656"/>
        <w:spacing w:after="0" w:line="256" w:lineRule="auto"/>
        <w:tabs>
          <w:tab w:leader="none" w:pos="1307"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VENUE</w:t>
      </w:r>
      <w:r>
        <w:rPr>
          <w:rFonts w:ascii="Times New Roman" w:cs="Times New Roman" w:eastAsia="Times New Roman" w:hAnsi="Times New Roman"/>
          <w:sz w:val="18"/>
          <w:szCs w:val="18"/>
          <w:color w:val="auto"/>
        </w:rPr>
        <w:t xml:space="preserve">. THE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187" w:lineRule="exact"/>
        <w:rPr>
          <w:rFonts w:ascii="Times New Roman" w:cs="Times New Roman" w:eastAsia="Times New Roman" w:hAnsi="Times New Roman"/>
          <w:sz w:val="18"/>
          <w:szCs w:val="18"/>
          <w:color w:val="auto"/>
        </w:rPr>
      </w:pPr>
    </w:p>
    <w:p>
      <w:pPr>
        <w:ind w:right="420" w:firstLine="656"/>
        <w:spacing w:after="0" w:line="266" w:lineRule="auto"/>
        <w:tabs>
          <w:tab w:leader="none" w:pos="1304"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xml:space="preserve">. EACH PARTY HERETO IRREVOCABLY CONSENTS TO SERVICE OF PROCESS IN THE MANNER PROVIDED FOR NOTICES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NOTHING IN THIS AGREEMENT WILL AFFECT THE RIGHT OF ANY PARTY HERETO TO SERVE PROCESS IN ANY OTHER MANNER PERMITTED BY APPLICABLE LAW.</w:t>
      </w:r>
    </w:p>
    <w:p>
      <w:pPr>
        <w:spacing w:after="0" w:line="17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10.15 Waiver of Jury Trial</w:t>
      </w:r>
      <w:r>
        <w:rPr>
          <w:rFonts w:ascii="Times New Roman" w:cs="Times New Roman" w:eastAsia="Times New Roman" w:hAnsi="Times New Roman"/>
          <w:sz w:val="18"/>
          <w:szCs w:val="18"/>
          <w:color w:val="auto"/>
        </w:rPr>
        <w:t>. EACH PARTY HERETO HEREBY IRREVOCABLY WAIVES, TO THE FULLEST EXTENT PERMITTED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10.16 No Advisory or Fiduciary Responsibility</w:t>
      </w:r>
      <w:r>
        <w:rPr>
          <w:rFonts w:ascii="Times New Roman" w:cs="Times New Roman" w:eastAsia="Times New Roman" w:hAnsi="Times New Roman"/>
          <w:sz w:val="18"/>
          <w:szCs w:val="18"/>
          <w:color w:val="auto"/>
        </w:rPr>
        <w:t>. In connection with all aspects of each transaction contemplated hereby (including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any amendment, amendment</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and restatement, waiver or other modification hereof or of any other Loan Document), the Borrower and each other Loan Party acknowledges and agrees, and acknowledges its Affiliates’ understanding, that: (i) (A) the arranging and other services regarding this Agreement provided by the Administrative Agent, the Arrangers, the Bookrunner and the Lenders are arm’s-length commercial transactions between the Borrower, each other Loan Party and their respective Affiliates, on the one hand, and the Administrative Agent, the Arrangers, the Bookrunner and the Lenders, on the other hand, (B) each of the Borrower and the other Loan Parties has consulted its own legal, accounting, regulatory and tax advisors to the extent it has deemed appropriate, and (C) the Borrower and each other Loan Party is capable of evaluating, and understands and accepts, the terms, risks and conditions of the transactions contemplated hereby and by the other Loan Documents; (ii) (A) the Administrative Agent, the Arrangers, the Bookrunner and each Lender is and has been acting solely as a principal and, except as expressly agreed in writing by the relevant parties, has not been, is not, and will not be acting as an advisor, agent or fiduciary for the Borrower, any other Loan Party or any of their respective Affiliates, or any other Person and (B) neither the Administrative Agent, any Arranger, the Bookrunner nor any Lender has any obligation to the Borrower, any other Loan Party or any of their respective Affiliates with respect to the transactions contemplated hereby except those obligations expressly set forth herein and in the other Loan Documents; and (iii) the Administrative Agent, the Arrangers, the Bookrunner and the Lenders and their respective Affiliates may be engaged in a broad range of transactions that involve interests that differ from those of the Borrower, the other Loan Parties and their respective Affiliates, and neither the Administrative Agent, any Arranger, the Bookrunner nor any Lender has any obligation to disclose any of such interests to the Borrower, any other Loan Party or any of their respective Affiliates. Each Loan Party agrees it will not claim that any of the Administrative Agent, any Arranger, the Bookrunner or any Lender has rendered advisory services of any nature or respect or owes a fiduciary or similar duty to such Loan Party, in connection with any transactions contemplated hereby.</w:t>
      </w:r>
    </w:p>
    <w:p>
      <w:pPr>
        <w:spacing w:after="0" w:line="192"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10.17 Electronic Execution of Assignments and Certain Other Documents</w:t>
      </w:r>
      <w:r>
        <w:rPr>
          <w:rFonts w:ascii="Times New Roman" w:cs="Times New Roman" w:eastAsia="Times New Roman" w:hAnsi="Times New Roman"/>
          <w:sz w:val="18"/>
          <w:szCs w:val="18"/>
          <w:color w:val="auto"/>
        </w:rPr>
        <w:t>. The words “execute,” “execution,” “signed,” “signature,”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words of like import in or related to any document to be signed in connection with this Agreement and the transactions contemplated hereby (including without limitation Assignment and Assumptions, amendments, amendments and restatements or other modifications, Committed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86"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10.18 USA PATRIOT Act</w:t>
      </w:r>
      <w:r>
        <w:rPr>
          <w:rFonts w:ascii="Times New Roman" w:cs="Times New Roman" w:eastAsia="Times New Roman" w:hAnsi="Times New Roman"/>
          <w:sz w:val="18"/>
          <w:szCs w:val="18"/>
          <w:color w:val="auto"/>
        </w:rPr>
        <w:t>. Each Lender that is subject to the Act (as hereinafter defined) and the Administrative Agent (for itself and not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of any Lender) hereby notifies the Borrower that pursuant to the requirements of the USA PATRIOT Act (Title III of</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Pub. L. 107-56 (signed into law October 26, 2001))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80"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10.19 ENTIRE AGREEMENT. THIS AGREEMENT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71" w:lineRule="exact"/>
        <w:rPr>
          <w:sz w:val="20"/>
          <w:szCs w:val="20"/>
          <w:color w:val="auto"/>
        </w:rPr>
      </w:pPr>
    </w:p>
    <w:p>
      <w:pPr>
        <w:ind w:right="2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10.20 Acknowledgement and Consent to Bail-In of EEA Financial Institutions</w:t>
      </w:r>
      <w:r>
        <w:rPr>
          <w:rFonts w:ascii="Times New Roman" w:cs="Times New Roman" w:eastAsia="Times New Roman" w:hAnsi="Times New Roman"/>
          <w:sz w:val="18"/>
          <w:szCs w:val="18"/>
          <w:color w:val="auto"/>
        </w:rPr>
        <w:t>. Solely to the extent any Lender or any L/C Issuer that is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EEA Financial Institution is a party to this Agreement and notwithstanding anything to the contrary in any Loan Document or in any other agreement, arrangement or understanding among any such parties, each party hereto acknowledges that any liability of any Lender or any L/C Issuer that is an EEA</w:t>
      </w:r>
    </w:p>
    <w:p>
      <w:pPr>
        <w:sectPr>
          <w:pgSz w:w="11900" w:h="16838" w:orient="portrait"/>
          <w:cols w:equalWidth="0" w:num="1">
            <w:col w:w="11400"/>
          </w:cols>
          <w:pgMar w:left="240" w:top="337" w:right="259" w:bottom="0" w:gutter="0" w:footer="0" w:header="0"/>
        </w:sectPr>
      </w:pPr>
    </w:p>
    <w:bookmarkStart w:id="114" w:name="page115"/>
    <w:bookmarkEnd w:id="114"/>
    <w:p>
      <w:pPr>
        <w:spacing w:after="0" w:line="8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62" w:lineRule="exact"/>
        <w:rPr>
          <w:sz w:val="20"/>
          <w:szCs w:val="20"/>
          <w:color w:val="auto"/>
        </w:rPr>
      </w:pPr>
    </w:p>
    <w:p>
      <w:pPr>
        <w:ind w:right="80" w:firstLine="656"/>
        <w:spacing w:after="0" w:line="282" w:lineRule="auto"/>
        <w:tabs>
          <w:tab w:leader="none" w:pos="1294"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an EEA Resolution Authority to any such liabilities arising hereunder which may be payable to it by any Lender or any L/C Issuer that is an EEA Financial Institution; and</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ind w:left="660" w:right="140" w:firstLine="645"/>
        <w:spacing w:after="0" w:line="266" w:lineRule="auto"/>
        <w:tabs>
          <w:tab w:leader="none" w:pos="1987"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6" w:lineRule="exact"/>
        <w:rPr>
          <w:rFonts w:ascii="Times New Roman" w:cs="Times New Roman" w:eastAsia="Times New Roman" w:hAnsi="Times New Roman"/>
          <w:sz w:val="18"/>
          <w:szCs w:val="18"/>
          <w:color w:val="auto"/>
        </w:rPr>
      </w:pPr>
    </w:p>
    <w:p>
      <w:pPr>
        <w:ind w:left="660" w:right="220" w:firstLine="645"/>
        <w:spacing w:after="0" w:line="282" w:lineRule="auto"/>
        <w:tabs>
          <w:tab w:leader="none" w:pos="1997"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any EEA Resolution Authority.</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10.21 Appraisals</w:t>
      </w:r>
      <w:r>
        <w:rPr>
          <w:rFonts w:ascii="Times New Roman" w:cs="Times New Roman" w:eastAsia="Times New Roman" w:hAnsi="Times New Roman"/>
          <w:sz w:val="18"/>
          <w:szCs w:val="18"/>
          <w:color w:val="auto"/>
        </w:rPr>
        <w:t>. (a) Whenever the Borrower is obligated to reimburse the cost of any Appraisal hereunder, the obligation to reimburse such cost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a part of the Obligations and shall be due and payable to the Administrative Agent not later than ten Business Days after written demand therefor.</w:t>
      </w:r>
    </w:p>
    <w:p>
      <w:pPr>
        <w:spacing w:after="0" w:line="159" w:lineRule="exact"/>
        <w:rPr>
          <w:sz w:val="20"/>
          <w:szCs w:val="20"/>
          <w:color w:val="auto"/>
        </w:rPr>
      </w:pPr>
    </w:p>
    <w:p>
      <w:pPr>
        <w:ind w:right="280" w:firstLine="656"/>
        <w:spacing w:after="0" w:line="282" w:lineRule="auto"/>
        <w:tabs>
          <w:tab w:leader="none" w:pos="1304"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 written request from the Borrower, so long as no Default has occurred and is continuing, the Administrative Agent shall deliver a copy of any Appraisal 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Borrower after its completion. The Administrative Agent and Lenders do not (a) represent that the presumptions or opinions in any Appraisal are relevant or accurate; (b) represent that any Appraisal has been or has not been approved by the Administrative Agent or any Lender; or (c) represent that the Administrative Agent or any Lender endorses or does not endorse the opinions set forth in any Appraisal. The Borrower agrees that any transmittal by the Administrative Agent of any Appraisal to the Borrower is given without representation or warranty. The Borrower will hold any Appraisal delivered by the Administrative Agent to the Borrower in confidence and will not distribute it to any other person or entity, except the Borrower’s employees, agents, attorneys, consultants, or unless compelled by Law or judicial proceedings, without the Administrative Agent’s prior written consent. The Borrower waives any and all present and future claims, actions, causes of action, defenses and/or counterclaims which it may now or hereafter assert against the Administrative Agent or any Lender in connection with the content or accuracy of any such Appraisal, the Borrower’s use of any such Appraisal, and subsequent use of any such Appraisal by any third party to whom the Borrower provides the Appraisal.</w:t>
      </w:r>
    </w:p>
    <w:p>
      <w:pPr>
        <w:spacing w:after="0" w:line="185"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ARTICLE XI.</w:t>
      </w:r>
      <w:r>
        <w:rPr>
          <w:sz w:val="20"/>
          <w:szCs w:val="20"/>
          <w:color w:val="auto"/>
        </w:rPr>
        <w:tab/>
      </w:r>
      <w:r>
        <w:rPr>
          <w:rFonts w:ascii="Times New Roman" w:cs="Times New Roman" w:eastAsia="Times New Roman" w:hAnsi="Times New Roman"/>
          <w:sz w:val="17"/>
          <w:szCs w:val="17"/>
          <w:b w:val="1"/>
          <w:bCs w:val="1"/>
          <w:color w:val="auto"/>
        </w:rPr>
        <w:t>MISCELLANEOUS</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11.01 Guaranty. </w:t>
      </w:r>
      <w:r>
        <w:rPr>
          <w:rFonts w:ascii="Times New Roman" w:cs="Times New Roman" w:eastAsia="Times New Roman" w:hAnsi="Times New Roman"/>
          <w:sz w:val="18"/>
          <w:szCs w:val="18"/>
          <w:color w:val="auto"/>
        </w:rPr>
        <w:t>Each Guarantor hereby absolutely and unconditionally guarantees, jointly and severally, as a guaranty of payment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and not merely as a guaranty of collection, prompt payment when due, whether at stated maturity, by required prepayment, upon acceleration, demand or otherwise, and at all times thereafter, of any and all of the Obligations, whether for principal, interest, premiums, fees, indemnities, damages, costs, expenses or otherwise, of the Borrower to the Secured Parties, and whether arising hereunder or under any other Loan Document (including all renewals, extensions, amendments, refinancings and other modifications thereof and all costs, attorneys’ fees and expenses incurred by the Secured Parties in connection with the collection or enforcement thereof). The Administrative Agent’s books and records showing the amount of the Obligations shall be admissible in evidence in any action or proceeding, and shall be binding upon each Guarantor, and conclusive for the purpose of establishing the amount of the Obligations absent demonstrable error. This Guaranty shall not be affected by the genuineness, validity, regularity or enforceability of the Obligations or any instrument or agreement evidencing any Obligations, or by the existence, validity, enforceability, perfection, non-perfection or extent of any collateral therefor, or by any fact or circumstance relating to the Obligations which might otherwise constitute a defense to the obligations of any Guarantor under this Guaranty, and each Guarantor hereby irrevocably waives any defenses it may now have or hereafter acquire in any way relating to any or all of the foregoing.</w:t>
      </w:r>
    </w:p>
    <w:p>
      <w:pPr>
        <w:spacing w:after="0" w:line="18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Anything contained in this Guaranty to the contrary notwithstanding, it is the intention of each Guarantor and the Secured Parties that the obligations of each Guarantor hereunder at any time shall be limited to an aggregate amount equal to the largest amount that would not render its obligations hereunder subject to avoidance as a fraudulent transfer or conveyance under Section 548 of the Bankruptcy Code of the United States (Title 11, United States Code) or any comparable provisions of any similar federal or state law. To that end, but only in the event and to the extent that after giving effect to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such Guarantor’s obligations with respect to the Obligations or any payment made pursuant to such Obligations would, but for the operation of the first sentence of this paragraph, be subject to avoidance or recovery in any such proceeding under applicable Debtor Relief Laws after giving effect to</w:t>
      </w:r>
    </w:p>
    <w:p>
      <w:pPr>
        <w:spacing w:after="0"/>
        <w:rPr>
          <w:sz w:val="20"/>
          <w:szCs w:val="20"/>
          <w:color w:val="auto"/>
        </w:rPr>
      </w:pP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the amount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of such Guarantor’s obligations with respect to the Obligations shall be limited to the largest amount which, after giving effect thereto, would not, under applicable Debtor Relief Laws, render such Guarantor’s obligations with respect to the Obligations unenforceable or avoidable or otherwise subject to recovery under applicable Debtor Relief Laws. To the extent any payment actually made pursuant to the Obligations exceeds the limitation of the first sentence of this paragraph and is otherwise subject to avoidance and recovery in any such proceeding under applicable Debtor Relief Laws, the amount subject to avoidance shall in all events be limited to the amount by which such actual payment exceeds such limitation, and the Obligations as limited by the first sentence of this paragraph shall in all events remain in full force and effect and be fully enforceable against such Guarantor. The first sentence of this paragraph is intended solely to preserve the rights of the Secured Parties hereunder against such Guarantor in such proceeding to the maximum extent permitted by applicable Debtor Relief Laws and neither such Guarantor, the Borrower, any other Guarantor nor any other Person shall have any right or claim under such sentence that would not otherwise be available under applicable Debtor Relief Laws in such proceeding.</w:t>
      </w:r>
    </w:p>
    <w:p>
      <w:pPr>
        <w:spacing w:after="0" w:line="185" w:lineRule="exact"/>
        <w:rPr>
          <w:sz w:val="20"/>
          <w:szCs w:val="20"/>
          <w:color w:val="auto"/>
        </w:rPr>
      </w:pPr>
    </w:p>
    <w:p>
      <w:pPr>
        <w:jc w:val="both"/>
        <w:ind w:right="1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11.02 Rights of Lenders. </w:t>
      </w:r>
      <w:r>
        <w:rPr>
          <w:rFonts w:ascii="Times New Roman" w:cs="Times New Roman" w:eastAsia="Times New Roman" w:hAnsi="Times New Roman"/>
          <w:sz w:val="18"/>
          <w:szCs w:val="18"/>
          <w:color w:val="auto"/>
        </w:rPr>
        <w:t>Each Guarantor consents and agrees that the Secured Parties may, at any time and from time to time, without notice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demand, and without affecting the enforceability or continuing effectiveness hereof (in each case, to the extent permitted hereunder): (a) amend, amend and restate, extend, renew, compromise, discharge, accelerate or otherwise change the time for payment or the terms of the Obligations or any part thereof;</w:t>
      </w:r>
    </w:p>
    <w:p>
      <w:pPr>
        <w:sectPr>
          <w:pgSz w:w="11900" w:h="16920" w:orient="portrait"/>
          <w:cols w:equalWidth="0" w:num="1">
            <w:col w:w="11420"/>
          </w:cols>
          <w:pgMar w:left="240" w:top="121" w:right="239" w:bottom="0" w:gutter="0" w:footer="0" w:header="0"/>
        </w:sectPr>
      </w:pPr>
    </w:p>
    <w:bookmarkStart w:id="115" w:name="page116"/>
    <w:bookmarkEnd w:id="115"/>
    <w:p>
      <w:pPr>
        <w:spacing w:after="0" w:line="70" w:lineRule="exact"/>
        <w:rPr>
          <w:sz w:val="20"/>
          <w:szCs w:val="20"/>
          <w:color w:val="auto"/>
        </w:rPr>
      </w:pPr>
    </w:p>
    <w:p>
      <w:pPr>
        <w:ind w:left="260" w:hanging="252"/>
        <w:spacing w:after="0"/>
        <w:tabs>
          <w:tab w:leader="none" w:pos="26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hold, exchange, enforce, waive, release, fail to perfect, sell, or otherwise dispose of any security for the payment of this Guaranty or any Obligations;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such security and direct the order or manner of sale thereof as the Administrative Agent and the Lenders in their sole discretion may determine; and</w:t>
      </w:r>
    </w:p>
    <w:p>
      <w:pPr>
        <w:spacing w:after="0" w:line="9" w:lineRule="exact"/>
        <w:rPr>
          <w:rFonts w:ascii="Times New Roman" w:cs="Times New Roman" w:eastAsia="Times New Roman" w:hAnsi="Times New Roman"/>
          <w:sz w:val="18"/>
          <w:szCs w:val="18"/>
          <w:color w:val="auto"/>
        </w:rPr>
      </w:pPr>
    </w:p>
    <w:p>
      <w:pPr>
        <w:ind w:right="320" w:firstLine="8"/>
        <w:spacing w:after="0" w:line="255" w:lineRule="auto"/>
        <w:tabs>
          <w:tab w:leader="none" w:pos="255"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substitute one or more of any endorsers or other guarantors of any of the Obligations. Without limiting the generality of the foregoing, each Guarantor consents to the taking of, or failure to take, any action which might in any manner or to any extent vary the risks of such Guarantor under this Guaranty or which, but for this provision, might operate as a discharge of such Guarantor.</w:t>
      </w:r>
    </w:p>
    <w:p>
      <w:pPr>
        <w:spacing w:after="0" w:line="18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11.03 Certain Waivers. </w:t>
      </w:r>
      <w:r>
        <w:rPr>
          <w:rFonts w:ascii="Times New Roman" w:cs="Times New Roman" w:eastAsia="Times New Roman" w:hAnsi="Times New Roman"/>
          <w:sz w:val="18"/>
          <w:szCs w:val="18"/>
          <w:color w:val="auto"/>
        </w:rPr>
        <w:t>Each Guarantor waives to the fullest extent permitted by Law (a) any defense arising by reason of any disability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defense of the Borrower or any other guarantor, or the cessation from any cause whatsoever (including any act or omission of any Secured Party, but excluding satisfaction thereof by way of payment) of the liability of the Borrower; (b) any defense based on any claim that such Guarantor’s obligations exceed or are more burdensome than those of the Borrower; (c) the benefit of any statute of limitations affecting such Guarantor’s liability hereunder; (d) any right to proceed against the Borrower, proceed against or exhaust any security for the Obligations, or pursue any other remedy in the power of any Secured Party whatsoever; (e) any benefit of and any right to participate in any security now or hereafter held by any Secured Party; and (f) to the fullest extent permitted by law, any and all other defenses or benefits that may be derived from or afforded by applicable law limiting the liability of or exonerating guarantors or sureties (in each case, other than a defense relating to payment in full of the Obligations). Each Guarantor expressly waives all setoffs and counterclaims and all presentments, demands for payment or performance, notices of nonpayment or nonperformance, protests, notices of protest, notices of dishonor and all other notices or demands of any kind or nature whatsoever with respect to the Obligations, and all</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notices of acceptance of this Guaranty or of the existence, creation or incurrence of new or additional Obligations.</w:t>
      </w:r>
    </w:p>
    <w:p>
      <w:pPr>
        <w:spacing w:after="0" w:line="221" w:lineRule="exact"/>
        <w:rPr>
          <w:sz w:val="20"/>
          <w:szCs w:val="20"/>
          <w:color w:val="auto"/>
        </w:rPr>
      </w:pPr>
    </w:p>
    <w:p>
      <w:pPr>
        <w:ind w:right="2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11.04 Obligations Independent. </w:t>
      </w:r>
      <w:r>
        <w:rPr>
          <w:rFonts w:ascii="Times New Roman" w:cs="Times New Roman" w:eastAsia="Times New Roman" w:hAnsi="Times New Roman"/>
          <w:sz w:val="18"/>
          <w:szCs w:val="18"/>
          <w:color w:val="auto"/>
        </w:rPr>
        <w:t>The obligations of each Guarantor hereunder are those of a primary obligor, and not merely as surety, and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of the Obligations and the obligations of any other guarantor, and a separate action may be brought against each Guarantor to enforce this Guaranty whether or not the Borrower or any other Person or entity is joined as a party.</w:t>
      </w:r>
    </w:p>
    <w:p>
      <w:pPr>
        <w:spacing w:after="0" w:line="171"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11.05 Subrogation. </w:t>
      </w:r>
      <w:r>
        <w:rPr>
          <w:rFonts w:ascii="Times New Roman" w:cs="Times New Roman" w:eastAsia="Times New Roman" w:hAnsi="Times New Roman"/>
          <w:sz w:val="18"/>
          <w:szCs w:val="18"/>
          <w:color w:val="auto"/>
        </w:rPr>
        <w:t>Each Guarantor shall not exercise any right of subrogation, contribution, indemnity, reimbursement or similar rights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any payments it makes under this Guaranty until all Commitments have been terminated and all of the Obligations and any amounts payable under this Guaranty (in each case, other than contingent indemnification and expense reimbursement obligations to the extent no claim has been asserted therefor) have been paid in full. If any amounts are paid to any Guarantor in violation of the foregoing limitation, then such amounts shall be held in trust for the benefit of the Secured Parties and shall forthwith be paid to the Secured Parties to reduce the amount of the Obligation</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whether matured or unmatured.</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11.06 Termination; Reinstatement. </w:t>
      </w:r>
      <w:r>
        <w:rPr>
          <w:rFonts w:ascii="Times New Roman" w:cs="Times New Roman" w:eastAsia="Times New Roman" w:hAnsi="Times New Roman"/>
          <w:sz w:val="18"/>
          <w:szCs w:val="18"/>
          <w:color w:val="auto"/>
        </w:rPr>
        <w:t>This Guaranty is a continuing and irrevocable guaranty of all Obligations now or hereafter existing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remain in full force and effect until all Commitments are terminated and all Obligations and any other amounts payable under this Guaranty (in each case, other than contingent indemnification and expense reimbursement obligations to the extent no claim has been asserted therefor) have been paid in full in cash. Notwithstanding the foregoing, this Guaranty shall continue in full force and effect or be revived, as the case may be, if any payment by or on behalf of the Borrower or any other Guarantor is made, or any of the Secured Parties exercises its right of setoff, in respect of the Obligations and such payment or the proceeds of such setoff or any part thereof is subsequently invalidated, declared to be fraudulent or preferential, set aside or required (including pursuant to any settlement entered into by any of the Secured Parties in their discretion) to be repaid to a trustee, receiver or any other party, in connection with any proceeding under any Debtor Relief Laws or otherwise, all as if such payment had not been made or such setoff had not occurred and whether or not the Secured Parties are in possession of or have released this Guaranty and regardless of any prior revocation, rescission, termination or reduction. The obligations of the Guarantors under this paragraph shall survive termination of this Guaranty.</w:t>
      </w:r>
    </w:p>
    <w:p>
      <w:pPr>
        <w:spacing w:after="0" w:line="186"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11.07 Subordination. </w:t>
      </w:r>
      <w:r>
        <w:rPr>
          <w:rFonts w:ascii="Times New Roman" w:cs="Times New Roman" w:eastAsia="Times New Roman" w:hAnsi="Times New Roman"/>
          <w:sz w:val="18"/>
          <w:szCs w:val="18"/>
          <w:color w:val="auto"/>
        </w:rPr>
        <w:t>Each Guarantor hereby subordinates the payment of all obligations and indebtedness of the Borrower owing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Guarantor, whether now existing or hereafter arising, including but not limited to any obligation of the Borrower to such Guarantor as subrogee of the Secured Parties or resulting from such Guarantor’s performance under this Guaranty, to the payment in full in cash of all Obligations. If the Secured Parties so request during the continuance of an Event of Default, any such obligation or indebtedness of the Borrower to such Guarantor shall be enforced and performance received by such Guarantor as trustee for the Secured Parties and the proceeds thereof shall be paid over to the Secured Parties on account of the Obligations, but without reducing or affecting in any manner the liability of any Guarantor under this Guaranty.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1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11.08 Stay of Acceleration. </w:t>
      </w:r>
      <w:r>
        <w:rPr>
          <w:rFonts w:ascii="Times New Roman" w:cs="Times New Roman" w:eastAsia="Times New Roman" w:hAnsi="Times New Roman"/>
          <w:sz w:val="18"/>
          <w:szCs w:val="18"/>
          <w:color w:val="auto"/>
        </w:rPr>
        <w:t>If acceleration of the time for payment of any of the Obligations is stayed, in connection with any case commenced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or against the Borrower or any Guarantor under any Debtor Relief Laws, or otherwise, all such amounts shall nonetheless be payable by a Guarantor not subject to such stay immediately upon demand by the Secured Parties.</w:t>
      </w:r>
    </w:p>
    <w:p>
      <w:pPr>
        <w:spacing w:after="0" w:line="171"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11.09 Condition of the Borrower. </w:t>
      </w:r>
      <w:r>
        <w:rPr>
          <w:rFonts w:ascii="Times New Roman" w:cs="Times New Roman" w:eastAsia="Times New Roman" w:hAnsi="Times New Roman"/>
          <w:sz w:val="18"/>
          <w:szCs w:val="18"/>
          <w:color w:val="auto"/>
        </w:rPr>
        <w:t>Each Guarantor acknowledges and agrees that it has the sole responsibility for, and has adequate means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obtaining from the Borrower and any other guarantor such information concerning the financial condition, business and operations of the Borrower and any such other guarantor as such Guarantor requires, and that none of the Secured Parties has any duty, and such Guarantor is not relying on the Secured Parties at any time, to disclose to such Guarantor any information relating to the business, operations or financial condition of the Borrower or any other guarantor (each Guarantor waiving any duty on the part of the Secured Parties to disclose such information and any defense relating to the failure to provide the same).</w:t>
      </w:r>
    </w:p>
    <w:p>
      <w:pPr>
        <w:spacing w:after="0" w:line="180"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11.10 Limitations on Enforcement. </w:t>
      </w:r>
      <w:r>
        <w:rPr>
          <w:rFonts w:ascii="Times New Roman" w:cs="Times New Roman" w:eastAsia="Times New Roman" w:hAnsi="Times New Roman"/>
          <w:sz w:val="18"/>
          <w:szCs w:val="18"/>
          <w:color w:val="auto"/>
        </w:rPr>
        <w:t>If, in any action to enforce this Guaranty or any proceeding to allow or adjudicate a claim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Guaranty, a court of competent jurisdiction determines that enforcement of this Guaranty against any Guarantor for the full amount of the Obligations is not lawful under, or would be subject to avoidance under, Section 548 of the Bankruptcy Code or any applicable provision of comparable state law, the liability of such Guarantor under this Guaranty shall be limited to the maximum amount lawful and not subject to avoidance under such law.</w:t>
      </w:r>
    </w:p>
    <w:p>
      <w:pPr>
        <w:spacing w:after="0" w:line="177"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11.11 Contribution</w:t>
      </w:r>
      <w:r>
        <w:rPr>
          <w:rFonts w:ascii="Times New Roman" w:cs="Times New Roman" w:eastAsia="Times New Roman" w:hAnsi="Times New Roman"/>
          <w:sz w:val="18"/>
          <w:szCs w:val="18"/>
          <w:color w:val="auto"/>
        </w:rPr>
        <w:t>. At any time a payment in respect of the Obligations is made under this Guaranty, the right of contribution of each Guarantor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each other Guarantor shall be determined as provided in the immediately following sentence, with the right of contribution of each Guarantor to be revised and restated as of each date on which a payment (a “</w:t>
      </w:r>
      <w:r>
        <w:rPr>
          <w:rFonts w:ascii="Times New Roman" w:cs="Times New Roman" w:eastAsia="Times New Roman" w:hAnsi="Times New Roman"/>
          <w:sz w:val="18"/>
          <w:szCs w:val="18"/>
          <w:u w:val="single" w:color="auto"/>
          <w:color w:val="auto"/>
        </w:rPr>
        <w:t>Relevant Payment</w:t>
      </w:r>
      <w:r>
        <w:rPr>
          <w:rFonts w:ascii="Times New Roman" w:cs="Times New Roman" w:eastAsia="Times New Roman" w:hAnsi="Times New Roman"/>
          <w:sz w:val="18"/>
          <w:szCs w:val="18"/>
          <w:color w:val="auto"/>
        </w:rPr>
        <w:t>”) is made on the Obligations under this Guaranty. At any time that a Relevant Payment is made by a Guarantor that results in the aggregate payments made by such Guarantor in respect of the Obligations to and including the date of the Relevant Payment exceeding such Guarantor’s Contribution Percentage (as defined below) of the aggregate payments made by all Guarantors in respect of the Obligations to and including the date of the Relevant Payment (such excess, the “</w:t>
      </w:r>
      <w:r>
        <w:rPr>
          <w:rFonts w:ascii="Times New Roman" w:cs="Times New Roman" w:eastAsia="Times New Roman" w:hAnsi="Times New Roman"/>
          <w:sz w:val="18"/>
          <w:szCs w:val="18"/>
          <w:u w:val="single" w:color="auto"/>
          <w:color w:val="auto"/>
        </w:rPr>
        <w:t>Aggregate Excess Amount</w:t>
      </w:r>
      <w:r>
        <w:rPr>
          <w:rFonts w:ascii="Times New Roman" w:cs="Times New Roman" w:eastAsia="Times New Roman" w:hAnsi="Times New Roman"/>
          <w:sz w:val="18"/>
          <w:szCs w:val="18"/>
          <w:color w:val="auto"/>
        </w:rPr>
        <w:t>”), each such Guarantor shall have a right of</w:t>
      </w:r>
    </w:p>
    <w:p>
      <w:pPr>
        <w:sectPr>
          <w:pgSz w:w="11900" w:h="16908" w:orient="portrait"/>
          <w:cols w:equalWidth="0" w:num="1">
            <w:col w:w="11400"/>
          </w:cols>
          <w:pgMar w:left="240" w:top="121" w:right="259" w:bottom="0" w:gutter="0" w:footer="0" w:header="0"/>
        </w:sectPr>
      </w:pPr>
    </w:p>
    <w:bookmarkStart w:id="116" w:name="page117"/>
    <w:bookmarkEnd w:id="116"/>
    <w:p>
      <w:pPr>
        <w:spacing w:after="0" w:line="255" w:lineRule="auto"/>
        <w:rPr>
          <w:sz w:val="20"/>
          <w:szCs w:val="20"/>
          <w:color w:val="auto"/>
        </w:rPr>
      </w:pPr>
      <w:r>
        <w:rPr>
          <w:rFonts w:ascii="Times New Roman" w:cs="Times New Roman" w:eastAsia="Times New Roman" w:hAnsi="Times New Roman"/>
          <w:sz w:val="18"/>
          <w:szCs w:val="18"/>
          <w:color w:val="auto"/>
        </w:rPr>
        <w:t>contribution against each other Guarantor who either has not made any payments or has made payments in respect of the Obligations to and including the date of the Relevant Payment in an aggregate amount less than such other Guarantor’s Contribution Percentage of the aggregate payments made to and including the date of the Relevant Payment by all Guarantors in respect of the Obligations (the aggregate amount of such deficit, the “</w:t>
      </w:r>
      <w:r>
        <w:rPr>
          <w:rFonts w:ascii="Times New Roman" w:cs="Times New Roman" w:eastAsia="Times New Roman" w:hAnsi="Times New Roman"/>
          <w:sz w:val="18"/>
          <w:szCs w:val="18"/>
          <w:u w:val="single" w:color="auto"/>
          <w:color w:val="auto"/>
        </w:rPr>
        <w:t>Aggregate Deficit Amount</w:t>
      </w:r>
      <w:r>
        <w:rPr>
          <w:rFonts w:ascii="Times New Roman" w:cs="Times New Roman" w:eastAsia="Times New Roman" w:hAnsi="Times New Roman"/>
          <w:sz w:val="18"/>
          <w:szCs w:val="18"/>
          <w:color w:val="auto"/>
        </w:rPr>
        <w:t>”) in an amount equal to (x) a fraction the numerator of which is the Aggregate Excess Amount of such Guarantor and the denominator of which is the Aggregate Excess Amount of all Guarantors multiplied by (y) the Aggregate Deficit Amount of such other Guarantor. A Guarantor’s right of contribution pursuant to the preceding sentences shall arise at the time of each computation, subject to adjustment at the time of each computation; provided, that no Guarantor may take any action to enforce such right until all of the Obligations and any amounts payable under this Guaranty (other than, in each case, contingent indemnification and expense reimbursement obligations to the extent no claim has been asserted therefor) have been paid in full in cash and all</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Commitments are terminated, it being expressly recognized and agreed by all parties hereto that any Guarantor’s right of contribution arising pursuant to this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xml:space="preserve"> against any other Guarantor shall be expressly junior and subordinate to such other Guarantor’s obligations and liabilities in respect of the Obligations and any other obligations owing under this Guaranty. As used in this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xml:space="preserve">, (i) each Guarantor’s “Contribution Percentage” shall mean the percentage obtained by dividing (x) the Adjusted Net Worth (as defined below) of such Guarantor by (y) the aggregate Adjusted Net Worth of all Guarantors; (ii) the “Adjusted Net Worth” of each Guarantor shall mean the greater of (x) the Net Worth (as defined below) of such Guarantor and (y) zero; and (iii) the “Net Worth” of each Guarantor shall mean the amount by which the fair saleable value of such Guarantor’s assets on the date of any Relevant Payment exceeds its existing debts and other liabilities (including contingent liabilities, but without giving effect to any Obligations arising under this Guaranty) on such date. All parties hereto recognize and agree that, except for any right of contribution arising pursuant to this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each Guarantor who makes any payment in respect of the Obligations shall have no right of contribution or subrogation against any other Guarantor in respect of such payment until all of the Obligations (other than, in each case, contingent indemnification and expense reimbursement obligations to the extent no claim has been asserted therefor) have been paid in full in cash and all Commitments are terminated. Each of the Guarantors recognizes and acknowledges that the rights to contribution arising hereunder shall constitute an asset in favor of the party entitled to such contribution. In this connection, each Guarantor has the right to waive its contribution right against any Guarantor to the extent that after giving effect to such waiver such Guarantor would remain solvent, in the determination of the Majority Lenders.</w:t>
      </w:r>
    </w:p>
    <w:p>
      <w:pPr>
        <w:spacing w:after="0" w:line="19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11.12</w:t>
      </w:r>
      <w:r>
        <w:rPr>
          <w:sz w:val="20"/>
          <w:szCs w:val="20"/>
          <w:color w:val="auto"/>
        </w:rPr>
        <w:tab/>
      </w:r>
      <w:r>
        <w:rPr>
          <w:rFonts w:ascii="Times New Roman" w:cs="Times New Roman" w:eastAsia="Times New Roman" w:hAnsi="Times New Roman"/>
          <w:sz w:val="17"/>
          <w:szCs w:val="17"/>
          <w:b w:val="1"/>
          <w:bCs w:val="1"/>
          <w:color w:val="auto"/>
        </w:rPr>
        <w:t>Investment Grade Release.</w:t>
      </w:r>
    </w:p>
    <w:p>
      <w:pPr>
        <w:spacing w:after="0" w:line="229" w:lineRule="exact"/>
        <w:rPr>
          <w:sz w:val="20"/>
          <w:szCs w:val="20"/>
          <w:color w:val="auto"/>
        </w:rPr>
      </w:pPr>
    </w:p>
    <w:p>
      <w:pPr>
        <w:ind w:right="60" w:firstLine="656"/>
        <w:spacing w:after="0" w:line="266" w:lineRule="auto"/>
        <w:tabs>
          <w:tab w:leader="none" w:pos="1294"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the Investment Grade Ratings Criteria is satisfied, subject to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this Section, the Administrative Agent shall promptly release all of the Subsidiary Guarantors from their obligations under the Guaranty (the “</w:t>
      </w:r>
      <w:r>
        <w:rPr>
          <w:rFonts w:ascii="Times New Roman" w:cs="Times New Roman" w:eastAsia="Times New Roman" w:hAnsi="Times New Roman"/>
          <w:sz w:val="18"/>
          <w:szCs w:val="18"/>
          <w:u w:val="single" w:color="auto"/>
          <w:color w:val="auto"/>
        </w:rPr>
        <w:t>Investment Grade Release</w:t>
      </w:r>
      <w:r>
        <w:rPr>
          <w:rFonts w:ascii="Times New Roman" w:cs="Times New Roman" w:eastAsia="Times New Roman" w:hAnsi="Times New Roman"/>
          <w:sz w:val="18"/>
          <w:szCs w:val="18"/>
          <w:color w:val="auto"/>
        </w:rPr>
        <w:t>”) and release all Equity Interests and other Collateral pledged pursuant to the Pledge Agreement or any other Collateral Documents, subject to satisfaction of the following conditions:</w:t>
      </w:r>
    </w:p>
    <w:p>
      <w:pPr>
        <w:spacing w:after="0" w:line="176" w:lineRule="exact"/>
        <w:rPr>
          <w:rFonts w:ascii="Times New Roman" w:cs="Times New Roman" w:eastAsia="Times New Roman" w:hAnsi="Times New Roman"/>
          <w:sz w:val="18"/>
          <w:szCs w:val="18"/>
          <w:color w:val="auto"/>
        </w:rPr>
      </w:pPr>
    </w:p>
    <w:p>
      <w:pPr>
        <w:ind w:left="660" w:right="300" w:firstLine="645"/>
        <w:spacing w:after="0" w:line="261" w:lineRule="auto"/>
        <w:tabs>
          <w:tab w:leader="none" w:pos="1978"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delivered to the Administrative Agent, on or prior to the date that is ten (10) Business Days (or such shorter period of time as agreed to by the Administrative Agent) before the date on which the Investment Grade Release is to be effected, written notice that it is requesting the Investment Grade Release, which notice shall identify the Subsidiary Guarantors to be released and the proposed effective date for the Investment Grade Release; and</w:t>
      </w:r>
    </w:p>
    <w:p>
      <w:pPr>
        <w:spacing w:after="0" w:line="180"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1987"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the Investment Grade Release is to become effective, the Administrative Agent shall have received a certificate signed by a Responsible Officer, certifying that,</w:t>
      </w:r>
    </w:p>
    <w:p>
      <w:pPr>
        <w:spacing w:after="0" w:line="162" w:lineRule="exact"/>
        <w:rPr>
          <w:sz w:val="20"/>
          <w:szCs w:val="20"/>
          <w:color w:val="auto"/>
        </w:rPr>
      </w:pPr>
    </w:p>
    <w:p>
      <w:pPr>
        <w:ind w:left="1300" w:right="260" w:firstLine="653"/>
        <w:spacing w:after="0" w:line="282" w:lineRule="auto"/>
        <w:tabs>
          <w:tab w:leader="none" w:pos="2617"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Grade Ratings Criteria have been satisfied and setting forth the Debt Rating(s) as in effect, if any, from each of S&amp;P, Moody’s and Fitch as of such date,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300" w:firstLine="653"/>
        <w:spacing w:after="0" w:line="258" w:lineRule="auto"/>
        <w:tabs>
          <w:tab w:leader="none" w:pos="2607"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certifying that no Subsidiary Guarantor requested to be released is a borrower or guarantor of, or otherwise obligated in respect of, any Unsecured Debt or any Secured Pari Passu Obligations (other than Unsecured Debt and Secured Pari Passu Obligations in respect of which such Subsidiary Guarantor shall be released as a borrower or guarantor or other obligor substantially concurrently with the release hereunder) or is the Grantor party to a Mortgage in favor of the Administrative Agent granted in connection with the occurrence of a Springing Mortgage Covenant Event; and</w:t>
      </w:r>
    </w:p>
    <w:p>
      <w:pPr>
        <w:spacing w:after="0" w:line="183" w:lineRule="exact"/>
        <w:rPr>
          <w:rFonts w:ascii="Times New Roman" w:cs="Times New Roman" w:eastAsia="Times New Roman" w:hAnsi="Times New Roman"/>
          <w:sz w:val="18"/>
          <w:szCs w:val="18"/>
          <w:color w:val="auto"/>
        </w:rPr>
      </w:pPr>
    </w:p>
    <w:p>
      <w:pPr>
        <w:ind w:left="1300" w:right="140" w:firstLine="653"/>
        <w:spacing w:after="0" w:line="282" w:lineRule="auto"/>
        <w:tabs>
          <w:tab w:leader="none" w:pos="2607"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the Investment Grade Release, no Default has occurred and is continuing or would result therefrom.</w:t>
      </w:r>
    </w:p>
    <w:p>
      <w:pPr>
        <w:spacing w:after="0" w:line="161" w:lineRule="exact"/>
        <w:rPr>
          <w:rFonts w:ascii="Times New Roman" w:cs="Times New Roman" w:eastAsia="Times New Roman" w:hAnsi="Times New Roman"/>
          <w:sz w:val="18"/>
          <w:szCs w:val="18"/>
          <w:color w:val="auto"/>
        </w:rPr>
      </w:pPr>
    </w:p>
    <w:p>
      <w:pPr>
        <w:ind w:right="240" w:firstLine="656"/>
        <w:spacing w:after="0" w:line="258" w:lineRule="auto"/>
        <w:tabs>
          <w:tab w:leader="none" w:pos="1304"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this Section, upon the release of any Person pursuant to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the Administrative Agent shall (to the extent applicable) return any Collateral in its possession and deliver to the Borrower, upon the Borrower’s request and at the Borrower’s expense, such documentation as is reasonably satisfactory to the Borrower and the Administrative Agent and necessary to evidence the release of such Person from its obligations under the Loan Documents and (to the extent applicable) the discharge, release and termination of the security interests created by the Pledge Agreement and the other Collateral Documents.</w:t>
      </w:r>
    </w:p>
    <w:p>
      <w:pPr>
        <w:spacing w:after="0" w:line="183" w:lineRule="exact"/>
        <w:rPr>
          <w:rFonts w:ascii="Times New Roman" w:cs="Times New Roman" w:eastAsia="Times New Roman" w:hAnsi="Times New Roman"/>
          <w:sz w:val="18"/>
          <w:szCs w:val="18"/>
          <w:color w:val="auto"/>
        </w:rPr>
      </w:pPr>
    </w:p>
    <w:p>
      <w:pPr>
        <w:ind w:right="20" w:firstLine="656"/>
        <w:spacing w:after="0" w:line="255" w:lineRule="auto"/>
        <w:tabs>
          <w:tab w:leader="none" w:pos="1307"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shall not apply to (i) any Direct Owner of a Borrowing Base Asset or any Indirect Owner of such Direct Owner in each case that is a borrower or guarantor of, or otherwise obligated in respect of, any Unsecured Debt or Secured Pari Passu Obligations (other than any Unsecured Debt or Secured Pari Passu Obligations in respect of which such Subsidiary Guarantor shall be released as a borrower or guarantor or other obligor substantially concurrently with the Investment Grade Release), (ii) any Grantor party to a Mortgage in favor of the Administrative Agent granted in connection with the occurrence of a Springing Mortgage Covenant Event. For the avoidance of doubt, the Administrative Agent shall not release its Lien on any Collateral that was granted in connection with a Springing Mortgage Covenant Event by virtue of the occurrence of the Investment Grade Release.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immediately follow]</w:t>
      </w:r>
    </w:p>
    <w:p>
      <w:pPr>
        <w:sectPr>
          <w:pgSz w:w="11900" w:h="16838" w:orient="portrait"/>
          <w:cols w:equalWidth="0" w:num="1">
            <w:col w:w="11400"/>
          </w:cols>
          <w:pgMar w:left="240" w:top="121" w:right="259" w:bottom="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i w:val="1"/>
          <w:iCs w:val="1"/>
          <w:color w:val="auto"/>
        </w:rPr>
        <w:t>IN WITNESS WHEREOF</w:t>
      </w:r>
      <w:r>
        <w:rPr>
          <w:rFonts w:ascii="Times New Roman" w:cs="Times New Roman" w:eastAsia="Times New Roman" w:hAnsi="Times New Roman"/>
          <w:sz w:val="18"/>
          <w:szCs w:val="18"/>
          <w:color w:val="auto"/>
        </w:rPr>
        <w:t>, the parties hereto have caused this Agreement to be duly executed as of the date first above written.</w:t>
      </w:r>
    </w:p>
    <w:p>
      <w:pPr>
        <w:spacing w:after="0" w:line="2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SAFETY, INCOME AND GROWTH, INC.</w:t>
      </w:r>
    </w:p>
    <w:p>
      <w:pPr>
        <w:spacing w:after="0" w:line="200" w:lineRule="exact"/>
        <w:rPr>
          <w:sz w:val="20"/>
          <w:szCs w:val="20"/>
          <w:color w:val="auto"/>
        </w:rPr>
      </w:pPr>
    </w:p>
    <w:p>
      <w:pPr>
        <w:spacing w:after="0" w:line="24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3676650</wp:posOffset>
            </wp:positionH>
            <wp:positionV relativeFrom="paragraph">
              <wp:posOffset>-130810</wp:posOffset>
            </wp:positionV>
            <wp:extent cx="315595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ind w:left="50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3676650</wp:posOffset>
            </wp:positionH>
            <wp:positionV relativeFrom="paragraph">
              <wp:posOffset>5715</wp:posOffset>
            </wp:positionV>
            <wp:extent cx="315595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155950" cy="8890"/>
                    </a:xfrm>
                    <a:prstGeom prst="rect">
                      <a:avLst/>
                    </a:prstGeom>
                    <a:noFill/>
                  </pic:spPr>
                </pic:pic>
              </a:graphicData>
            </a:graphic>
          </wp:anchor>
        </w:drawing>
        <w:drawing>
          <wp:anchor simplePos="0" relativeHeight="251657728" behindDoc="1" locked="0" layoutInCell="0" allowOverlap="1">
            <wp:simplePos x="0" y="0"/>
            <wp:positionH relativeFrom="column">
              <wp:posOffset>3676650</wp:posOffset>
            </wp:positionH>
            <wp:positionV relativeFrom="paragraph">
              <wp:posOffset>-130810</wp:posOffset>
            </wp:positionV>
            <wp:extent cx="315595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[Signature Page to SFTY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220980</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 as Administrative Agent</w:t>
      </w:r>
    </w:p>
    <w:p>
      <w:pPr>
        <w:spacing w:after="0" w:line="200" w:lineRule="exact"/>
        <w:rPr>
          <w:sz w:val="20"/>
          <w:szCs w:val="20"/>
          <w:color w:val="auto"/>
        </w:rPr>
      </w:pPr>
    </w:p>
    <w:p>
      <w:pPr>
        <w:spacing w:after="0" w:line="24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-130810</wp:posOffset>
            </wp:positionV>
            <wp:extent cx="316420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jc w:val="center"/>
        <w:ind w:right="-49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5715</wp:posOffset>
            </wp:positionV>
            <wp:extent cx="316420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164205" cy="8890"/>
                    </a:xfrm>
                    <a:prstGeom prst="rect">
                      <a:avLst/>
                    </a:prstGeom>
                    <a:noFill/>
                  </pic:spPr>
                </pic:pic>
              </a:graphicData>
            </a:graphic>
          </wp:anchor>
        </w:drawing>
        <w:drawing>
          <wp:anchor simplePos="0" relativeHeight="251657728" behindDoc="1" locked="0" layoutInCell="0" allowOverlap="1">
            <wp:simplePos x="0" y="0"/>
            <wp:positionH relativeFrom="column">
              <wp:posOffset>3668395</wp:posOffset>
            </wp:positionH>
            <wp:positionV relativeFrom="paragraph">
              <wp:posOffset>-130810</wp:posOffset>
            </wp:positionV>
            <wp:extent cx="316420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2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[Signature Page to SFTY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220980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 as a Lender and an L/C Issuer</w:t>
      </w:r>
    </w:p>
    <w:p>
      <w:pPr>
        <w:spacing w:after="0" w:line="200" w:lineRule="exact"/>
        <w:rPr>
          <w:sz w:val="20"/>
          <w:szCs w:val="20"/>
          <w:color w:val="auto"/>
        </w:rPr>
      </w:pPr>
    </w:p>
    <w:p>
      <w:pPr>
        <w:spacing w:after="0" w:line="24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-130810</wp:posOffset>
            </wp:positionV>
            <wp:extent cx="319849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jc w:val="center"/>
        <w:ind w:right="-49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5715</wp:posOffset>
            </wp:positionV>
            <wp:extent cx="319849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198495" cy="8890"/>
                    </a:xfrm>
                    <a:prstGeom prst="rect">
                      <a:avLst/>
                    </a:prstGeom>
                    <a:noFill/>
                  </pic:spPr>
                </pic:pic>
              </a:graphicData>
            </a:graphic>
          </wp:anchor>
        </w:drawing>
        <w:drawing>
          <wp:anchor simplePos="0" relativeHeight="251657728" behindDoc="1" locked="0" layoutInCell="0" allowOverlap="1">
            <wp:simplePos x="0" y="0"/>
            <wp:positionH relativeFrom="column">
              <wp:posOffset>3634105</wp:posOffset>
            </wp:positionH>
            <wp:positionV relativeFrom="paragraph">
              <wp:posOffset>-130810</wp:posOffset>
            </wp:positionV>
            <wp:extent cx="319849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[Signature Page to SFTY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220980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JPMORGAN CHASE BANK, N.A.</w:t>
      </w:r>
      <w:r>
        <w:rPr>
          <w:rFonts w:ascii="Times New Roman" w:cs="Times New Roman" w:eastAsia="Times New Roman" w:hAnsi="Times New Roman"/>
          <w:sz w:val="18"/>
          <w:szCs w:val="18"/>
          <w:color w:val="auto"/>
        </w:rPr>
        <w:t>, as a Lender and an L/C Issuer</w:t>
      </w:r>
    </w:p>
    <w:p>
      <w:pPr>
        <w:spacing w:after="0" w:line="200" w:lineRule="exact"/>
        <w:rPr>
          <w:sz w:val="20"/>
          <w:szCs w:val="20"/>
          <w:color w:val="auto"/>
        </w:rPr>
      </w:pPr>
    </w:p>
    <w:p>
      <w:pPr>
        <w:spacing w:after="0" w:line="24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-130810</wp:posOffset>
            </wp:positionV>
            <wp:extent cx="319849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jc w:val="center"/>
        <w:ind w:right="-49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5715</wp:posOffset>
            </wp:positionV>
            <wp:extent cx="319849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198495" cy="8890"/>
                    </a:xfrm>
                    <a:prstGeom prst="rect">
                      <a:avLst/>
                    </a:prstGeom>
                    <a:noFill/>
                  </pic:spPr>
                </pic:pic>
              </a:graphicData>
            </a:graphic>
          </wp:anchor>
        </w:drawing>
        <w:drawing>
          <wp:anchor simplePos="0" relativeHeight="251657728" behindDoc="1" locked="0" layoutInCell="0" allowOverlap="1">
            <wp:simplePos x="0" y="0"/>
            <wp:positionH relativeFrom="column">
              <wp:posOffset>3634105</wp:posOffset>
            </wp:positionH>
            <wp:positionV relativeFrom="paragraph">
              <wp:posOffset>-130810</wp:posOffset>
            </wp:positionV>
            <wp:extent cx="319849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[Signature Page to SFTY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220980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BARCLAYS BANK PLC, N.A.</w:t>
      </w:r>
      <w:r>
        <w:rPr>
          <w:rFonts w:ascii="Times New Roman" w:cs="Times New Roman" w:eastAsia="Times New Roman" w:hAnsi="Times New Roman"/>
          <w:sz w:val="18"/>
          <w:szCs w:val="18"/>
          <w:color w:val="auto"/>
        </w:rPr>
        <w:t>, as a Lender and an L/C Issuer</w:t>
      </w:r>
    </w:p>
    <w:p>
      <w:pPr>
        <w:spacing w:after="0" w:line="200" w:lineRule="exact"/>
        <w:rPr>
          <w:sz w:val="20"/>
          <w:szCs w:val="20"/>
          <w:color w:val="auto"/>
        </w:rPr>
      </w:pPr>
    </w:p>
    <w:p>
      <w:pPr>
        <w:spacing w:after="0" w:line="24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-130810</wp:posOffset>
            </wp:positionV>
            <wp:extent cx="319849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jc w:val="center"/>
        <w:ind w:right="-49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5715</wp:posOffset>
            </wp:positionV>
            <wp:extent cx="319849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198495" cy="8890"/>
                    </a:xfrm>
                    <a:prstGeom prst="rect">
                      <a:avLst/>
                    </a:prstGeom>
                    <a:noFill/>
                  </pic:spPr>
                </pic:pic>
              </a:graphicData>
            </a:graphic>
          </wp:anchor>
        </w:drawing>
        <w:drawing>
          <wp:anchor simplePos="0" relativeHeight="251657728" behindDoc="1" locked="0" layoutInCell="0" allowOverlap="1">
            <wp:simplePos x="0" y="0"/>
            <wp:positionH relativeFrom="column">
              <wp:posOffset>3634105</wp:posOffset>
            </wp:positionH>
            <wp:positionV relativeFrom="paragraph">
              <wp:posOffset>-130810</wp:posOffset>
            </wp:positionV>
            <wp:extent cx="319849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[Signature Page to SFTY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220980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[OTHER LENDERS]</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[Signature Page to SFTY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220980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000"/>
          </w:cols>
          <w:pgMar w:left="900" w:top="578" w:right="999" w:bottom="1440" w:gutter="0" w:footer="0" w:header="0"/>
        </w:sectPr>
      </w:pPr>
    </w:p>
    <w:bookmarkStart w:id="118" w:name="page119"/>
    <w:bookmarkEnd w:id="118"/>
    <w:tbl>
      <w:tblPr>
        <w:tblLayout w:type="fixed"/>
        <w:tblInd w:w="66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78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w w:val="97"/>
              </w:rPr>
              <w:t>Exhibit 10.13</w:t>
            </w:r>
          </w:p>
        </w:tc>
      </w:tr>
      <w:tr>
        <w:trPr>
          <w:trHeight w:val="392"/>
        </w:trPr>
        <w:tc>
          <w:tcPr>
            <w:tcW w:w="3120" w:type="dxa"/>
            <w:vAlign w:val="bottom"/>
          </w:tcPr>
          <w:p>
            <w:pPr>
              <w:spacing w:after="0"/>
              <w:rPr>
                <w:sz w:val="24"/>
                <w:szCs w:val="24"/>
                <w:color w:val="auto"/>
              </w:rPr>
            </w:pPr>
          </w:p>
        </w:tc>
        <w:tc>
          <w:tcPr>
            <w:tcW w:w="7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FORM OF PURCHASE OPTION AGREEMENT</w:t>
            </w:r>
          </w:p>
        </w:tc>
      </w:tr>
      <w:tr>
        <w:trPr>
          <w:trHeight w:val="20"/>
        </w:trPr>
        <w:tc>
          <w:tcPr>
            <w:tcW w:w="31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453"/>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PURCHASE OPTION AGREEMENT</w:t>
            </w:r>
            <w:r>
              <w:rPr>
                <w:rFonts w:ascii="Times New Roman" w:cs="Times New Roman" w:eastAsia="Times New Roman" w:hAnsi="Times New Roman"/>
                <w:sz w:val="18"/>
                <w:szCs w:val="18"/>
                <w:color w:val="auto"/>
              </w:rPr>
              <w:t xml:space="preserve"> is dated as of</w:t>
            </w:r>
          </w:p>
        </w:tc>
        <w:tc>
          <w:tcPr>
            <w:tcW w:w="5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2017 by and between iStar Inc., having an address at 1114 Avenue of</w:t>
            </w:r>
          </w:p>
        </w:tc>
      </w:tr>
    </w:tbl>
    <w:p>
      <w:pPr>
        <w:ind w:right="400"/>
        <w:spacing w:after="0" w:line="233" w:lineRule="auto"/>
        <w:rPr>
          <w:sz w:val="20"/>
          <w:szCs w:val="20"/>
          <w:color w:val="auto"/>
        </w:rPr>
      </w:pPr>
      <w:r>
        <w:rPr>
          <w:rFonts w:ascii="Times New Roman" w:cs="Times New Roman" w:eastAsia="Times New Roman" w:hAnsi="Times New Roman"/>
          <w:sz w:val="18"/>
          <w:szCs w:val="18"/>
          <w:color w:val="auto"/>
        </w:rPr>
        <w:t>the Americas, 39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New York, NY 10036 (“</w:t>
      </w:r>
      <w:r>
        <w:rPr>
          <w:rFonts w:ascii="Times New Roman" w:cs="Times New Roman" w:eastAsia="Times New Roman" w:hAnsi="Times New Roman"/>
          <w:sz w:val="18"/>
          <w:szCs w:val="18"/>
          <w:b w:val="1"/>
          <w:bCs w:val="1"/>
          <w:color w:val="auto"/>
        </w:rPr>
        <w:t>Optionor</w:t>
      </w:r>
      <w:r>
        <w:rPr>
          <w:rFonts w:ascii="Times New Roman" w:cs="Times New Roman" w:eastAsia="Times New Roman" w:hAnsi="Times New Roman"/>
          <w:sz w:val="18"/>
          <w:szCs w:val="18"/>
          <w:color w:val="auto"/>
        </w:rPr>
        <w:t>”) and Safety Income and Growth Operating Partnership LP, a Delaware limited partnership, having an address at c/o SFTY Manager LLC, 1114 Avenue of the Americas, 39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New York, NY 10036 (“</w:t>
      </w:r>
      <w:r>
        <w:rPr>
          <w:rFonts w:ascii="Times New Roman" w:cs="Times New Roman" w:eastAsia="Times New Roman" w:hAnsi="Times New Roman"/>
          <w:sz w:val="18"/>
          <w:szCs w:val="18"/>
          <w:b w:val="1"/>
          <w:bCs w:val="1"/>
          <w:color w:val="auto"/>
        </w:rPr>
        <w:t>Optionee</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Optionor is the direct or indirect owner of iStar Sunnyvale Partnership, L.P., a Delaware limited liability company (“</w:t>
      </w:r>
      <w:r>
        <w:rPr>
          <w:rFonts w:ascii="Times New Roman" w:cs="Times New Roman" w:eastAsia="Times New Roman" w:hAnsi="Times New Roman"/>
          <w:sz w:val="18"/>
          <w:szCs w:val="18"/>
          <w:b w:val="1"/>
          <w:bCs w:val="1"/>
          <w:color w:val="auto"/>
        </w:rPr>
        <w:t>Sunnyvale SPE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40" w:firstLine="648"/>
        <w:spacing w:after="0" w:line="268" w:lineRule="auto"/>
        <w:rPr>
          <w:sz w:val="20"/>
          <w:szCs w:val="20"/>
          <w:color w:val="auto"/>
        </w:rPr>
      </w:pPr>
      <w:r>
        <w:rPr>
          <w:rFonts w:ascii="Times New Roman" w:cs="Times New Roman" w:eastAsia="Times New Roman" w:hAnsi="Times New Roman"/>
          <w:sz w:val="18"/>
          <w:szCs w:val="18"/>
          <w:color w:val="auto"/>
        </w:rPr>
        <w:t>WHEREAS, Sunnyvale SPE and [Graymark Capital, Inc., a California corporation (“</w:t>
      </w:r>
      <w:r>
        <w:rPr>
          <w:rFonts w:ascii="Times New Roman" w:cs="Times New Roman" w:eastAsia="Times New Roman" w:hAnsi="Times New Roman"/>
          <w:sz w:val="18"/>
          <w:szCs w:val="18"/>
          <w:b w:val="1"/>
          <w:bCs w:val="1"/>
          <w:color w:val="auto"/>
        </w:rPr>
        <w:t>Graymark</w:t>
      </w:r>
      <w:r>
        <w:rPr>
          <w:rFonts w:ascii="Times New Roman" w:cs="Times New Roman" w:eastAsia="Times New Roman" w:hAnsi="Times New Roman"/>
          <w:sz w:val="18"/>
          <w:szCs w:val="18"/>
          <w:color w:val="auto"/>
        </w:rPr>
        <w:t>”)] have executed a Letter of Intent dated as of February 13, 2017 (“</w:t>
      </w:r>
      <w:r>
        <w:rPr>
          <w:rFonts w:ascii="Times New Roman" w:cs="Times New Roman" w:eastAsia="Times New Roman" w:hAnsi="Times New Roman"/>
          <w:sz w:val="18"/>
          <w:szCs w:val="18"/>
          <w:b w:val="1"/>
          <w:bCs w:val="1"/>
          <w:color w:val="auto"/>
        </w:rPr>
        <w:t>LOI</w:t>
      </w:r>
      <w:r>
        <w:rPr>
          <w:rFonts w:ascii="Times New Roman" w:cs="Times New Roman" w:eastAsia="Times New Roman" w:hAnsi="Times New Roman"/>
          <w:sz w:val="18"/>
          <w:szCs w:val="18"/>
          <w:color w:val="auto"/>
        </w:rPr>
        <w:t>”), relative to the acquisition by Graymark of certain improvements on and a ground lease interest as a tenant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in certain real property located at 1050, 1060, 1070/1080, and 1090 East Arques, Sunnyvale, CA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and</w:t>
      </w:r>
    </w:p>
    <w:p>
      <w:pPr>
        <w:spacing w:after="0" w:line="17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WHEREAS, Optionor desires to grant Optionee an irrevocable option to purchase Optionor’s ownership interest in Sunnyvale SPE upon the terms set forth herein.</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Ten and 00/100 Dollars ($10.00) and other good and valuable consideration, the receipt and sufficiency of which are hereby acknowledged, Optionor and Optionee agree:</w:t>
      </w:r>
    </w:p>
    <w:p>
      <w:pPr>
        <w:spacing w:after="0" w:line="158" w:lineRule="exact"/>
        <w:rPr>
          <w:sz w:val="20"/>
          <w:szCs w:val="20"/>
          <w:color w:val="auto"/>
        </w:rPr>
      </w:pPr>
    </w:p>
    <w:p>
      <w:pPr>
        <w:ind w:right="240" w:firstLine="656"/>
        <w:spacing w:after="0" w:line="268" w:lineRule="auto"/>
        <w:tabs>
          <w:tab w:leader="none" w:pos="1229"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Optionor hereby grants to Optionee an irrevocable option (the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to purchase Optionor’s direct and indirect ownership interest in Sunnyvale SPE (“</w:t>
      </w: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following the acquisition of the Premises by Graymark. The Option shall be exercisable in the manner and upon the terms and provisions set forth in this Agreement.</w:t>
      </w:r>
    </w:p>
    <w:p>
      <w:pPr>
        <w:spacing w:after="0" w:line="174" w:lineRule="exact"/>
        <w:rPr>
          <w:rFonts w:ascii="Times New Roman" w:cs="Times New Roman" w:eastAsia="Times New Roman" w:hAnsi="Times New Roman"/>
          <w:sz w:val="18"/>
          <w:szCs w:val="18"/>
          <w:color w:val="auto"/>
        </w:rPr>
      </w:pPr>
    </w:p>
    <w:p>
      <w:pPr>
        <w:ind w:right="80" w:firstLine="656"/>
        <w:spacing w:after="0" w:line="229" w:lineRule="auto"/>
        <w:tabs>
          <w:tab w:leader="none" w:pos="1229"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may be exercised by Optionee on or before the twelfth (12</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month anniversary of acquisition of the Premises, by written notice delivered to Optionor at the address set forth above (the “</w:t>
      </w:r>
      <w:r>
        <w:rPr>
          <w:rFonts w:ascii="Times New Roman" w:cs="Times New Roman" w:eastAsia="Times New Roman" w:hAnsi="Times New Roman"/>
          <w:sz w:val="18"/>
          <w:szCs w:val="18"/>
          <w:b w:val="1"/>
          <w:bCs w:val="1"/>
          <w:color w:val="auto"/>
        </w:rPr>
        <w:t>Option Notice</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right="160" w:firstLine="656"/>
        <w:spacing w:after="0" w:line="259" w:lineRule="auto"/>
        <w:tabs>
          <w:tab w:leader="none" w:pos="1229"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Optionee exercises the Option, Optionor shall convey the Interest to Optionee or its designee (the “</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free of liens, claims, or encumbrances, within [twenty (20) days] from and after Optionor’s receipt of the Option Notice. At the time that Optionor shall convey the Interest to Transferee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a) the Premises shall be free from all mortgages and other liens and otherwise in marketable condition, subject only to those other liens, if any, in existence on the date hereof, and b) Optionor and Optionee shall enter into a Interest Purchase Agreement in substantially the form attached hereto and marked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firstLine="656"/>
        <w:spacing w:after="0" w:line="256" w:lineRule="auto"/>
        <w:tabs>
          <w:tab w:leader="none" w:pos="1229"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Closing, Transferee shall pay to Optionor the sum of Thirty-five Million and no/100 Dollars for the Interest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in cash; provided, however, that by mutual agreement of the parties, the Optionee may pay the Purchase Price in whole or in part with shares of common stock, $.01 par value per share, of Safety, Income and Growth, Inc. (“</w:t>
      </w:r>
      <w:r>
        <w:rPr>
          <w:rFonts w:ascii="Times New Roman" w:cs="Times New Roman" w:eastAsia="Times New Roman" w:hAnsi="Times New Roman"/>
          <w:sz w:val="18"/>
          <w:szCs w:val="18"/>
          <w:b w:val="1"/>
          <w:bCs w:val="1"/>
          <w:color w:val="auto"/>
        </w:rPr>
        <w:t>REIT Shares</w:t>
      </w:r>
      <w:r>
        <w:rPr>
          <w:rFonts w:ascii="Times New Roman" w:cs="Times New Roman" w:eastAsia="Times New Roman" w:hAnsi="Times New Roman"/>
          <w:sz w:val="18"/>
          <w:szCs w:val="18"/>
          <w:color w:val="auto"/>
        </w:rPr>
        <w:t>”) or units of limited partnership of Optionee (“</w:t>
      </w:r>
      <w:r>
        <w:rPr>
          <w:rFonts w:ascii="Times New Roman" w:cs="Times New Roman" w:eastAsia="Times New Roman" w:hAnsi="Times New Roman"/>
          <w:sz w:val="18"/>
          <w:szCs w:val="18"/>
          <w:b w:val="1"/>
          <w:bCs w:val="1"/>
          <w:color w:val="auto"/>
        </w:rPr>
        <w:t>OP Units</w:t>
      </w:r>
      <w:r>
        <w:rPr>
          <w:rFonts w:ascii="Times New Roman" w:cs="Times New Roman" w:eastAsia="Times New Roman" w:hAnsi="Times New Roman"/>
          <w:sz w:val="18"/>
          <w:szCs w:val="18"/>
          <w:color w:val="auto"/>
        </w:rPr>
        <w:t>”). For purposes of the foregoing, each REIT Share or OP Unit delivered in satisfaction of the Purchase Price shall be valued at its average “</w:t>
      </w:r>
      <w:r>
        <w:rPr>
          <w:rFonts w:ascii="Times New Roman" w:cs="Times New Roman" w:eastAsia="Times New Roman" w:hAnsi="Times New Roman"/>
          <w:sz w:val="18"/>
          <w:szCs w:val="18"/>
          <w:b w:val="1"/>
          <w:bCs w:val="1"/>
          <w:color w:val="auto"/>
        </w:rPr>
        <w:t>Market Price</w:t>
      </w:r>
      <w:r>
        <w:rPr>
          <w:rFonts w:ascii="Times New Roman" w:cs="Times New Roman" w:eastAsia="Times New Roman" w:hAnsi="Times New Roman"/>
          <w:sz w:val="18"/>
          <w:szCs w:val="18"/>
          <w:color w:val="auto"/>
        </w:rPr>
        <w:t>,” as such term is defined in Optionee’s First Amended and Restated Agreement of Limited Partnership, dated as of the date hereof, for the ten (10) trading days immediately preceding, but excluding, the date of the Option Notice. Transferee shall pay all reasonable legal costs, recording costs and any transfer taxes resulting from the transfer of the Interest.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2" w:lineRule="exact"/>
        <w:rPr>
          <w:rFonts w:ascii="Times New Roman" w:cs="Times New Roman" w:eastAsia="Times New Roman" w:hAnsi="Times New Roman"/>
          <w:sz w:val="18"/>
          <w:szCs w:val="18"/>
          <w:color w:val="auto"/>
        </w:rPr>
      </w:pPr>
    </w:p>
    <w:p>
      <w:pPr>
        <w:ind w:right="40" w:firstLine="656"/>
        <w:spacing w:after="0" w:line="258" w:lineRule="auto"/>
        <w:tabs>
          <w:tab w:leader="none" w:pos="1229"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Optionor agrees that until the time to exercise the Option has expired without Optionee’s exercise of the Option, Optionor, without Optionee’s prior written consent, i) shall not transfer, sell, pledge, or encumber its interest in the Interest; and ii) shall not and shall direct Sunnyvale SPE to not, except in connection with the sale of the Premises to Graymark, sell or transfer any rights in or to the Property, subject the Premises to any lien, easement or restriction, adversely affect or limit any rights benefiting the Property, or otherwise take any action which would adversely affect the value, use or development of the Property.</w:t>
      </w:r>
    </w:p>
    <w:p>
      <w:pPr>
        <w:spacing w:after="0" w:line="183" w:lineRule="exact"/>
        <w:rPr>
          <w:rFonts w:ascii="Times New Roman" w:cs="Times New Roman" w:eastAsia="Times New Roman" w:hAnsi="Times New Roman"/>
          <w:sz w:val="18"/>
          <w:szCs w:val="18"/>
          <w:color w:val="auto"/>
        </w:rPr>
      </w:pPr>
    </w:p>
    <w:p>
      <w:pPr>
        <w:ind w:right="160" w:firstLine="656"/>
        <w:spacing w:after="0" w:line="266" w:lineRule="auto"/>
        <w:tabs>
          <w:tab w:leader="none" w:pos="1229"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Optionor and Optionee may assign this Agreement to any wholly-owned subsidiary without consent of the other party and in such event all other terms of this Agreement shall remain in full force and effect. Any assignee must irrevocably consent and agree to be bound by all terms of this Agreement.</w:t>
      </w:r>
    </w:p>
    <w:p>
      <w:pPr>
        <w:spacing w:after="0" w:line="176"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or modification to this Agreement, in order to become effective, must be in writing and signed by Optionor and Optionee.</w:t>
      </w:r>
    </w:p>
    <w:p>
      <w:pPr>
        <w:spacing w:after="0" w:line="225"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embodies the entire agreement between the parties and supersedes all prior agreements regarding the sale of the Interest.</w:t>
      </w:r>
    </w:p>
    <w:p>
      <w:pPr>
        <w:spacing w:after="0" w:line="225"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interpreted in accordance with the laws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-2428240</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above written.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iStar Inc., a Maryland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-130810</wp:posOffset>
            </wp:positionV>
            <wp:extent cx="319849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5715</wp:posOffset>
            </wp:positionV>
            <wp:extent cx="319849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19849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-130810</wp:posOffset>
            </wp:positionV>
            <wp:extent cx="319849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ectPr>
          <w:pgSz w:w="11900" w:h="16838" w:orient="portrait"/>
          <w:cols w:equalWidth="0" w:num="1">
            <w:col w:w="11420"/>
          </w:cols>
          <w:pgMar w:left="240" w:top="360" w:right="239" w:bottom="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OPTIONEE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Safety Income and Growth Operating Partnership LP</w:t>
      </w:r>
      <w:r>
        <w:rPr>
          <w:rFonts w:ascii="Times New Roman" w:cs="Times New Roman" w:eastAsia="Times New Roman" w:hAnsi="Times New Roman"/>
          <w:sz w:val="17"/>
          <w:szCs w:val="17"/>
          <w:color w:val="auto"/>
        </w:rPr>
        <w:t>, a Delaware limited partnership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-130810</wp:posOffset>
            </wp:positionV>
            <wp:extent cx="319849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5715</wp:posOffset>
            </wp:positionV>
            <wp:extent cx="319849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19849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-130810</wp:posOffset>
            </wp:positionV>
            <wp:extent cx="319849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0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FORM OF INTEREST PURCHASE AGREEMENT</w:t>
      </w:r>
    </w:p>
    <w:p>
      <w:pPr>
        <w:spacing w:after="0" w:line="23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3" w:right="1440"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ASSIGNMENT, ASSUMPTION AND MEMBERSHIP INTEREST TRANSFER AGREEMENT</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This Assignment, Assumption and Membership Interest Transfer Agreement (this “Agreement”), dated as of June , 2017 (the “Effective Date”), is entered into by and between iSTAR REO HOLDINGS TRS LLC, Delaware limited liability company (“Seller”), and SAFETY INCOME AND GROWTH OPERATING PARTNERSHIP LP, a Delaware limited partnership (“Purchaser”). Seller and Purchaser are sometimes collectively referred to herein individually as a “Party” and collectively as the “Parties.”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Seller is a party (by assignment from iStar) to the Agreement of Purchase and Sale and Joint Escrow Instructions (the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dated May 24, 2017, between iStar, Inc. (“iStar”) and Future Hollywood, LLC (“Future”), pursuant to which, Seller has agreed to purchase the Property, as such term is defined in the Purchase Agreement;</w:t>
      </w:r>
    </w:p>
    <w:p>
      <w:pPr>
        <w:spacing w:after="0" w:line="171" w:lineRule="exact"/>
        <w:rPr>
          <w:sz w:val="20"/>
          <w:szCs w:val="20"/>
          <w:color w:val="auto"/>
        </w:rPr>
      </w:pPr>
    </w:p>
    <w:p>
      <w:pPr>
        <w:jc w:val="both"/>
        <w:ind w:right="3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in connection with the closing of the initial public offering of Safety, Income and Growth, Inc., the ultimate parent of the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(“Safety”), Seller desires to assign, and Purchaser desires to assume, all of Seller’s right, title and interest in, to and under the Purchase Agreement, on the terms set forth herein;</w:t>
      </w:r>
    </w:p>
    <w:p>
      <w:pPr>
        <w:spacing w:after="0" w:line="171" w:lineRule="exact"/>
        <w:rPr>
          <w:sz w:val="20"/>
          <w:szCs w:val="20"/>
          <w:color w:val="auto"/>
        </w:rPr>
      </w:pPr>
    </w:p>
    <w:p>
      <w:pPr>
        <w:ind w:right="80" w:firstLine="689"/>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if, on or before the date of this Agreement, Seller has acquired the Property under the Purchase Agreement, then in addition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assigning all of Seller’s right, title and interest in, to and under the Purchase Agreement to Purchaser, Seller will also transfer to Purchaser (x) one hundred percent (100%) of the limited partnership interest (the “LP Interest”) in [62 Hundred Hollywood South LP] [62 Hundred Hollywood North LP] (“LP”), a subsidiary of Seller that will be the owner of the Property immediately prior to such transfer, and (y) one hundred percent (100%) of the membership interest (the “Membership Interest”) of [62 Hundred Hollywood S GenPar LLC] [62 Hundred Hollywood N GenPar LLC], a Delaware limited liability company that is the sole general partner in LP (“GenPar”). LP Interest and Membership Interest shall be collectively referred to as “Seller’s Interests”; and</w:t>
      </w:r>
    </w:p>
    <w:p>
      <w:pPr>
        <w:spacing w:after="0" w:line="183"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of the Parties desires to set forth certain representations, warranties, and covenants and to establish certain closing conditions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induce the other Party to execute and deliver this Agreement and to consummate the transactions contemplated hereby.</w:t>
      </w:r>
    </w:p>
    <w:p>
      <w:pPr>
        <w:spacing w:after="0" w:line="155" w:lineRule="exact"/>
        <w:rPr>
          <w:sz w:val="20"/>
          <w:szCs w:val="20"/>
          <w:color w:val="auto"/>
        </w:rPr>
      </w:pPr>
    </w:p>
    <w:p>
      <w:pPr>
        <w:ind w:right="7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contained in this Agreement, and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the Parties hereby acknowledge, the Parties hereby agree as follows: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 GENERAL</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Any capitalized term not defined herein shall have the meaning ascribed to such term in the Initial Portfolio Agreement dated the date hereof among iStar, Safety and Purchaser.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 ASSIGNMENT AND ASSUMPTION; TRANSFER OF SELLER’S INTERESTS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Effective as of the Closing, Seller assigns to Purchaser, and Purchaser assumes from Seller, all of Seller’s right, title and interest in, to and under the Purchase Agreement.</w:t>
      </w:r>
    </w:p>
    <w:p>
      <w:pPr>
        <w:spacing w:after="0" w:line="1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Transfer of Seller’s Interests.</w:t>
      </w:r>
      <w:r>
        <w:rPr>
          <w:rFonts w:ascii="Times New Roman" w:cs="Times New Roman" w:eastAsia="Times New Roman" w:hAnsi="Times New Roman"/>
          <w:sz w:val="18"/>
          <w:szCs w:val="18"/>
          <w:color w:val="auto"/>
        </w:rPr>
        <w:t xml:space="preserve"> If, on or before the date of this Agreement, LP has acquired the Property, then Seller shall transfer, sell, convey and deliver to Purchaser all of its right, title and interest in and to Seller’s Interests at the Closing.</w:t>
      </w:r>
    </w:p>
    <w:p>
      <w:pPr>
        <w:spacing w:after="0" w:line="16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8"/>
          <w:szCs w:val="18"/>
          <w:u w:val="single" w:color="auto"/>
          <w:color w:val="auto"/>
        </w:rPr>
        <w:t xml:space="preserve">Purchase Price. </w:t>
      </w:r>
      <w:r>
        <w:rPr>
          <w:rFonts w:ascii="Times New Roman" w:cs="Times New Roman" w:eastAsia="Times New Roman" w:hAnsi="Times New Roman"/>
          <w:sz w:val="18"/>
          <w:szCs w:val="18"/>
          <w:color w:val="auto"/>
        </w:rPr>
        <w:t>The aggregate purchase price (the “Purchase Price”) to be paid by Purchaser to Seller at the Closing is $[ ].</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The closing of the transactions (the “Closing”) provided for in this Agreement shall take place simultaneously with the execution of this Agreement (the “Closing Date”).</w:t>
      </w:r>
    </w:p>
    <w:p>
      <w:pPr>
        <w:spacing w:after="0" w:line="16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2.05</w:t>
      </w:r>
      <w:r>
        <w:rPr>
          <w:sz w:val="20"/>
          <w:szCs w:val="20"/>
          <w:color w:val="auto"/>
        </w:rPr>
        <w:tab/>
      </w:r>
      <w:r>
        <w:rPr>
          <w:rFonts w:ascii="Times New Roman" w:cs="Times New Roman" w:eastAsia="Times New Roman" w:hAnsi="Times New Roman"/>
          <w:sz w:val="18"/>
          <w:szCs w:val="18"/>
          <w:u w:val="single" w:color="auto"/>
          <w:color w:val="auto"/>
        </w:rPr>
        <w:t>Closing Obligations.</w:t>
      </w:r>
    </w:p>
    <w:p>
      <w:pPr>
        <w:spacing w:after="0" w:line="225" w:lineRule="exact"/>
        <w:rPr>
          <w:sz w:val="20"/>
          <w:szCs w:val="20"/>
          <w:color w:val="auto"/>
        </w:rPr>
      </w:pPr>
    </w:p>
    <w:p>
      <w:pPr>
        <w:ind w:right="120" w:firstLine="656"/>
        <w:spacing w:after="0" w:line="255" w:lineRule="auto"/>
        <w:tabs>
          <w:tab w:leader="none" w:pos="1294"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Closing, (1) Purchaser shall deliver, or cause to be delivered, the Purchase Price which shall be payable by wire transfer of immediately available funds to an account designated by Seller, and a written instrument in form and substance reasonably satisfactory to Seller and signed by Purchaser, pursuant to which Purchaser assumes all of Seller’s right, title and interest in, to and under the Purchase Agreement, (2) Seller shall deliver to Purchaser a written instrument in form and substance reasonably satisfactory to Purchaser and signed by Seller, pursuant to which Seller assigns to Purchaser all of Seller’s right, title and interest in, to and under the Purchase Agreement and (3) if Seller is required to transfer Seller’s Interests to Purchaser pursuant to Section 2.03, Seller shall also transfer to Purchaser Seller’s Interests by one or more written assignments in form and substance reasonably satisfactory to Purchaser.</w:t>
      </w:r>
    </w:p>
    <w:p>
      <w:pPr>
        <w:spacing w:after="0" w:line="189" w:lineRule="exact"/>
        <w:rPr>
          <w:rFonts w:ascii="Times New Roman" w:cs="Times New Roman" w:eastAsia="Times New Roman" w:hAnsi="Times New Roman"/>
          <w:sz w:val="18"/>
          <w:szCs w:val="18"/>
          <w:color w:val="auto"/>
        </w:rPr>
      </w:pPr>
    </w:p>
    <w:p>
      <w:pPr>
        <w:ind w:right="120" w:firstLine="656"/>
        <w:spacing w:after="0" w:line="266" w:lineRule="auto"/>
        <w:tabs>
          <w:tab w:leader="none" w:pos="1304"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Seller shall execute and deliver to Purchaser such documents and instruments of conveyance as may be appropriate and shall take or cause to be taken such reasonable actions as Purchaser may from time to time reasonably request in order to accomplish the assignment of Seller’s rights under the Purchase Agreement to Purchaser and, if applicable, the transfer of Seller’s Interests from Seller to Purchaser.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ARTICLE 3. </w:t>
      </w:r>
      <w:r>
        <w:rPr>
          <w:rFonts w:ascii="Times New Roman" w:cs="Times New Roman" w:eastAsia="Times New Roman" w:hAnsi="Times New Roman"/>
          <w:sz w:val="18"/>
          <w:szCs w:val="18"/>
          <w:b w:val="1"/>
          <w:bCs w:val="1"/>
          <w:u w:val="single" w:color="auto"/>
          <w:color w:val="auto"/>
        </w:rPr>
        <w:t>REPRESENTATIONS AND WARRANTIES</w:t>
      </w:r>
    </w:p>
    <w:p>
      <w:pPr>
        <w:sectPr>
          <w:pgSz w:w="11900" w:h="16838" w:orient="portrait"/>
          <w:cols w:equalWidth="0" w:num="1">
            <w:col w:w="11420"/>
          </w:cols>
          <w:pgMar w:left="240" w:top="360" w:right="239" w:bottom="13" w:gutter="0" w:footer="0" w:header="0"/>
        </w:sectPr>
      </w:pPr>
    </w:p>
    <w:bookmarkStart w:id="121" w:name="page122"/>
    <w:bookmarkEnd w:id="121"/>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Representations and Warranties of Seller.</w:t>
      </w:r>
      <w:r>
        <w:rPr>
          <w:rFonts w:ascii="Times New Roman" w:cs="Times New Roman" w:eastAsia="Times New Roman" w:hAnsi="Times New Roman"/>
          <w:sz w:val="18"/>
          <w:szCs w:val="18"/>
          <w:color w:val="auto"/>
        </w:rPr>
        <w:t xml:space="preserve"> As a material inducement to Purchaser to enter into this Agreement and to consummate the transactions contemplated hereby, Seller hereby represents and warrants to Purchaser as follows:</w:t>
      </w:r>
    </w:p>
    <w:p>
      <w:pPr>
        <w:spacing w:after="0" w:line="162" w:lineRule="exact"/>
        <w:rPr>
          <w:sz w:val="20"/>
          <w:szCs w:val="20"/>
          <w:color w:val="auto"/>
        </w:rPr>
      </w:pPr>
    </w:p>
    <w:p>
      <w:pPr>
        <w:ind w:left="660" w:right="140" w:firstLine="645"/>
        <w:spacing w:after="0" w:line="258" w:lineRule="auto"/>
        <w:tabs>
          <w:tab w:leader="none" w:pos="1954"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Authority</w:t>
      </w:r>
      <w:r>
        <w:rPr>
          <w:rFonts w:ascii="Times New Roman" w:cs="Times New Roman" w:eastAsia="Times New Roman" w:hAnsi="Times New Roman"/>
          <w:sz w:val="18"/>
          <w:szCs w:val="18"/>
          <w:color w:val="auto"/>
        </w:rPr>
        <w:t>. Each of Seller, GenPar and LP are validly existing, and in good standing in the state in which it was formed. Seller has the full right and authority and has obtained any and all material consents required, to enter into this Agreement and to consummate or cause to be consummated the transactions contemplated hereby. This Agreement and all of the documents to be delivered by Seller at the Closing have been authorized and executed and constitute, or will constitute, as appropriate, the valid and binding obligation of Seller, enforceable in accordance with their terms.</w:t>
      </w:r>
    </w:p>
    <w:p>
      <w:pPr>
        <w:spacing w:after="0" w:line="183" w:lineRule="exact"/>
        <w:rPr>
          <w:rFonts w:ascii="Times New Roman" w:cs="Times New Roman" w:eastAsia="Times New Roman" w:hAnsi="Times New Roman"/>
          <w:sz w:val="18"/>
          <w:szCs w:val="18"/>
          <w:color w:val="auto"/>
        </w:rPr>
      </w:pPr>
    </w:p>
    <w:p>
      <w:pPr>
        <w:ind w:left="660" w:right="300" w:firstLine="645"/>
        <w:spacing w:after="0" w:line="313" w:lineRule="auto"/>
        <w:tabs>
          <w:tab w:leader="none" w:pos="1964" w:val="left"/>
        </w:tabs>
        <w:numPr>
          <w:ilvl w:val="0"/>
          <w:numId w:val="3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Pending Actions</w:t>
      </w:r>
      <w:r>
        <w:rPr>
          <w:rFonts w:ascii="Times New Roman" w:cs="Times New Roman" w:eastAsia="Times New Roman" w:hAnsi="Times New Roman"/>
          <w:sz w:val="17"/>
          <w:szCs w:val="17"/>
          <w:color w:val="auto"/>
        </w:rPr>
        <w:t>. There is no action or proceeding pending or threatened against Seller, Gen Par or LP or relating to Seller’s Interests or which challenges or impairs Seller’s ability to execute and deliver this Agreement or to perform its obligations under this Agreement.</w:t>
      </w:r>
    </w:p>
    <w:p>
      <w:pPr>
        <w:spacing w:after="0" w:line="138" w:lineRule="exact"/>
        <w:rPr>
          <w:rFonts w:ascii="Times New Roman" w:cs="Times New Roman" w:eastAsia="Times New Roman" w:hAnsi="Times New Roman"/>
          <w:sz w:val="17"/>
          <w:szCs w:val="17"/>
          <w:color w:val="auto"/>
        </w:rPr>
      </w:pPr>
    </w:p>
    <w:p>
      <w:pPr>
        <w:ind w:left="660" w:right="200" w:firstLine="645"/>
        <w:spacing w:after="0" w:line="282" w:lineRule="auto"/>
        <w:tabs>
          <w:tab w:leader="none" w:pos="1967"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from Governmental Authorities</w:t>
      </w:r>
      <w:r>
        <w:rPr>
          <w:rFonts w:ascii="Times New Roman" w:cs="Times New Roman" w:eastAsia="Times New Roman" w:hAnsi="Times New Roman"/>
          <w:sz w:val="18"/>
          <w:szCs w:val="18"/>
          <w:color w:val="auto"/>
        </w:rPr>
        <w:t>. Seller has not received from any governmental authority written notice of any material violation of any Laws applicable (or alleged to be applicable) to GenPar, LP or Seller’s Interests that has not been corrected.</w:t>
      </w:r>
    </w:p>
    <w:p>
      <w:pPr>
        <w:spacing w:after="0" w:line="161" w:lineRule="exact"/>
        <w:rPr>
          <w:rFonts w:ascii="Times New Roman" w:cs="Times New Roman" w:eastAsia="Times New Roman" w:hAnsi="Times New Roman"/>
          <w:sz w:val="18"/>
          <w:szCs w:val="18"/>
          <w:color w:val="auto"/>
        </w:rPr>
      </w:pPr>
    </w:p>
    <w:p>
      <w:pPr>
        <w:ind w:left="660" w:right="120" w:firstLine="645"/>
        <w:spacing w:after="0" w:line="258" w:lineRule="auto"/>
        <w:tabs>
          <w:tab w:leader="none" w:pos="1964"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Seller’s Interests</w:t>
      </w:r>
      <w:r>
        <w:rPr>
          <w:rFonts w:ascii="Times New Roman" w:cs="Times New Roman" w:eastAsia="Times New Roman" w:hAnsi="Times New Roman"/>
          <w:sz w:val="18"/>
          <w:szCs w:val="18"/>
          <w:color w:val="auto"/>
        </w:rPr>
        <w:t>. Seller is the owner of the Seller’s Interests and the transfer of the Seller’s Interests to Purchaser shall be made free and clear of any Liens (other than Permitted Liens). Except as provided for or contemplated by this Agreement or any other agreements referenced herein, there are no, and, as of the Closing, there will not be any, rights, subscriptions, warrants, options, conversion rights, preemptive rights, agreements, instruments or understandings of any kind outstanding entitling any Person to acquire any equity interests in Seller’s Interests, except pursuant to Permitted Liens.</w:t>
      </w:r>
    </w:p>
    <w:p>
      <w:pPr>
        <w:spacing w:after="0" w:line="183" w:lineRule="exact"/>
        <w:rPr>
          <w:rFonts w:ascii="Times New Roman" w:cs="Times New Roman" w:eastAsia="Times New Roman" w:hAnsi="Times New Roman"/>
          <w:sz w:val="18"/>
          <w:szCs w:val="18"/>
          <w:color w:val="auto"/>
        </w:rPr>
      </w:pPr>
    </w:p>
    <w:p>
      <w:pPr>
        <w:ind w:left="660" w:right="20" w:firstLine="645"/>
        <w:spacing w:after="0" w:line="255" w:lineRule="auto"/>
        <w:tabs>
          <w:tab w:leader="none" w:pos="1967"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Violation</w:t>
      </w:r>
      <w:r>
        <w:rPr>
          <w:rFonts w:ascii="Times New Roman" w:cs="Times New Roman" w:eastAsia="Times New Roman" w:hAnsi="Times New Roman"/>
          <w:sz w:val="18"/>
          <w:szCs w:val="18"/>
          <w:color w:val="auto"/>
        </w:rPr>
        <w:t>. Neither the execution, delivery or performance of this Agreement, any agreement contemplated hereby between the Parties and the transactions contemplated hereby between the Parties does or will, with or without the giving of notice, lapse of time, or both, violate, conflict with, result in a breach of, or constitute a default under or give to others any right of termination, acceleration, cancellation or other right under, (a) the organizational documents of Seller, GenPar, or LP, (b) any agreement, document or instrument to which any of Seller, GenPar, or LP is a party or by which any of Seller, GenPar, or LP is bound or (c) any term or provision of any judgment, order, writ, injunction, or decree binding on any of Seller, GenPar, or LP (or its assets or properties), except, in the case of clause (b) and (c), any such breaches or defaults that would not reasonably be expected to have a Seller Material Adverse Effect. For purposes hereof, a “Seller Material Adverse Effect” shall mean a material adverse effect on the assets, business, financial condition or results of operation of Seller and its consolidated subsidiaries, taken as a whole.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20" w:firstLine="1293"/>
        <w:spacing w:after="0" w:line="277" w:lineRule="auto"/>
        <w:tabs>
          <w:tab w:leader="none" w:pos="2618" w:val="left"/>
        </w:tabs>
        <w:numPr>
          <w:ilvl w:val="1"/>
          <w:numId w:val="3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Seller, GenPar, and LP have timely filed all Tax Returns required to be filed by it (after giving effect to any filing extension properly granted by a Governmental Authority having authority to do so) in accordance with all applicable Laws. All such Tax Returns are correct and complete in all material respects, and each of Seller, GenPar, and LP have paid (or had paid on its behalf) all Taxes required to be paid by it (whether or not shown on such Tax Returns), and no deficiencies for any Taxes have been proposed, asserted or assessed in writing against any of Seller, GenPar, and LP, and no requests for waivers of the time to assess any such Taxes are pending and no such waivers have been granted.</w:t>
      </w:r>
    </w:p>
    <w:p>
      <w:pPr>
        <w:spacing w:after="0" w:line="168" w:lineRule="exact"/>
        <w:rPr>
          <w:rFonts w:ascii="Times New Roman" w:cs="Times New Roman" w:eastAsia="Times New Roman" w:hAnsi="Times New Roman"/>
          <w:sz w:val="17"/>
          <w:szCs w:val="17"/>
          <w:color w:val="auto"/>
        </w:rPr>
      </w:pPr>
    </w:p>
    <w:p>
      <w:pPr>
        <w:ind w:right="480" w:firstLine="1305"/>
        <w:spacing w:after="0" w:line="282" w:lineRule="auto"/>
        <w:tabs>
          <w:tab w:leader="none" w:pos="1965"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Seller has been and will be solvent at all times prior to the the Closing Date. No bankruptcy or similar insolvency proceeding has been filed or is currently contemplated by Seller, GenPar, or LP.</w:t>
      </w:r>
    </w:p>
    <w:p>
      <w:pPr>
        <w:spacing w:after="0" w:line="162" w:lineRule="exact"/>
        <w:rPr>
          <w:sz w:val="20"/>
          <w:szCs w:val="20"/>
          <w:color w:val="auto"/>
        </w:rPr>
      </w:pPr>
    </w:p>
    <w:p>
      <w:pPr>
        <w:ind w:right="220" w:firstLine="1305"/>
        <w:spacing w:after="0" w:line="266" w:lineRule="auto"/>
        <w:tabs>
          <w:tab w:leader="none" w:pos="1966"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w:t>
      </w:r>
      <w:r>
        <w:rPr>
          <w:rFonts w:ascii="Times New Roman" w:cs="Times New Roman" w:eastAsia="Times New Roman" w:hAnsi="Times New Roman"/>
          <w:sz w:val="18"/>
          <w:szCs w:val="18"/>
          <w:color w:val="auto"/>
        </w:rPr>
        <w:t>. None of Seller, GenPar, or LP has entered into any agreement with any broker, finder, or similar agent of any Person or firm that will result in the obligation of Purchaser to pay any finder’s fees, brokerage fees or commissions or similar payment in connection with the transactions contemplated by this Agreement.</w:t>
      </w:r>
    </w:p>
    <w:p>
      <w:pPr>
        <w:spacing w:after="0" w:line="176" w:lineRule="exact"/>
        <w:rPr>
          <w:rFonts w:ascii="Times New Roman" w:cs="Times New Roman" w:eastAsia="Times New Roman" w:hAnsi="Times New Roman"/>
          <w:sz w:val="18"/>
          <w:szCs w:val="18"/>
          <w:color w:val="auto"/>
        </w:rPr>
      </w:pPr>
    </w:p>
    <w:p>
      <w:pPr>
        <w:ind w:right="140" w:firstLine="1305"/>
        <w:spacing w:after="0" w:line="282" w:lineRule="auto"/>
        <w:tabs>
          <w:tab w:leader="none" w:pos="1953"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Other than the representations and warranties expressly set forth in this Article 3, Seller shall not be deemed to have made any other representation or warranty in connection with this Agreement.</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Representations and Warranties of Purchaser.</w:t>
      </w:r>
      <w:r>
        <w:rPr>
          <w:rFonts w:ascii="Times New Roman" w:cs="Times New Roman" w:eastAsia="Times New Roman" w:hAnsi="Times New Roman"/>
          <w:sz w:val="18"/>
          <w:szCs w:val="18"/>
          <w:color w:val="auto"/>
        </w:rPr>
        <w:t xml:space="preserve"> As a material inducement to Seller to enter into this Agreement and to consummate the transactions contemplated hereby, Purchaser hereby represents and warrants to Seller as of the Closing Date as follows:</w:t>
      </w:r>
    </w:p>
    <w:p>
      <w:pPr>
        <w:spacing w:after="0" w:line="162" w:lineRule="exact"/>
        <w:rPr>
          <w:sz w:val="20"/>
          <w:szCs w:val="20"/>
          <w:color w:val="auto"/>
        </w:rPr>
      </w:pPr>
    </w:p>
    <w:p>
      <w:pPr>
        <w:ind w:right="160" w:firstLine="1305"/>
        <w:spacing w:after="0" w:line="256" w:lineRule="auto"/>
        <w:tabs>
          <w:tab w:leader="none" w:pos="1942"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Authority</w:t>
      </w:r>
      <w:r>
        <w:rPr>
          <w:rFonts w:ascii="Times New Roman" w:cs="Times New Roman" w:eastAsia="Times New Roman" w:hAnsi="Times New Roman"/>
          <w:sz w:val="18"/>
          <w:szCs w:val="18"/>
          <w:color w:val="auto"/>
        </w:rPr>
        <w:t>. Purchaser has all requisite power and authority to own, lease or operate its property and to carry on its business as presently conducted and, to the extent required under applicable law, is qualified to do business and is in good standing in each jurisdiction in which the nature of its business or the character of its property make such qualification necessary. The execution, delivery and performance of this Agreement by Purchaser has been duly and validly authorized by all necessary action of Purchaser. This Agreement, when executed and delivered, will constitute the legal, valid and binding obligation of Purchaser, enforceable against Purchaser in accordance with its terms, except as such enforceability may be limited by bankruptcy, insolvency and debtors’ relief or the application of equitable principles.</w:t>
      </w:r>
    </w:p>
    <w:p>
      <w:pPr>
        <w:spacing w:after="0" w:line="187" w:lineRule="exact"/>
        <w:rPr>
          <w:rFonts w:ascii="Times New Roman" w:cs="Times New Roman" w:eastAsia="Times New Roman" w:hAnsi="Times New Roman"/>
          <w:sz w:val="18"/>
          <w:szCs w:val="18"/>
          <w:color w:val="auto"/>
        </w:rPr>
      </w:pPr>
    </w:p>
    <w:p>
      <w:pPr>
        <w:ind w:firstLine="1305"/>
        <w:spacing w:after="0" w:line="266" w:lineRule="auto"/>
        <w:tabs>
          <w:tab w:leader="none" w:pos="1952"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Consents</w:t>
      </w:r>
      <w:r>
        <w:rPr>
          <w:rFonts w:ascii="Times New Roman" w:cs="Times New Roman" w:eastAsia="Times New Roman" w:hAnsi="Times New Roman"/>
          <w:sz w:val="18"/>
          <w:szCs w:val="18"/>
          <w:color w:val="auto"/>
        </w:rPr>
        <w:t>. No consents, authorizations or approvals of any third parties including, but not limited to, any action, approval, consent or authorization by any third party, financial institution, governmental or quasi-governmental agency, commission, board, bureau or instrumentality or any members or managers of any company, are required in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connection with the execution, delivery or performance of this Agreement by Purchaser or the consummation of the transactions contemplated by this Agreement. Purchaser has made, or shall make, simultaneously with the Closing, all registrations or filings with any governmental authority required for the execution or delivery of this Agreement or the consummation of the transactions contemplated hereby.</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ARTICLE 4. </w:t>
      </w:r>
      <w:r>
        <w:rPr>
          <w:rFonts w:ascii="Times New Roman" w:cs="Times New Roman" w:eastAsia="Times New Roman" w:hAnsi="Times New Roman"/>
          <w:sz w:val="18"/>
          <w:szCs w:val="18"/>
          <w:b w:val="1"/>
          <w:bCs w:val="1"/>
          <w:u w:val="single" w:color="auto"/>
          <w:color w:val="auto"/>
        </w:rPr>
        <w:t>SURVIVAL</w:t>
      </w:r>
    </w:p>
    <w:p>
      <w:pPr>
        <w:sectPr>
          <w:pgSz w:w="11900" w:h="16838" w:orient="portrait"/>
          <w:cols w:equalWidth="0" w:num="1">
            <w:col w:w="11420"/>
          </w:cols>
          <w:pgMar w:left="240" w:top="121" w:right="239" w:bottom="0" w:gutter="0" w:footer="0" w:header="0"/>
        </w:sectPr>
      </w:pPr>
    </w:p>
    <w:bookmarkStart w:id="122" w:name="page123"/>
    <w:bookmarkEnd w:id="122"/>
    <w:p>
      <w:pPr>
        <w:ind w:right="40" w:firstLine="567"/>
        <w:spacing w:after="0" w:line="253"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Survival of Representations, Warranties and Covenants</w:t>
      </w:r>
      <w:r>
        <w:rPr>
          <w:rFonts w:ascii="Times New Roman" w:cs="Times New Roman" w:eastAsia="Times New Roman" w:hAnsi="Times New Roman"/>
          <w:sz w:val="18"/>
          <w:szCs w:val="18"/>
          <w:color w:val="auto"/>
        </w:rPr>
        <w:t>. The representations and warranties of Seller set forth in Section 3.01 are made as of the Effective Date and the Closing Date, and shall not be deemed to be merged into or waived by the instruments of Closing, but shall survive the Closing for a period of 12 months (the “Survival Period”). All covenants set forth in this Agreement shall survive the Closing indefinitely and shall not be deemed to be merged into or waived by the instruments of Closing. Each party shall have the right to bring an action against the other on the breach of a representation or warranty or covenant hereunder or in the documents delivered by Seller at the Closing, but only on the following conditions: (1) the party bringing the action for breach first learns of the breach after Closing and, in the case of a claim for breach of representatives or warranties, files such action within the Survival Period and (2) neither party shall have the right to bring a cause of action for a breach of a representation or warranty or covenant unless the damage to such party on account of such breach (individually or when combined with damages from other breaches) equals or exceeds $250,000, and then only to the extent of such excess. Neither party shall have any liability after Closing for the breach of a representation or warranty or covenant hereunder of which the other party hereto had knowledge as of Closing. In no event shall either party be liable to the other party for incidental, consequential, or punitive damages as a result of the breach of any or all representations or warranties set forth in this Agreement. The provisions of this Section 4.01 shall survive the Closing.</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 xml:space="preserve">ARTICLE 5. </w:t>
      </w: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ind w:right="140" w:firstLine="571"/>
        <w:spacing w:after="0" w:line="282"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Parties Bound; Assignment</w:t>
      </w:r>
      <w:r>
        <w:rPr>
          <w:rFonts w:ascii="Times New Roman" w:cs="Times New Roman" w:eastAsia="Times New Roman" w:hAnsi="Times New Roman"/>
          <w:sz w:val="18"/>
          <w:szCs w:val="18"/>
          <w:color w:val="auto"/>
        </w:rPr>
        <w:t>. This Agreement, and the terms, covenants, and conditions herein contained, shall inure to the benefit of and be binding upon the heirs, personal representatives, successors, and assigns of each of the parties hereto.</w:t>
      </w:r>
    </w:p>
    <w:p>
      <w:pPr>
        <w:spacing w:after="0" w:line="162" w:lineRule="exact"/>
        <w:rPr>
          <w:sz w:val="20"/>
          <w:szCs w:val="20"/>
          <w:color w:val="auto"/>
        </w:rPr>
      </w:pPr>
    </w:p>
    <w:p>
      <w:pPr>
        <w:ind w:right="160" w:firstLine="571"/>
        <w:spacing w:after="0" w:line="28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article, section, subsection, paragraph and/or other headings of this Agreement are for convenience only and in no way limit or enlarge the scope or meaning of the language hereof.</w:t>
      </w:r>
    </w:p>
    <w:p>
      <w:pPr>
        <w:spacing w:after="0" w:line="162" w:lineRule="exact"/>
        <w:rPr>
          <w:sz w:val="20"/>
          <w:szCs w:val="20"/>
          <w:color w:val="auto"/>
        </w:rPr>
      </w:pPr>
    </w:p>
    <w:p>
      <w:pPr>
        <w:jc w:val="both"/>
        <w:ind w:right="80" w:firstLine="571"/>
        <w:spacing w:after="0" w:line="261"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Invalidity and Waiver</w:t>
      </w:r>
      <w:r>
        <w:rPr>
          <w:rFonts w:ascii="Times New Roman" w:cs="Times New Roman" w:eastAsia="Times New Roman" w:hAnsi="Times New Roman"/>
          <w:sz w:val="18"/>
          <w:szCs w:val="18"/>
          <w:color w:val="auto"/>
        </w:rPr>
        <w:t>. If any portion of this Agreement is held invalid or inoperative, then so far as is reasonable and possible the remainder of this Agreement shall be deemed valid and operative, and, to the greatest extent legally possible, effect shall be given to the intent manifested by the portion held invalid or inoperative. The failure by either party to enforce against the other any term or provision of this Agreement shall not be deemed to be a waiver of such party’s right to enforce against the other party the same or any other such term or provision in the future.</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in all respects, be governed, construed, applied, and enforced in accordance with the laws of the state New York.</w:t>
      </w:r>
    </w:p>
    <w:p>
      <w:pPr>
        <w:spacing w:after="0" w:line="162"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provisions of this Agreement that contemplate performance after the Closing and the obligations of the parties not fully performed at the Closing (other than any unfulfilled closing conditions which have been waived or deemed waived by the other party) shall survive the Closing and shall not be deemed to be merged into or waived by the instruments of Closing.</w:t>
      </w:r>
    </w:p>
    <w:p>
      <w:pPr>
        <w:spacing w:after="0" w:line="17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Entirety and Amendments</w:t>
      </w:r>
      <w:r>
        <w:rPr>
          <w:rFonts w:ascii="Times New Roman" w:cs="Times New Roman" w:eastAsia="Times New Roman" w:hAnsi="Times New Roman"/>
          <w:sz w:val="18"/>
          <w:szCs w:val="18"/>
          <w:color w:val="auto"/>
        </w:rPr>
        <w:t>. This Agreement embodies the entire agreement between the parties and supersedes all prior agreements and understandings relating to the Real Property. This Agreement may be amended or supplemented only by an instrument in writing executed by the party against whom enforcement is sought. All Exhibits hereto are incorporated herein by this reference for all purposes.</w:t>
      </w:r>
    </w:p>
    <w:p>
      <w:pPr>
        <w:spacing w:after="0" w:line="176"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required or permitted hereunder shall be in writing and shall be served on the parties at the addresses set forth below. Any such notices shall, unless otherwise provided herein, be given or served (a) by depositing the same in the United States mail, postage paid, certified and addressed to the party to be notified, with return receipt requested, (b) by overnight delivery using a nationally recognized overnight courier, or</w:t>
      </w:r>
    </w:p>
    <w:p>
      <w:pPr>
        <w:spacing w:after="0" w:line="2" w:lineRule="exact"/>
        <w:rPr>
          <w:sz w:val="20"/>
          <w:szCs w:val="20"/>
          <w:color w:val="auto"/>
        </w:rPr>
      </w:pPr>
    </w:p>
    <w:p>
      <w:pPr>
        <w:ind w:right="260" w:firstLine="8"/>
        <w:spacing w:after="0" w:line="253" w:lineRule="auto"/>
        <w:tabs>
          <w:tab w:leader="none" w:pos="24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personal delivery. Notice given in accordance herewith for all permitted forms of notice other than by electronic mail, shall be effective upon the earlier to occur of actual delivery to the address of the addressee or refusal of receipt by the addressee. Except for facsimile notices as described above, no notice hereunder shall be effective if sent or delivered by electronic means. In no event shall this Agreement be altered, amended or modified by electronic mail or electronic record. A party’s address may be changed by written notice to the other party; provided, however, that no notice of a change of address shall be effective until actual receipt of such notice.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Seller:</w:t>
            </w:r>
          </w:p>
        </w:tc>
        <w:tc>
          <w:tcPr>
            <w:tcW w:w="9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iStar REO Holdings TRS LLC</w:t>
            </w:r>
          </w:p>
        </w:tc>
      </w:tr>
      <w:tr>
        <w:trPr>
          <w:trHeight w:val="216"/>
        </w:trPr>
        <w:tc>
          <w:tcPr>
            <w:tcW w:w="2320" w:type="dxa"/>
            <w:vAlign w:val="bottom"/>
          </w:tcPr>
          <w:p>
            <w:pPr>
              <w:spacing w:after="0"/>
              <w:rPr>
                <w:sz w:val="18"/>
                <w:szCs w:val="18"/>
                <w:color w:val="auto"/>
              </w:rPr>
            </w:pPr>
          </w:p>
        </w:tc>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 iStar Inc.</w:t>
            </w:r>
          </w:p>
        </w:tc>
        <w:tc>
          <w:tcPr>
            <w:tcW w:w="77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9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1114 Avenue of the Americas</w:t>
            </w:r>
          </w:p>
        </w:tc>
      </w:tr>
      <w:tr>
        <w:trPr>
          <w:trHeight w:val="216"/>
        </w:trPr>
        <w:tc>
          <w:tcPr>
            <w:tcW w:w="2320" w:type="dxa"/>
            <w:vAlign w:val="bottom"/>
          </w:tcPr>
          <w:p>
            <w:pPr>
              <w:spacing w:after="0"/>
              <w:rPr>
                <w:sz w:val="18"/>
                <w:szCs w:val="18"/>
                <w:color w:val="auto"/>
              </w:rPr>
            </w:pPr>
          </w:p>
        </w:tc>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39th Floor</w:t>
            </w:r>
          </w:p>
        </w:tc>
        <w:tc>
          <w:tcPr>
            <w:tcW w:w="77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9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New York, New York 10036</w:t>
            </w:r>
          </w:p>
        </w:tc>
      </w:tr>
      <w:tr>
        <w:trPr>
          <w:trHeight w:val="216"/>
        </w:trPr>
        <w:tc>
          <w:tcPr>
            <w:tcW w:w="2320" w:type="dxa"/>
            <w:vAlign w:val="bottom"/>
          </w:tcPr>
          <w:p>
            <w:pPr>
              <w:spacing w:after="0"/>
              <w:rPr>
                <w:sz w:val="18"/>
                <w:szCs w:val="18"/>
                <w:color w:val="auto"/>
              </w:rPr>
            </w:pPr>
          </w:p>
        </w:tc>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Attention:</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216"/>
        </w:trPr>
        <w:tc>
          <w:tcPr>
            <w:tcW w:w="2320" w:type="dxa"/>
            <w:vAlign w:val="bottom"/>
          </w:tcPr>
          <w:p>
            <w:pPr>
              <w:spacing w:after="0"/>
              <w:rPr>
                <w:sz w:val="18"/>
                <w:szCs w:val="18"/>
                <w:color w:val="auto"/>
              </w:rPr>
            </w:pPr>
          </w:p>
        </w:tc>
        <w:tc>
          <w:tcPr>
            <w:tcW w:w="9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Copy:  General Counsel</w:t>
            </w:r>
          </w:p>
        </w:tc>
      </w:tr>
      <w:tr>
        <w:trPr>
          <w:trHeight w:val="216"/>
        </w:trPr>
        <w:tc>
          <w:tcPr>
            <w:tcW w:w="2320" w:type="dxa"/>
            <w:vAlign w:val="bottom"/>
          </w:tcPr>
          <w:p>
            <w:pPr>
              <w:spacing w:after="0"/>
              <w:rPr>
                <w:sz w:val="18"/>
                <w:szCs w:val="18"/>
                <w:color w:val="auto"/>
              </w:rPr>
            </w:pPr>
          </w:p>
        </w:tc>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Telephone:</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212-930-9400</w:t>
            </w:r>
          </w:p>
        </w:tc>
      </w:tr>
      <w:tr>
        <w:trPr>
          <w:trHeight w:val="216"/>
        </w:trPr>
        <w:tc>
          <w:tcPr>
            <w:tcW w:w="2320" w:type="dxa"/>
            <w:vAlign w:val="bottom"/>
          </w:tcPr>
          <w:p>
            <w:pPr>
              <w:spacing w:after="0"/>
              <w:rPr>
                <w:sz w:val="18"/>
                <w:szCs w:val="18"/>
                <w:color w:val="auto"/>
              </w:rPr>
            </w:pPr>
          </w:p>
        </w:tc>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Facsimile:</w:t>
            </w:r>
          </w:p>
        </w:tc>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212-930-9494</w:t>
            </w:r>
          </w:p>
        </w:tc>
      </w:tr>
      <w:tr>
        <w:trPr>
          <w:trHeight w:val="234"/>
        </w:trPr>
        <w:tc>
          <w:tcPr>
            <w:tcW w:w="2320" w:type="dxa"/>
            <w:vAlign w:val="bottom"/>
          </w:tcPr>
          <w:p>
            <w:pPr>
              <w:spacing w:after="0"/>
              <w:rPr>
                <w:sz w:val="20"/>
                <w:szCs w:val="20"/>
                <w:color w:val="auto"/>
              </w:rPr>
            </w:pPr>
          </w:p>
        </w:tc>
        <w:tc>
          <w:tcPr>
            <w:tcW w:w="9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E-mail: nmatis@iStar.com</w:t>
            </w:r>
          </w:p>
        </w:tc>
      </w:tr>
      <w:tr>
        <w:trPr>
          <w:trHeight w:val="414"/>
        </w:trPr>
        <w:tc>
          <w:tcPr>
            <w:tcW w:w="23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Purchaser:</w:t>
            </w:r>
          </w:p>
        </w:tc>
        <w:tc>
          <w:tcPr>
            <w:tcW w:w="9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Safety Income and Growth Operating Partnership LP</w:t>
            </w:r>
          </w:p>
        </w:tc>
      </w:tr>
      <w:tr>
        <w:trPr>
          <w:trHeight w:val="216"/>
        </w:trPr>
        <w:tc>
          <w:tcPr>
            <w:tcW w:w="2320" w:type="dxa"/>
            <w:vAlign w:val="bottom"/>
          </w:tcPr>
          <w:p>
            <w:pPr>
              <w:spacing w:after="0"/>
              <w:rPr>
                <w:sz w:val="18"/>
                <w:szCs w:val="18"/>
                <w:color w:val="auto"/>
              </w:rPr>
            </w:pPr>
          </w:p>
        </w:tc>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 iStar Inc.</w:t>
            </w:r>
          </w:p>
        </w:tc>
        <w:tc>
          <w:tcPr>
            <w:tcW w:w="77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9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1114 Avenue of the Americas</w:t>
            </w:r>
          </w:p>
        </w:tc>
      </w:tr>
      <w:tr>
        <w:trPr>
          <w:trHeight w:val="216"/>
        </w:trPr>
        <w:tc>
          <w:tcPr>
            <w:tcW w:w="2320" w:type="dxa"/>
            <w:vAlign w:val="bottom"/>
          </w:tcPr>
          <w:p>
            <w:pPr>
              <w:spacing w:after="0"/>
              <w:rPr>
                <w:sz w:val="18"/>
                <w:szCs w:val="18"/>
                <w:color w:val="auto"/>
              </w:rPr>
            </w:pPr>
          </w:p>
        </w:tc>
        <w:tc>
          <w:tcPr>
            <w:tcW w:w="9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New York, NY 10036</w:t>
            </w:r>
          </w:p>
        </w:tc>
      </w:tr>
      <w:tr>
        <w:trPr>
          <w:trHeight w:val="216"/>
        </w:trPr>
        <w:tc>
          <w:tcPr>
            <w:tcW w:w="2320" w:type="dxa"/>
            <w:vAlign w:val="bottom"/>
          </w:tcPr>
          <w:p>
            <w:pPr>
              <w:spacing w:after="0"/>
              <w:rPr>
                <w:sz w:val="18"/>
                <w:szCs w:val="18"/>
                <w:color w:val="auto"/>
              </w:rPr>
            </w:pPr>
          </w:p>
        </w:tc>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Attention:</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Mary-Beth Roselle, Esq.</w:t>
            </w:r>
          </w:p>
        </w:tc>
      </w:tr>
      <w:tr>
        <w:trPr>
          <w:trHeight w:val="234"/>
        </w:trPr>
        <w:tc>
          <w:tcPr>
            <w:tcW w:w="2320" w:type="dxa"/>
            <w:vAlign w:val="bottom"/>
          </w:tcPr>
          <w:p>
            <w:pPr>
              <w:spacing w:after="0"/>
              <w:rPr>
                <w:sz w:val="20"/>
                <w:szCs w:val="20"/>
                <w:color w:val="auto"/>
              </w:rPr>
            </w:pPr>
          </w:p>
        </w:tc>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Telephone:</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212-930-9481</w:t>
            </w:r>
          </w:p>
        </w:tc>
      </w:tr>
      <w:tr>
        <w:trPr>
          <w:trHeight w:val="432"/>
        </w:trPr>
        <w:tc>
          <w:tcPr>
            <w:tcW w:w="2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7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6</w:t>
            </w:r>
          </w:p>
        </w:tc>
      </w:tr>
      <w:tr>
        <w:trPr>
          <w:trHeight w:val="132"/>
        </w:trPr>
        <w:tc>
          <w:tcPr>
            <w:tcW w:w="232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7760" w:type="dxa"/>
            <w:vAlign w:val="bottom"/>
            <w:tcBorders>
              <w:bottom w:val="single" w:sz="8" w:color="808080"/>
            </w:tcBorders>
          </w:tcPr>
          <w:p>
            <w:pPr>
              <w:spacing w:after="0"/>
              <w:rPr>
                <w:sz w:val="11"/>
                <w:szCs w:val="11"/>
                <w:color w:val="auto"/>
              </w:rPr>
            </w:pPr>
          </w:p>
        </w:tc>
      </w:tr>
      <w:tr>
        <w:trPr>
          <w:trHeight w:val="762"/>
        </w:trPr>
        <w:tc>
          <w:tcPr>
            <w:tcW w:w="2320" w:type="dxa"/>
            <w:vAlign w:val="bottom"/>
          </w:tcPr>
          <w:p>
            <w:pPr>
              <w:spacing w:after="0"/>
              <w:rPr>
                <w:sz w:val="24"/>
                <w:szCs w:val="24"/>
                <w:color w:val="auto"/>
              </w:rPr>
            </w:pPr>
          </w:p>
        </w:tc>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Facsimile:</w:t>
            </w:r>
          </w:p>
        </w:tc>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212-930-9494</w:t>
            </w:r>
          </w:p>
        </w:tc>
      </w:tr>
      <w:tr>
        <w:trPr>
          <w:trHeight w:val="234"/>
        </w:trPr>
        <w:tc>
          <w:tcPr>
            <w:tcW w:w="2320" w:type="dxa"/>
            <w:vAlign w:val="bottom"/>
          </w:tcPr>
          <w:p>
            <w:pPr>
              <w:spacing w:after="0"/>
              <w:rPr>
                <w:sz w:val="20"/>
                <w:szCs w:val="20"/>
                <w:color w:val="auto"/>
              </w:rPr>
            </w:pPr>
          </w:p>
        </w:tc>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E-mail:</w:t>
            </w:r>
          </w:p>
        </w:tc>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mroselle@istar.com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-661670</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-661670</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9" w:gutter="0" w:footer="0" w:header="0"/>
        </w:sectPr>
      </w:pPr>
    </w:p>
    <w:bookmarkStart w:id="123" w:name="page124"/>
    <w:bookmarkEnd w:id="123"/>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This Agreement may be executed in any number of counterparts, each of which shall be deemed to be an original, and all of such counterparts shall constitute one Agreement.</w:t>
      </w:r>
    </w:p>
    <w:p>
      <w:pPr>
        <w:spacing w:after="0" w:line="162" w:lineRule="exact"/>
        <w:rPr>
          <w:sz w:val="20"/>
          <w:szCs w:val="20"/>
          <w:color w:val="auto"/>
        </w:rPr>
      </w:pPr>
    </w:p>
    <w:p>
      <w:pPr>
        <w:ind w:right="240" w:firstLine="567"/>
        <w:spacing w:after="0" w:line="266"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No Third Party Beneficiary</w:t>
      </w:r>
      <w:r>
        <w:rPr>
          <w:rFonts w:ascii="Times New Roman" w:cs="Times New Roman" w:eastAsia="Times New Roman" w:hAnsi="Times New Roman"/>
          <w:sz w:val="18"/>
          <w:szCs w:val="18"/>
          <w:color w:val="auto"/>
        </w:rPr>
        <w:t>. The provisions of this Agreement and of the documents to be executed and delivered at Closing are and will be for the benefit of Seller and Purchaser only and are not for the benefit of any third party, and accordingly, no third party shall have the right to enforce the provisions of this Agreement or of the documents to be executed and delivered at Closing.</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[SIGNATURE PAGES AND EXHIBITS TO FOLLOW]</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 PAGE TO ASSIGNMENT, ASSUMPTION AND MEMBERSHIP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INTEREST TRANSFER AGREEMENT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BY AND BETWEEN iSTAR REO HOLDINGS TRS LLC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SAFETY INCOME AND GROWTH OPERATING PARTNERSHIP LP</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on the day and year written below.</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 xml:space="preserve">iSTAR REO HOLDINGS TRS LLC, </w:t>
      </w:r>
      <w:r>
        <w:rPr>
          <w:rFonts w:ascii="Times New Roman" w:cs="Times New Roman" w:eastAsia="Times New Roman" w:hAnsi="Times New Roman"/>
          <w:sz w:val="18"/>
          <w:szCs w:val="18"/>
          <w:color w:val="auto"/>
        </w:rPr>
        <w:t>a Delaware limited liability company</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0"/>
                <w:szCs w:val="20"/>
                <w:color w:val="auto"/>
              </w:rPr>
            </w:pPr>
          </w:p>
        </w:tc>
      </w:tr>
      <w:tr>
        <w:trPr>
          <w:trHeight w:val="196"/>
        </w:trPr>
        <w:tc>
          <w:tcPr>
            <w:tcW w:w="5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4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623"/>
        </w:trPr>
        <w:tc>
          <w:tcPr>
            <w:tcW w:w="5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SAFETY INCOME AND GROWTH PARTNERSHIP LP</w:t>
            </w:r>
            <w:r>
              <w:rPr>
                <w:rFonts w:ascii="Times New Roman" w:cs="Times New Roman" w:eastAsia="Times New Roman" w:hAnsi="Times New Roman"/>
                <w:sz w:val="18"/>
                <w:szCs w:val="18"/>
                <w:color w:val="auto"/>
              </w:rPr>
              <w:t>, a Delaware</w:t>
            </w:r>
          </w:p>
        </w:tc>
        <w:tc>
          <w:tcPr>
            <w:tcW w:w="40" w:type="dxa"/>
            <w:vAlign w:val="bottom"/>
          </w:tcPr>
          <w:p>
            <w:pPr>
              <w:spacing w:after="0"/>
              <w:rPr>
                <w:sz w:val="24"/>
                <w:szCs w:val="24"/>
                <w:color w:val="auto"/>
              </w:rPr>
            </w:pPr>
          </w:p>
        </w:tc>
      </w:tr>
      <w:tr>
        <w:trPr>
          <w:trHeight w:val="234"/>
        </w:trPr>
        <w:tc>
          <w:tcPr>
            <w:tcW w:w="5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limited partnership</w:t>
            </w:r>
          </w:p>
        </w:tc>
        <w:tc>
          <w:tcPr>
            <w:tcW w:w="40" w:type="dxa"/>
            <w:vAlign w:val="bottom"/>
          </w:tcPr>
          <w:p>
            <w:pPr>
              <w:spacing w:after="0"/>
              <w:rPr>
                <w:sz w:val="20"/>
                <w:szCs w:val="20"/>
                <w:color w:val="auto"/>
              </w:rPr>
            </w:pPr>
          </w:p>
        </w:tc>
      </w:tr>
      <w:tr>
        <w:trPr>
          <w:trHeight w:val="648"/>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4"/>
                <w:szCs w:val="24"/>
                <w:color w:val="auto"/>
              </w:rPr>
            </w:pPr>
          </w:p>
        </w:tc>
      </w:tr>
      <w:tr>
        <w:trPr>
          <w:trHeight w:val="196"/>
        </w:trPr>
        <w:tc>
          <w:tcPr>
            <w:tcW w:w="5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4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426"/>
        </w:trPr>
        <w:tc>
          <w:tcPr>
            <w:tcW w:w="5460" w:type="dxa"/>
            <w:vAlign w:val="bottom"/>
          </w:tcPr>
          <w:p>
            <w:pPr>
              <w:spacing w:after="0"/>
              <w:rPr>
                <w:sz w:val="24"/>
                <w:szCs w:val="24"/>
                <w:color w:val="auto"/>
              </w:rPr>
            </w:pPr>
          </w:p>
        </w:tc>
        <w:tc>
          <w:tcPr>
            <w:tcW w:w="9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8</w:t>
            </w:r>
          </w:p>
        </w:tc>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4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50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23.5</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consent to the inclusion in this Registration Statement of Safety, Income and Growth, Inc. on Form S-11, Amendment #3 (File No. 333-217224) of our report dated June 7, 2017, with respect to our audit of the Combined Statement of Revenue of 6200 Hollywood Boulevard and 6201 Hollywood Boulevard for the year ended December 31, 2016, which report appears in the Prospectus, which appears in this Registration Statement. We also consent to the reference to us under the heading “Experts” in such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94FF7"/>
    <w:multiLevelType w:val="hybridMultilevel"/>
    <w:lvl w:ilvl="0">
      <w:lvlJc w:val="left"/>
      <w:lvlText w:val="(%1)"/>
      <w:numFmt w:val="decimal"/>
      <w:start w:val="1"/>
    </w:lvl>
  </w:abstractNum>
  <w:abstractNum w:abstractNumId="1">
    <w:nsid w:val="5454945E"/>
    <w:multiLevelType w:val="hybridMultilevel"/>
    <w:lvl w:ilvl="0">
      <w:lvlJc w:val="left"/>
      <w:lvlText w:val="*"/>
      <w:numFmt w:val="bullet"/>
      <w:start w:val="1"/>
    </w:lvl>
  </w:abstractNum>
  <w:abstractNum w:abstractNumId="2">
    <w:nsid w:val="4DEFDFA0"/>
    <w:multiLevelType w:val="hybridMultilevel"/>
    <w:lvl w:ilvl="0">
      <w:lvlJc w:val="left"/>
      <w:lvlText w:val="(%1)"/>
      <w:numFmt w:val="decimal"/>
      <w:start w:val="2"/>
    </w:lvl>
  </w:abstractNum>
  <w:abstractNum w:abstractNumId="3">
    <w:nsid w:val="2123D5F2"/>
    <w:multiLevelType w:val="hybridMultilevel"/>
    <w:lvl w:ilvl="0">
      <w:lvlJc w:val="left"/>
      <w:lvlText w:val="•"/>
      <w:numFmt w:val="bullet"/>
      <w:start w:val="1"/>
    </w:lvl>
  </w:abstractNum>
  <w:abstractNum w:abstractNumId="4">
    <w:nsid w:val="135B8110"/>
    <w:multiLevelType w:val="hybridMultilevel"/>
    <w:lvl w:ilvl="0">
      <w:lvlJc w:val="left"/>
      <w:lvlText w:val="•"/>
      <w:numFmt w:val="bullet"/>
      <w:start w:val="1"/>
    </w:lvl>
  </w:abstractNum>
  <w:abstractNum w:abstractNumId="5">
    <w:nsid w:val="94927A8"/>
    <w:multiLevelType w:val="hybridMultilevel"/>
    <w:lvl w:ilvl="0">
      <w:lvlJc w:val="left"/>
      <w:lvlText w:val="•"/>
      <w:numFmt w:val="bullet"/>
      <w:start w:val="1"/>
    </w:lvl>
  </w:abstractNum>
  <w:abstractNum w:abstractNumId="6">
    <w:nsid w:val="DCDF8F6"/>
    <w:multiLevelType w:val="hybridMultilevel"/>
    <w:lvl w:ilvl="0">
      <w:lvlJc w:val="left"/>
      <w:lvlText w:val="(%1)"/>
      <w:numFmt w:val="lowerLetter"/>
      <w:start w:val="1"/>
    </w:lvl>
  </w:abstractNum>
  <w:abstractNum w:abstractNumId="7">
    <w:nsid w:val="52D7B105"/>
    <w:multiLevelType w:val="hybridMultilevel"/>
    <w:lvl w:ilvl="0">
      <w:lvlJc w:val="left"/>
      <w:lvlText w:val="(%1)"/>
      <w:numFmt w:val="lowerLetter"/>
      <w:start w:val="2"/>
    </w:lvl>
  </w:abstractNum>
  <w:abstractNum w:abstractNumId="8">
    <w:nsid w:val="2E8A6394"/>
    <w:multiLevelType w:val="hybridMultilevel"/>
    <w:lvl w:ilvl="0">
      <w:lvlJc w:val="left"/>
      <w:lvlText w:val="**"/>
      <w:numFmt w:val="bullet"/>
      <w:start w:val="1"/>
    </w:lvl>
  </w:abstractNum>
  <w:abstractNum w:abstractNumId="9">
    <w:nsid w:val="24E60401"/>
    <w:multiLevelType w:val="hybridMultilevel"/>
    <w:lvl w:ilvl="0">
      <w:lvlJc w:val="left"/>
      <w:lvlText w:val="†"/>
      <w:numFmt w:val="bullet"/>
      <w:start w:val="1"/>
    </w:lvl>
  </w:abstractNum>
  <w:abstractNum w:abstractNumId="10">
    <w:nsid w:val="2A6AD9BE"/>
    <w:multiLevelType w:val="hybridMultilevel"/>
    <w:lvl w:ilvl="0">
      <w:lvlJc w:val="left"/>
      <w:lvlText w:val="%1."/>
      <w:numFmt w:val="decimal"/>
      <w:start w:val="1"/>
    </w:lvl>
  </w:abstractNum>
  <w:abstractNum w:abstractNumId="11">
    <w:nsid w:val="BAAC1B4"/>
    <w:multiLevelType w:val="hybridMultilevel"/>
    <w:lvl w:ilvl="0">
      <w:lvlJc w:val="left"/>
      <w:lvlText w:val="%1."/>
      <w:numFmt w:val="decimal"/>
      <w:start w:val="3"/>
    </w:lvl>
    <w:lvl w:ilvl="1">
      <w:lvlJc w:val="left"/>
      <w:lvlText w:val="(%2)"/>
      <w:numFmt w:val="decimal"/>
      <w:start w:val="1"/>
    </w:lvl>
  </w:abstractNum>
  <w:abstractNum w:abstractNumId="12">
    <w:nsid w:val="36B2ACBC"/>
    <w:multiLevelType w:val="hybridMultilevel"/>
    <w:lvl w:ilvl="0">
      <w:lvlJc w:val="left"/>
      <w:lvlText w:val="**"/>
      <w:numFmt w:val="bullet"/>
      <w:start w:val="1"/>
    </w:lvl>
  </w:abstractNum>
  <w:abstractNum w:abstractNumId="13">
    <w:nsid w:val="779D8544"/>
    <w:multiLevelType w:val="hybridMultilevel"/>
    <w:lvl w:ilvl="0">
      <w:lvlJc w:val="left"/>
      <w:lvlText w:val="†"/>
      <w:numFmt w:val="bullet"/>
      <w:start w:val="1"/>
    </w:lvl>
  </w:abstractNum>
  <w:abstractNum w:abstractNumId="14">
    <w:nsid w:val="4AB26E78"/>
    <w:multiLevelType w:val="hybridMultilevel"/>
    <w:lvl w:ilvl="0">
      <w:lvlJc w:val="left"/>
      <w:lvlText w:val="[·]"/>
      <w:numFmt w:val="bullet"/>
      <w:start w:val="1"/>
    </w:lvl>
  </w:abstractNum>
  <w:abstractNum w:abstractNumId="15">
    <w:nsid w:val="21FAA2FA"/>
    <w:multiLevelType w:val="hybridMultilevel"/>
    <w:lvl w:ilvl="0">
      <w:lvlJc w:val="left"/>
      <w:lvlText w:val="(%1)"/>
      <w:numFmt w:val="lowerRoman"/>
      <w:start w:val="3"/>
    </w:lvl>
  </w:abstractNum>
  <w:abstractNum w:abstractNumId="16">
    <w:nsid w:val="5451CF49"/>
    <w:multiLevelType w:val="hybridMultilevel"/>
    <w:lvl w:ilvl="0">
      <w:lvlJc w:val="left"/>
      <w:lvlText w:val="(%1)"/>
      <w:numFmt w:val="lowerLetter"/>
      <w:start w:val="1"/>
    </w:lvl>
    <w:lvl w:ilvl="1">
      <w:lvlJc w:val="left"/>
      <w:lvlText w:val="(%2)"/>
      <w:numFmt w:val="lowerLetter"/>
      <w:start w:val="9"/>
    </w:lvl>
  </w:abstractNum>
  <w:abstractNum w:abstractNumId="17">
    <w:nsid w:val="6181EF69"/>
    <w:multiLevelType w:val="hybridMultilevel"/>
    <w:lvl w:ilvl="0">
      <w:lvlJc w:val="left"/>
      <w:lvlText w:val="(%1)"/>
      <w:numFmt w:val="lowerRoman"/>
      <w:start w:val="2"/>
    </w:lvl>
  </w:abstractNum>
  <w:abstractNum w:abstractNumId="18">
    <w:nsid w:val="3E6400E6"/>
    <w:multiLevelType w:val="hybridMultilevel"/>
    <w:lvl w:ilvl="0">
      <w:lvlJc w:val="left"/>
      <w:lvlText w:val="(%1)"/>
      <w:numFmt w:val="lowerRoman"/>
      <w:start w:val="3"/>
    </w:lvl>
  </w:abstractNum>
  <w:abstractNum w:abstractNumId="19">
    <w:nsid w:val="14217E23"/>
    <w:multiLevelType w:val="hybridMultilevel"/>
    <w:lvl w:ilvl="0">
      <w:lvlJc w:val="left"/>
      <w:lvlText w:val="(%1)"/>
      <w:numFmt w:val="lowerRoman"/>
      <w:start w:val="5"/>
    </w:lvl>
  </w:abstractNum>
  <w:abstractNum w:abstractNumId="20">
    <w:nsid w:val="710757D0"/>
    <w:multiLevelType w:val="hybridMultilevel"/>
    <w:lvl w:ilvl="0">
      <w:lvlJc w:val="left"/>
      <w:lvlText w:val="(%1)"/>
      <w:numFmt w:val="lowerRoman"/>
      <w:start w:val="9"/>
    </w:lvl>
  </w:abstractNum>
  <w:abstractNum w:abstractNumId="21">
    <w:nsid w:val="5015CD1A"/>
    <w:multiLevelType w:val="hybridMultilevel"/>
    <w:lvl w:ilvl="0">
      <w:lvlJc w:val="left"/>
      <w:lvlText w:val="%1"/>
      <w:numFmt w:val="upperLetter"/>
      <w:start w:val="1"/>
    </w:lvl>
    <w:lvl w:ilvl="1">
      <w:lvlJc w:val="left"/>
      <w:lvlText w:val="(%2)"/>
      <w:numFmt w:val="lowerRoman"/>
      <w:start w:val="12"/>
    </w:lvl>
  </w:abstractNum>
  <w:abstractNum w:abstractNumId="22">
    <w:nsid w:val="424479DA"/>
    <w:multiLevelType w:val="hybridMultilevel"/>
    <w:lvl w:ilvl="0">
      <w:lvlJc w:val="left"/>
      <w:lvlText w:val="(%1)"/>
      <w:numFmt w:val="upperLetter"/>
      <w:start w:val="2"/>
    </w:lvl>
    <w:lvl w:ilvl="1">
      <w:lvlJc w:val="left"/>
      <w:lvlText w:val="(%2)"/>
      <w:numFmt w:val="lowerRoman"/>
      <w:start w:val="13"/>
    </w:lvl>
  </w:abstractNum>
  <w:abstractNum w:abstractNumId="23">
    <w:nsid w:val="1A9A9E69"/>
    <w:multiLevelType w:val="hybridMultilevel"/>
    <w:lvl w:ilvl="0">
      <w:lvlJc w:val="left"/>
      <w:lvlText w:val="(%1)"/>
      <w:numFmt w:val="lowerRoman"/>
      <w:start w:val="15"/>
    </w:lvl>
  </w:abstractNum>
  <w:abstractNum w:abstractNumId="24">
    <w:nsid w:val="475E256A"/>
    <w:multiLevelType w:val="hybridMultilevel"/>
    <w:lvl w:ilvl="0">
      <w:lvlJc w:val="left"/>
      <w:lvlText w:val="(%1)"/>
      <w:numFmt w:val="lowerRoman"/>
      <w:start w:val="16"/>
    </w:lvl>
  </w:abstractNum>
  <w:abstractNum w:abstractNumId="25">
    <w:nsid w:val="368DB37E"/>
    <w:multiLevelType w:val="hybridMultilevel"/>
    <w:lvl w:ilvl="0">
      <w:lvlJc w:val="left"/>
      <w:lvlText w:val="(%1)"/>
      <w:numFmt w:val="lowerRoman"/>
      <w:start w:val="19"/>
    </w:lvl>
  </w:abstractNum>
  <w:abstractNum w:abstractNumId="26">
    <w:nsid w:val="6A3B714C"/>
    <w:multiLevelType w:val="hybridMultilevel"/>
    <w:lvl w:ilvl="0">
      <w:lvlJc w:val="left"/>
      <w:lvlText w:val="(%1)"/>
      <w:numFmt w:val="lowerRoman"/>
      <w:start w:val="21"/>
    </w:lvl>
  </w:abstractNum>
  <w:abstractNum w:abstractNumId="27">
    <w:nsid w:val="327B517E"/>
    <w:multiLevelType w:val="hybridMultilevel"/>
    <w:lvl w:ilvl="0">
      <w:lvlJc w:val="left"/>
      <w:lvlText w:val="(%1)"/>
      <w:numFmt w:val="lowerRoman"/>
      <w:start w:val="22"/>
    </w:lvl>
  </w:abstractNum>
  <w:abstractNum w:abstractNumId="28">
    <w:nsid w:val="1F461B51"/>
    <w:multiLevelType w:val="hybridMultilevel"/>
    <w:lvl w:ilvl="0">
      <w:lvlJc w:val="left"/>
      <w:lvlText w:val="(%1)"/>
      <w:numFmt w:val="upperLetter"/>
      <w:start w:val="8"/>
    </w:lvl>
    <w:lvl w:ilvl="1">
      <w:lvlJc w:val="left"/>
      <w:lvlText w:val="(%2)"/>
      <w:numFmt w:val="lowerRoman"/>
      <w:start w:val="25"/>
    </w:lvl>
  </w:abstractNum>
  <w:abstractNum w:abstractNumId="29">
    <w:nsid w:val="29BACF25"/>
    <w:multiLevelType w:val="hybridMultilevel"/>
    <w:lvl w:ilvl="0">
      <w:lvlJc w:val="left"/>
      <w:lvlText w:val="(%1)"/>
      <w:numFmt w:val="lowerRoman"/>
      <w:start w:val="26"/>
    </w:lvl>
  </w:abstractNum>
  <w:abstractNum w:abstractNumId="30">
    <w:nsid w:val="5D5BABB3"/>
    <w:multiLevelType w:val="hybridMultilevel"/>
    <w:lvl w:ilvl="0">
      <w:lvlJc w:val="left"/>
      <w:lvlText w:val="(%1)"/>
      <w:numFmt w:val="lowerRoman"/>
      <w:start w:val="28"/>
    </w:lvl>
  </w:abstractNum>
  <w:abstractNum w:abstractNumId="31">
    <w:nsid w:val="51BF6B48"/>
    <w:multiLevelType w:val="hybridMultilevel"/>
    <w:lvl w:ilvl="0">
      <w:lvlJc w:val="left"/>
      <w:lvlText w:val="(%1)"/>
      <w:numFmt w:val="lowerRoman"/>
      <w:start w:val="30"/>
    </w:lvl>
  </w:abstractNum>
  <w:abstractNum w:abstractNumId="32">
    <w:nsid w:val="7E0F6384"/>
    <w:multiLevelType w:val="hybridMultilevel"/>
    <w:lvl w:ilvl="0">
      <w:lvlJc w:val="left"/>
      <w:lvlText w:val="(%1)"/>
      <w:numFmt w:val="lowerRoman"/>
      <w:start w:val="33"/>
    </w:lvl>
  </w:abstractNum>
  <w:abstractNum w:abstractNumId="33">
    <w:nsid w:val="2B4B8B53"/>
    <w:multiLevelType w:val="hybridMultilevel"/>
    <w:lvl w:ilvl="0">
      <w:lvlJc w:val="left"/>
      <w:lvlText w:val="%1"/>
      <w:numFmt w:val="lowerRoman"/>
      <w:start w:val="1"/>
    </w:lvl>
    <w:lvl w:ilvl="1">
      <w:lvlJc w:val="left"/>
      <w:lvlText w:val="(%2)"/>
      <w:numFmt w:val="lowerRoman"/>
      <w:start w:val="36"/>
    </w:lvl>
  </w:abstractNum>
  <w:abstractNum w:abstractNumId="34">
    <w:nsid w:val="72E3413A"/>
    <w:multiLevelType w:val="hybridMultilevel"/>
    <w:lvl w:ilvl="0">
      <w:lvlJc w:val="left"/>
      <w:lvlText w:val="(%1)"/>
      <w:numFmt w:val="lowerRoman"/>
      <w:start w:val="2"/>
    </w:lvl>
    <w:lvl w:ilvl="1">
      <w:lvlJc w:val="left"/>
      <w:lvlText w:val="(%2)"/>
      <w:numFmt w:val="lowerRoman"/>
      <w:start w:val="39"/>
    </w:lvl>
  </w:abstractNum>
  <w:abstractNum w:abstractNumId="35">
    <w:nsid w:val="116AE494"/>
    <w:multiLevelType w:val="hybridMultilevel"/>
    <w:lvl w:ilvl="0">
      <w:lvlJc w:val="left"/>
      <w:lvlText w:val="(%1)"/>
      <w:numFmt w:val="lowerLetter"/>
      <w:start w:val="12"/>
    </w:lvl>
  </w:abstractNum>
  <w:abstractNum w:abstractNumId="36">
    <w:nsid w:val="3494B2FB"/>
    <w:multiLevelType w:val="hybridMultilevel"/>
    <w:lvl w:ilvl="0">
      <w:lvlJc w:val="left"/>
      <w:lvlText w:val="(%1)"/>
      <w:numFmt w:val="lowerLetter"/>
      <w:start w:val="2"/>
    </w:lvl>
  </w:abstractNum>
  <w:abstractNum w:abstractNumId="37">
    <w:nsid w:val="B13A31"/>
    <w:multiLevelType w:val="hybridMultilevel"/>
    <w:lvl w:ilvl="0">
      <w:lvlJc w:val="left"/>
      <w:lvlText w:val="(%1)"/>
      <w:numFmt w:val="lowerRoman"/>
      <w:start w:val="1"/>
    </w:lvl>
  </w:abstractNum>
  <w:abstractNum w:abstractNumId="38">
    <w:nsid w:val="64429599"/>
    <w:multiLevelType w:val="hybridMultilevel"/>
    <w:lvl w:ilvl="0">
      <w:lvlJc w:val="left"/>
      <w:lvlText w:val="%1"/>
      <w:numFmt w:val="lowerRoman"/>
      <w:start w:val="1"/>
    </w:lvl>
    <w:lvl w:ilvl="1">
      <w:lvlJc w:val="left"/>
      <w:lvlText w:val="(%2)"/>
      <w:numFmt w:val="lowerRoman"/>
      <w:start w:val="2"/>
    </w:lvl>
  </w:abstractNum>
  <w:abstractNum w:abstractNumId="39">
    <w:nsid w:val="631F1690"/>
    <w:multiLevelType w:val="hybridMultilevel"/>
    <w:lvl w:ilvl="0">
      <w:lvlJc w:val="left"/>
      <w:lvlText w:val="(%1)"/>
      <w:numFmt w:val="lowerRoman"/>
      <w:start w:val="4"/>
    </w:lvl>
    <w:lvl w:ilvl="1">
      <w:lvlJc w:val="left"/>
      <w:lvlText w:val="(%2)"/>
      <w:numFmt w:val="lowerRoman"/>
      <w:start w:val="5"/>
    </w:lvl>
  </w:abstractNum>
  <w:abstractNum w:abstractNumId="40">
    <w:nsid w:val="25973E32"/>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7"/>
    </w:lvl>
  </w:abstractNum>
  <w:abstractNum w:abstractNumId="41">
    <w:nsid w:val="EAD6F57"/>
    <w:multiLevelType w:val="hybridMultilevel"/>
    <w:lvl w:ilvl="0">
      <w:lvlJc w:val="left"/>
      <w:lvlText w:val="(%1)"/>
      <w:numFmt w:val="upperLetter"/>
      <w:start w:val="2"/>
    </w:lvl>
    <w:lvl w:ilvl="1">
      <w:lvlJc w:val="left"/>
      <w:lvlText w:val="(%2)"/>
      <w:numFmt w:val="lowerRoman"/>
      <w:start w:val="9"/>
    </w:lvl>
    <w:lvl w:ilvl="2">
      <w:lvlJc w:val="left"/>
      <w:lvlText w:val="%3"/>
      <w:numFmt w:val="lowerRoman"/>
      <w:start w:val="1"/>
    </w:lvl>
  </w:abstractNum>
  <w:abstractNum w:abstractNumId="42">
    <w:nsid w:val="6EC9D844"/>
    <w:multiLevelType w:val="hybridMultilevel"/>
    <w:lvl w:ilvl="0">
      <w:lvlJc w:val="left"/>
      <w:lvlText w:val="%1"/>
      <w:numFmt w:val="upperLetter"/>
      <w:start w:val="1"/>
    </w:lvl>
    <w:lvl w:ilvl="1">
      <w:lvlJc w:val="left"/>
      <w:lvlText w:val="(%2)"/>
      <w:numFmt w:val="lowerRoman"/>
      <w:start w:val="10"/>
    </w:lvl>
  </w:abstractNum>
  <w:abstractNum w:abstractNumId="43">
    <w:nsid w:val="5C49EAEE"/>
    <w:multiLevelType w:val="hybridMultilevel"/>
    <w:lvl w:ilvl="0">
      <w:lvlJc w:val="left"/>
      <w:lvlText w:val="(%1)"/>
      <w:numFmt w:val="upperLetter"/>
      <w:start w:val="1"/>
    </w:lvl>
    <w:lvl w:ilvl="1">
      <w:lvlJc w:val="left"/>
      <w:lvlText w:val="(%2)"/>
      <w:numFmt w:val="lowerRoman"/>
      <w:start w:val="11"/>
    </w:lvl>
  </w:abstractNum>
  <w:abstractNum w:abstractNumId="44">
    <w:nsid w:val="64AF49B"/>
    <w:multiLevelType w:val="hybridMultilevel"/>
    <w:lvl w:ilvl="0">
      <w:lvlJc w:val="left"/>
      <w:lvlText w:val="%1"/>
      <w:numFmt w:val="lowerLetter"/>
      <w:start w:val="1"/>
    </w:lvl>
    <w:lvl w:ilvl="1">
      <w:lvlJc w:val="left"/>
      <w:lvlText w:val="(%2)"/>
      <w:numFmt w:val="lowerRoman"/>
      <w:start w:val="13"/>
    </w:lvl>
  </w:abstractNum>
  <w:abstractNum w:abstractNumId="45">
    <w:nsid w:val="397C46BC"/>
    <w:multiLevelType w:val="hybridMultilevel"/>
    <w:lvl w:ilvl="0">
      <w:lvlJc w:val="left"/>
      <w:lvlText w:val="(%1)"/>
      <w:numFmt w:val="lowerLetter"/>
      <w:start w:val="3"/>
    </w:lvl>
    <w:lvl w:ilvl="1">
      <w:lvlJc w:val="left"/>
      <w:lvlText w:val="%2"/>
      <w:numFmt w:val="lowerRoman"/>
      <w:start w:val="1"/>
    </w:lvl>
  </w:abstractNum>
  <w:abstractNum w:abstractNumId="46">
    <w:nsid w:val="7E448DE9"/>
    <w:multiLevelType w:val="hybridMultilevel"/>
    <w:lvl w:ilvl="0">
      <w:lvlJc w:val="left"/>
      <w:lvlText w:val="(%1)"/>
      <w:numFmt w:val="lowerLetter"/>
      <w:start w:val="1"/>
    </w:lvl>
  </w:abstractNum>
  <w:abstractNum w:abstractNumId="47">
    <w:nsid w:val="5A9CC3E5"/>
    <w:multiLevelType w:val="hybridMultilevel"/>
    <w:lvl w:ilvl="0">
      <w:lvlJc w:val="left"/>
      <w:lvlText w:val="(%1)"/>
      <w:numFmt w:val="lowerLetter"/>
      <w:start w:val="2"/>
    </w:lvl>
  </w:abstractNum>
  <w:abstractNum w:abstractNumId="48">
    <w:nsid w:val="1AFE3625"/>
    <w:multiLevelType w:val="hybridMultilevel"/>
    <w:lvl w:ilvl="0">
      <w:lvlJc w:val="left"/>
      <w:lvlText w:val="(%1)"/>
      <w:numFmt w:val="lowerLetter"/>
      <w:start w:val="4"/>
    </w:lvl>
  </w:abstractNum>
  <w:abstractNum w:abstractNumId="49">
    <w:nsid w:val="3CA88ECF"/>
    <w:multiLevelType w:val="hybridMultilevel"/>
    <w:lvl w:ilvl="0">
      <w:lvlJc w:val="left"/>
      <w:lvlText w:val="(%1)"/>
      <w:numFmt w:val="lowerLetter"/>
      <w:start w:val="1"/>
    </w:lvl>
  </w:abstractNum>
  <w:abstractNum w:abstractNumId="50">
    <w:nsid w:val="6EBE4208"/>
    <w:multiLevelType w:val="hybridMultilevel"/>
    <w:lvl w:ilvl="0">
      <w:lvlJc w:val="left"/>
      <w:lvlText w:val="(%1)"/>
      <w:numFmt w:val="lowerLetter"/>
      <w:start w:val="3"/>
    </w:lvl>
  </w:abstractNum>
  <w:abstractNum w:abstractNumId="51">
    <w:nsid w:val="C058DF5"/>
    <w:multiLevelType w:val="hybridMultilevel"/>
    <w:lvl w:ilvl="0">
      <w:lvlJc w:val="left"/>
      <w:lvlText w:val="(%1)"/>
      <w:numFmt w:val="lowerLetter"/>
      <w:start w:val="5"/>
    </w:lvl>
  </w:abstractNum>
  <w:abstractNum w:abstractNumId="52">
    <w:nsid w:val="CBE5BE9"/>
    <w:multiLevelType w:val="hybridMultilevel"/>
    <w:lvl w:ilvl="0">
      <w:lvlJc w:val="left"/>
      <w:lvlText w:val="(%1)"/>
      <w:numFmt w:val="lowerLetter"/>
      <w:start w:val="10"/>
    </w:lvl>
  </w:abstractNum>
  <w:abstractNum w:abstractNumId="53">
    <w:nsid w:val="3102BBE2"/>
    <w:multiLevelType w:val="hybridMultilevel"/>
    <w:lvl w:ilvl="0">
      <w:lvlJc w:val="left"/>
      <w:lvlText w:val="(%1)"/>
      <w:numFmt w:val="lowerLetter"/>
      <w:start w:val="12"/>
    </w:lvl>
  </w:abstractNum>
  <w:abstractNum w:abstractNumId="54">
    <w:nsid w:val="26A02C5E"/>
    <w:multiLevelType w:val="hybridMultilevel"/>
    <w:lvl w:ilvl="0">
      <w:lvlJc w:val="left"/>
      <w:lvlText w:val="(%1)"/>
      <w:numFmt w:val="lowerLetter"/>
      <w:start w:val="14"/>
    </w:lvl>
  </w:abstractNum>
  <w:abstractNum w:abstractNumId="55">
    <w:nsid w:val="541C8153"/>
    <w:multiLevelType w:val="hybridMultilevel"/>
    <w:lvl w:ilvl="0">
      <w:lvlJc w:val="left"/>
      <w:lvlText w:val="%1"/>
      <w:numFmt w:val="lowerLetter"/>
      <w:start w:val="1"/>
    </w:lvl>
    <w:lvl w:ilvl="1">
      <w:lvlJc w:val="left"/>
      <w:lvlText w:val="(%2)"/>
      <w:numFmt w:val="lowerLetter"/>
      <w:start w:val="1"/>
    </w:lvl>
  </w:abstractNum>
  <w:abstractNum w:abstractNumId="56">
    <w:nsid w:val="67906F60"/>
    <w:multiLevelType w:val="hybridMultilevel"/>
    <w:lvl w:ilvl="0">
      <w:lvlJc w:val="left"/>
      <w:lvlText w:val="(%1)"/>
      <w:numFmt w:val="lowerLetter"/>
      <w:start w:val="22"/>
    </w:lvl>
    <w:lvl w:ilvl="1">
      <w:lvlJc w:val="left"/>
      <w:lvlText w:val="(%2)"/>
      <w:numFmt w:val="lowerLetter"/>
      <w:start w:val="2"/>
    </w:lvl>
  </w:abstractNum>
  <w:abstractNum w:abstractNumId="57">
    <w:nsid w:val="10DB9DAA"/>
    <w:multiLevelType w:val="hybridMultilevel"/>
    <w:lvl w:ilvl="0">
      <w:lvlJc w:val="left"/>
      <w:lvlText w:val="(%1)"/>
      <w:numFmt w:val="lowerLetter"/>
      <w:start w:val="1"/>
    </w:lvl>
  </w:abstractNum>
  <w:abstractNum w:abstractNumId="58">
    <w:nsid w:val="697D2D2"/>
    <w:multiLevelType w:val="hybridMultilevel"/>
    <w:lvl w:ilvl="0">
      <w:lvlJc w:val="left"/>
      <w:lvlText w:val="%1"/>
      <w:numFmt w:val="lowerLetter"/>
      <w:start w:val="1"/>
    </w:lvl>
    <w:lvl w:ilvl="1">
      <w:lvlJc w:val="left"/>
      <w:lvlText w:val="(%2)"/>
      <w:numFmt w:val="lowerLetter"/>
      <w:start w:val="6"/>
    </w:lvl>
  </w:abstractNum>
  <w:abstractNum w:abstractNumId="59">
    <w:nsid w:val="6D68AB2"/>
    <w:multiLevelType w:val="hybridMultilevel"/>
    <w:lvl w:ilvl="0">
      <w:lvlJc w:val="left"/>
      <w:lvlText w:val="(%1)"/>
      <w:numFmt w:val="lowerLetter"/>
      <w:start w:val="9"/>
    </w:lvl>
    <w:lvl w:ilvl="1">
      <w:lvlJc w:val="left"/>
      <w:lvlText w:val="(%2)"/>
      <w:numFmt w:val="lowerLetter"/>
      <w:start w:val="9"/>
    </w:lvl>
  </w:abstractNum>
  <w:abstractNum w:abstractNumId="60">
    <w:nsid w:val="3A966CD0"/>
    <w:multiLevelType w:val="hybridMultilevel"/>
    <w:lvl w:ilvl="0">
      <w:lvlJc w:val="left"/>
      <w:lvlText w:val="(%1)"/>
      <w:numFmt w:val="lowerLetter"/>
      <w:start w:val="13"/>
    </w:lvl>
  </w:abstractNum>
  <w:abstractNum w:abstractNumId="61">
    <w:nsid w:val="63F37E85"/>
    <w:multiLevelType w:val="hybridMultilevel"/>
    <w:lvl w:ilvl="0">
      <w:lvlJc w:val="left"/>
      <w:lvlText w:val="%1"/>
      <w:numFmt w:val="lowerLetter"/>
      <w:start w:val="1"/>
    </w:lvl>
    <w:lvl w:ilvl="1">
      <w:lvlJc w:val="left"/>
      <w:lvlText w:val="(%2)"/>
      <w:numFmt w:val="lowerRoman"/>
      <w:start w:val="1"/>
    </w:lvl>
  </w:abstractNum>
  <w:abstractNum w:abstractNumId="62">
    <w:nsid w:val="5895F5FA"/>
    <w:multiLevelType w:val="hybridMultilevel"/>
    <w:lvl w:ilvl="0">
      <w:lvlJc w:val="left"/>
      <w:lvlText w:val="(%1)"/>
      <w:numFmt w:val="lowerLetter"/>
      <w:start w:val="14"/>
    </w:lvl>
    <w:lvl w:ilvl="1">
      <w:lvlJc w:val="left"/>
      <w:lvlText w:val="%2"/>
      <w:numFmt w:val="lowerRoman"/>
      <w:start w:val="1"/>
    </w:lvl>
  </w:abstractNum>
  <w:abstractNum w:abstractNumId="63">
    <w:nsid w:val="38A5D054"/>
    <w:multiLevelType w:val="hybridMultilevel"/>
    <w:lvl w:ilvl="0">
      <w:lvlJc w:val="left"/>
      <w:lvlText w:val="(%1)"/>
      <w:numFmt w:val="lowerLetter"/>
      <w:start w:val="1"/>
    </w:lvl>
    <w:lvl w:ilvl="1">
      <w:lvlJc w:val="left"/>
      <w:lvlText w:val="(%2)"/>
      <w:numFmt w:val="lowerLetter"/>
      <w:start w:val="9"/>
    </w:lvl>
  </w:abstractNum>
  <w:abstractNum w:abstractNumId="64">
    <w:nsid w:val="F3F09D8"/>
    <w:multiLevelType w:val="hybridMultilevel"/>
    <w:lvl w:ilvl="0">
      <w:lvlJc w:val="left"/>
      <w:lvlText w:val="(%1)"/>
      <w:numFmt w:val="lowerRoman"/>
      <w:start w:val="2"/>
    </w:lvl>
  </w:abstractNum>
  <w:abstractNum w:abstractNumId="65">
    <w:nsid w:val="4B793735"/>
    <w:multiLevelType w:val="hybridMultilevel"/>
    <w:lvl w:ilvl="0">
      <w:lvlJc w:val="left"/>
      <w:lvlText w:val="(%1)"/>
      <w:numFmt w:val="lowerLetter"/>
      <w:start w:val="2"/>
    </w:lvl>
  </w:abstractNum>
  <w:abstractNum w:abstractNumId="66">
    <w:nsid w:val="4A10B4E8"/>
    <w:multiLevelType w:val="hybridMultilevel"/>
    <w:lvl w:ilvl="0">
      <w:lvlJc w:val="left"/>
      <w:lvlText w:val="%1"/>
      <w:numFmt w:val="lowerLetter"/>
      <w:start w:val="1"/>
    </w:lvl>
    <w:lvl w:ilvl="1">
      <w:lvlJc w:val="left"/>
      <w:lvlText w:val="(%2)"/>
      <w:numFmt w:val="lowerLetter"/>
      <w:start w:val="3"/>
    </w:lvl>
  </w:abstractNum>
  <w:abstractNum w:abstractNumId="67">
    <w:nsid w:val="43D3BCD4"/>
    <w:multiLevelType w:val="hybridMultilevel"/>
    <w:lvl w:ilvl="0">
      <w:lvlJc w:val="left"/>
      <w:lvlText w:val="(%1)"/>
      <w:numFmt w:val="lowerLetter"/>
      <w:start w:val="9"/>
    </w:lvl>
    <w:lvl w:ilvl="1">
      <w:lvlJc w:val="left"/>
      <w:lvlText w:val="(%2)"/>
      <w:numFmt w:val="lowerLetter"/>
      <w:start w:val="5"/>
    </w:lvl>
  </w:abstractNum>
  <w:abstractNum w:abstractNumId="68">
    <w:nsid w:val="4C2A7166"/>
    <w:multiLevelType w:val="hybridMultilevel"/>
    <w:lvl w:ilvl="0">
      <w:lvlJc w:val="left"/>
      <w:lvlText w:val="(%1)"/>
      <w:numFmt w:val="lowerLetter"/>
      <w:start w:val="9"/>
    </w:lvl>
    <w:lvl w:ilvl="1">
      <w:lvlJc w:val="left"/>
      <w:lvlText w:val="%2"/>
      <w:numFmt w:val="lowerLetter"/>
      <w:start w:val="1"/>
    </w:lvl>
  </w:abstractNum>
  <w:abstractNum w:abstractNumId="69">
    <w:nsid w:val="2E534A82"/>
    <w:multiLevelType w:val="hybridMultilevel"/>
    <w:lvl w:ilvl="0">
      <w:lvlJc w:val="left"/>
      <w:lvlText w:val="(%1)"/>
      <w:numFmt w:val="lowerLetter"/>
      <w:start w:val="1"/>
    </w:lvl>
  </w:abstractNum>
  <w:abstractNum w:abstractNumId="70">
    <w:nsid w:val="26F2D364"/>
    <w:multiLevelType w:val="hybridMultilevel"/>
    <w:lvl w:ilvl="0">
      <w:lvlJc w:val="left"/>
      <w:lvlText w:val="(%1)"/>
      <w:numFmt w:val="lowerRoman"/>
      <w:start w:val="1"/>
    </w:lvl>
  </w:abstractNum>
  <w:abstractNum w:abstractNumId="71">
    <w:nsid w:val="71C1AF98"/>
    <w:multiLevelType w:val="hybridMultilevel"/>
    <w:lvl w:ilvl="0">
      <w:lvlJc w:val="left"/>
      <w:lvlText w:val="(%1)"/>
      <w:numFmt w:val="decimal"/>
      <w:start w:val="212"/>
    </w:lvl>
  </w:abstractNum>
  <w:abstractNum w:abstractNumId="72">
    <w:nsid w:val="3D00B9D9"/>
    <w:multiLevelType w:val="hybridMultilevel"/>
    <w:lvl w:ilvl="0">
      <w:lvlJc w:val="left"/>
      <w:lvlText w:val="(%1)"/>
      <w:numFmt w:val="lowerLetter"/>
      <w:start w:val="5"/>
    </w:lvl>
  </w:abstractNum>
  <w:abstractNum w:abstractNumId="73">
    <w:nsid w:val="15BCABA8"/>
    <w:multiLevelType w:val="hybridMultilevel"/>
    <w:lvl w:ilvl="0">
      <w:lvlJc w:val="left"/>
      <w:lvlText w:val="%1."/>
      <w:numFmt w:val="decimal"/>
      <w:start w:val="1"/>
    </w:lvl>
  </w:abstractNum>
  <w:abstractNum w:abstractNumId="74">
    <w:nsid w:val="4E0B9A87"/>
    <w:multiLevelType w:val="hybridMultilevel"/>
    <w:lvl w:ilvl="0">
      <w:lvlJc w:val="left"/>
      <w:lvlText w:val="(%1)"/>
      <w:numFmt w:val="lowerRoman"/>
      <w:start w:val="1"/>
    </w:lvl>
  </w:abstractNum>
  <w:abstractNum w:abstractNumId="75">
    <w:nsid w:val="434BAE75"/>
    <w:multiLevelType w:val="hybridMultilevel"/>
    <w:lvl w:ilvl="0">
      <w:lvlJc w:val="left"/>
      <w:lvlText w:val="%1."/>
      <w:numFmt w:val="decimal"/>
      <w:start w:val="1"/>
    </w:lvl>
  </w:abstractNum>
  <w:abstractNum w:abstractNumId="76">
    <w:nsid w:val="4F38F265"/>
    <w:multiLevelType w:val="hybridMultilevel"/>
    <w:lvl w:ilvl="0">
      <w:lvlJc w:val="left"/>
      <w:lvlText w:val="%1."/>
      <w:numFmt w:val="decimal"/>
      <w:start w:val="6"/>
    </w:lvl>
  </w:abstractNum>
  <w:abstractNum w:abstractNumId="77">
    <w:nsid w:val="4C502870"/>
    <w:multiLevelType w:val="hybridMultilevel"/>
    <w:lvl w:ilvl="0">
      <w:lvlJc w:val="left"/>
      <w:lvlText w:val="(%1)"/>
      <w:numFmt w:val="lowerRoman"/>
      <w:start w:val="5"/>
    </w:lvl>
  </w:abstractNum>
  <w:abstractNum w:abstractNumId="78">
    <w:nsid w:val="1DE8725A"/>
    <w:multiLevelType w:val="hybridMultilevel"/>
    <w:lvl w:ilvl="0">
      <w:lvlJc w:val="left"/>
      <w:lvlText w:val="%1."/>
      <w:numFmt w:val="decimal"/>
      <w:start w:val="1"/>
    </w:lvl>
  </w:abstractNum>
  <w:abstractNum w:abstractNumId="79">
    <w:nsid w:val="6A37288A"/>
    <w:multiLevelType w:val="hybridMultilevel"/>
    <w:lvl w:ilvl="0">
      <w:lvlJc w:val="left"/>
      <w:lvlText w:val="A"/>
      <w:numFmt w:val="bullet"/>
      <w:start w:val="1"/>
    </w:lvl>
  </w:abstractNum>
  <w:abstractNum w:abstractNumId="80">
    <w:nsid w:val="8F8B73F"/>
    <w:multiLevelType w:val="hybridMultilevel"/>
    <w:lvl w:ilvl="0">
      <w:lvlJc w:val="left"/>
      <w:lvlText w:val="(%1)"/>
      <w:numFmt w:val="lowerLetter"/>
      <w:start w:val="1"/>
    </w:lvl>
  </w:abstractNum>
  <w:abstractNum w:abstractNumId="81">
    <w:nsid w:val="CA6B462"/>
    <w:multiLevelType w:val="hybridMultilevel"/>
    <w:lvl w:ilvl="0">
      <w:lvlJc w:val="left"/>
      <w:lvlText w:val="(%1)"/>
      <w:numFmt w:val="lowerRoman"/>
      <w:start w:val="1"/>
    </w:lvl>
  </w:abstractNum>
  <w:abstractNum w:abstractNumId="82">
    <w:nsid w:val="763CB680"/>
    <w:multiLevelType w:val="hybridMultilevel"/>
    <w:lvl w:ilvl="0">
      <w:lvlJc w:val="left"/>
      <w:lvlText w:val="(%1)"/>
      <w:numFmt w:val="lowerLetter"/>
      <w:start w:val="6"/>
    </w:lvl>
  </w:abstractNum>
  <w:abstractNum w:abstractNumId="83">
    <w:nsid w:val="15B71329"/>
    <w:multiLevelType w:val="hybridMultilevel"/>
    <w:lvl w:ilvl="0">
      <w:lvlJc w:val="left"/>
      <w:lvlText w:val="(%1)"/>
      <w:numFmt w:val="lowerLetter"/>
      <w:start w:val="1"/>
    </w:lvl>
  </w:abstractNum>
  <w:abstractNum w:abstractNumId="84">
    <w:nsid w:val="3DA97044"/>
    <w:multiLevelType w:val="hybridMultilevel"/>
    <w:lvl w:ilvl="0">
      <w:lvlJc w:val="left"/>
      <w:lvlText w:val="(%1)"/>
      <w:numFmt w:val="lowerLetter"/>
      <w:start w:val="1"/>
    </w:lvl>
  </w:abstractNum>
  <w:abstractNum w:abstractNumId="85">
    <w:nsid w:val="1CDCE2DE"/>
    <w:multiLevelType w:val="hybridMultilevel"/>
    <w:lvl w:ilvl="0">
      <w:lvlJc w:val="left"/>
      <w:lvlText w:val="(%1)"/>
      <w:numFmt w:val="lowerLetter"/>
      <w:start w:val="3"/>
    </w:lvl>
  </w:abstractNum>
  <w:abstractNum w:abstractNumId="86">
    <w:nsid w:val="69D3947C"/>
    <w:multiLevelType w:val="hybridMultilevel"/>
    <w:lvl w:ilvl="0">
      <w:lvlJc w:val="left"/>
      <w:lvlText w:val="(%1)"/>
      <w:numFmt w:val="lowerLetter"/>
      <w:start w:val="1"/>
    </w:lvl>
  </w:abstractNum>
  <w:abstractNum w:abstractNumId="87">
    <w:nsid w:val="2539DFA5"/>
    <w:multiLevelType w:val="hybridMultilevel"/>
    <w:lvl w:ilvl="0">
      <w:lvlJc w:val="left"/>
      <w:lvlText w:val="(%1)"/>
      <w:numFmt w:val="lowerLetter"/>
      <w:start w:val="35"/>
    </w:lvl>
  </w:abstractNum>
  <w:abstractNum w:abstractNumId="88">
    <w:nsid w:val="2DB88089"/>
    <w:multiLevelType w:val="hybridMultilevel"/>
    <w:lvl w:ilvl="0">
      <w:lvlJc w:val="left"/>
      <w:lvlText w:val="(%1)"/>
      <w:numFmt w:val="lowerLetter"/>
      <w:start w:val="2"/>
    </w:lvl>
  </w:abstractNum>
  <w:abstractNum w:abstractNumId="89">
    <w:nsid w:val="706B674E"/>
    <w:multiLevelType w:val="hybridMultilevel"/>
    <w:lvl w:ilvl="0">
      <w:lvlJc w:val="left"/>
      <w:lvlText w:val="(%1)"/>
      <w:numFmt w:val="lowerLetter"/>
      <w:start w:val="1"/>
    </w:lvl>
  </w:abstractNum>
  <w:abstractNum w:abstractNumId="90">
    <w:nsid w:val="2C106A57"/>
    <w:multiLevelType w:val="hybridMultilevel"/>
    <w:lvl w:ilvl="0">
      <w:lvlJc w:val="left"/>
      <w:lvlText w:val="(%1)"/>
      <w:numFmt w:val="lowerLetter"/>
      <w:start w:val="1"/>
    </w:lvl>
  </w:abstractNum>
  <w:abstractNum w:abstractNumId="91">
    <w:nsid w:val="684EED59"/>
    <w:multiLevelType w:val="hybridMultilevel"/>
    <w:lvl w:ilvl="0">
      <w:lvlJc w:val="left"/>
      <w:lvlText w:val="(%1)"/>
      <w:numFmt w:val="lowerLetter"/>
      <w:start w:val="2"/>
    </w:lvl>
  </w:abstractNum>
  <w:abstractNum w:abstractNumId="92">
    <w:nsid w:val="545EE5D3"/>
    <w:multiLevelType w:val="hybridMultilevel"/>
    <w:lvl w:ilvl="0">
      <w:lvlJc w:val="left"/>
      <w:lvlText w:val="(%1)"/>
      <w:numFmt w:val="lowerLetter"/>
      <w:start w:val="11"/>
    </w:lvl>
  </w:abstractNum>
  <w:abstractNum w:abstractNumId="93">
    <w:nsid w:val="4A66051"/>
    <w:multiLevelType w:val="hybridMultilevel"/>
    <w:lvl w:ilvl="0">
      <w:lvlJc w:val="left"/>
      <w:lvlText w:val="(%1)"/>
      <w:numFmt w:val="lowerLetter"/>
      <w:start w:val="1"/>
    </w:lvl>
  </w:abstractNum>
  <w:abstractNum w:abstractNumId="94">
    <w:nsid w:val="20F4BDAD"/>
    <w:multiLevelType w:val="hybridMultilevel"/>
    <w:lvl w:ilvl="0">
      <w:lvlJc w:val="left"/>
      <w:lvlText w:val="(%1)"/>
      <w:numFmt w:val="lowerLetter"/>
      <w:start w:val="6"/>
    </w:lvl>
  </w:abstractNum>
  <w:abstractNum w:abstractNumId="95">
    <w:nsid w:val="639DEFAC"/>
    <w:multiLevelType w:val="hybridMultilevel"/>
    <w:lvl w:ilvl="0">
      <w:lvlJc w:val="left"/>
      <w:lvlText w:val="(%1)"/>
      <w:numFmt w:val="lowerLetter"/>
      <w:start w:val="8"/>
    </w:lvl>
  </w:abstractNum>
  <w:abstractNum w:abstractNumId="96">
    <w:nsid w:val="501F9786"/>
    <w:multiLevelType w:val="hybridMultilevel"/>
    <w:lvl w:ilvl="0">
      <w:lvlJc w:val="left"/>
      <w:lvlText w:val="(%1)"/>
      <w:numFmt w:val="lowerLetter"/>
      <w:start w:val="2"/>
    </w:lvl>
  </w:abstractNum>
  <w:abstractNum w:abstractNumId="97">
    <w:nsid w:val="6B057295"/>
    <w:multiLevelType w:val="hybridMultilevel"/>
    <w:lvl w:ilvl="0">
      <w:lvlJc w:val="left"/>
      <w:lvlText w:val="(%1)"/>
      <w:numFmt w:val="lowerLetter"/>
      <w:start w:val="1"/>
    </w:lvl>
  </w:abstractNum>
  <w:abstractNum w:abstractNumId="98">
    <w:nsid w:val="2771AC80"/>
    <w:multiLevelType w:val="hybridMultilevel"/>
    <w:lvl w:ilvl="0">
      <w:lvlJc w:val="left"/>
      <w:lvlText w:val="(%1)"/>
      <w:numFmt w:val="lowerLetter"/>
      <w:start w:val="2"/>
    </w:lvl>
  </w:abstractNum>
  <w:abstractNum w:abstractNumId="99">
    <w:nsid w:val="1C4A08EC"/>
    <w:multiLevelType w:val="hybridMultilevel"/>
    <w:lvl w:ilvl="0">
      <w:lvlJc w:val="left"/>
      <w:lvlText w:val="(%1)"/>
      <w:numFmt w:val="lowerRoman"/>
      <w:start w:val="1"/>
    </w:lvl>
  </w:abstractNum>
  <w:abstractNum w:abstractNumId="100">
    <w:nsid w:val="1958BD17"/>
    <w:multiLevelType w:val="hybridMultilevel"/>
    <w:lvl w:ilvl="0">
      <w:lvlJc w:val="left"/>
      <w:lvlText w:val="(%1)"/>
      <w:numFmt w:val="lowerLetter"/>
      <w:start w:val="2"/>
    </w:lvl>
  </w:abstractNum>
  <w:abstractNum w:abstractNumId="101">
    <w:nsid w:val="4E647FE4"/>
    <w:multiLevelType w:val="hybridMultilevel"/>
    <w:lvl w:ilvl="0">
      <w:lvlJc w:val="left"/>
      <w:lvlText w:val="(%1)"/>
      <w:numFmt w:val="lowerLetter"/>
      <w:start w:val="1"/>
    </w:lvl>
  </w:abstractNum>
  <w:abstractNum w:abstractNumId="102">
    <w:nsid w:val="E0BB885"/>
    <w:multiLevelType w:val="hybridMultilevel"/>
    <w:lvl w:ilvl="0">
      <w:lvlJc w:val="left"/>
      <w:lvlText w:val="(%1)"/>
      <w:numFmt w:val="lowerLetter"/>
      <w:start w:val="2"/>
    </w:lvl>
  </w:abstractNum>
  <w:abstractNum w:abstractNumId="103">
    <w:nsid w:val="565976F1"/>
    <w:multiLevelType w:val="hybridMultilevel"/>
    <w:lvl w:ilvl="0">
      <w:lvlJc w:val="left"/>
      <w:lvlText w:val="(%1)"/>
      <w:numFmt w:val="lowerLetter"/>
      <w:start w:val="7"/>
    </w:lvl>
  </w:abstractNum>
  <w:abstractNum w:abstractNumId="104">
    <w:nsid w:val="64212B8C"/>
    <w:multiLevelType w:val="hybridMultilevel"/>
    <w:lvl w:ilvl="0">
      <w:lvlJc w:val="left"/>
      <w:lvlText w:val="(%1)"/>
      <w:numFmt w:val="lowerLetter"/>
      <w:start w:val="1"/>
    </w:lvl>
  </w:abstractNum>
  <w:abstractNum w:abstractNumId="105">
    <w:nsid w:val="5C17530C"/>
    <w:multiLevelType w:val="hybridMultilevel"/>
    <w:lvl w:ilvl="0">
      <w:lvlJc w:val="left"/>
      <w:lvlText w:val="(%1)"/>
      <w:numFmt w:val="upperLetter"/>
      <w:start w:val="4"/>
    </w:lvl>
  </w:abstractNum>
  <w:abstractNum w:abstractNumId="106">
    <w:nsid w:val="19A52566"/>
    <w:multiLevelType w:val="hybridMultilevel"/>
    <w:lvl w:ilvl="0">
      <w:lvlJc w:val="left"/>
      <w:lvlText w:val="(%1)"/>
      <w:numFmt w:val="lowerRoman"/>
      <w:start w:val="1"/>
    </w:lvl>
  </w:abstractNum>
  <w:abstractNum w:abstractNumId="107">
    <w:nsid w:val="335A1DF1"/>
    <w:multiLevelType w:val="hybridMultilevel"/>
    <w:lvl w:ilvl="0">
      <w:lvlJc w:val="left"/>
      <w:lvlText w:val="(%1)"/>
      <w:numFmt w:val="lowerLetter"/>
      <w:start w:val="1"/>
    </w:lvl>
  </w:abstractNum>
  <w:abstractNum w:abstractNumId="108">
    <w:nsid w:val="28677B7C"/>
    <w:multiLevelType w:val="hybridMultilevel"/>
    <w:lvl w:ilvl="0">
      <w:lvlJc w:val="left"/>
      <w:lvlText w:val="(%1)"/>
      <w:numFmt w:val="lowerLetter"/>
      <w:start w:val="2"/>
    </w:lvl>
  </w:abstractNum>
  <w:abstractNum w:abstractNumId="109">
    <w:nsid w:val="378D97C0"/>
    <w:multiLevelType w:val="hybridMultilevel"/>
    <w:lvl w:ilvl="0">
      <w:lvlJc w:val="left"/>
      <w:lvlText w:val="(%1)"/>
      <w:numFmt w:val="lowerLetter"/>
      <w:start w:val="1"/>
    </w:lvl>
  </w:abstractNum>
  <w:abstractNum w:abstractNumId="110">
    <w:nsid w:val="1D91467C"/>
    <w:multiLevelType w:val="hybridMultilevel"/>
    <w:lvl w:ilvl="0">
      <w:lvlJc w:val="left"/>
      <w:lvlText w:val="(%1)"/>
      <w:numFmt w:val="lowerRoman"/>
      <w:start w:val="3"/>
    </w:lvl>
  </w:abstractNum>
  <w:abstractNum w:abstractNumId="111">
    <w:nsid w:val="316032BB"/>
    <w:multiLevelType w:val="hybridMultilevel"/>
    <w:lvl w:ilvl="0">
      <w:lvlJc w:val="left"/>
      <w:lvlText w:val="(%1)"/>
      <w:numFmt w:val="lowerLetter"/>
      <w:start w:val="1"/>
    </w:lvl>
  </w:abstractNum>
  <w:abstractNum w:abstractNumId="112">
    <w:nsid w:val="44344C22"/>
    <w:multiLevelType w:val="hybridMultilevel"/>
    <w:lvl w:ilvl="0">
      <w:lvlJc w:val="left"/>
      <w:lvlText w:val="(%1)"/>
      <w:numFmt w:val="lowerLetter"/>
      <w:start w:val="5"/>
    </w:lvl>
  </w:abstractNum>
  <w:abstractNum w:abstractNumId="113">
    <w:nsid w:val="13CDFCFC"/>
    <w:multiLevelType w:val="hybridMultilevel"/>
    <w:lvl w:ilvl="0">
      <w:lvlJc w:val="left"/>
      <w:lvlText w:val="(%1)"/>
      <w:numFmt w:val="lowerLetter"/>
      <w:start w:val="1"/>
    </w:lvl>
  </w:abstractNum>
  <w:abstractNum w:abstractNumId="114">
    <w:nsid w:val="471745E4"/>
    <w:multiLevelType w:val="hybridMultilevel"/>
    <w:lvl w:ilvl="0">
      <w:lvlJc w:val="left"/>
      <w:lvlText w:val="(%1)"/>
      <w:numFmt w:val="lowerLetter"/>
      <w:start w:val="3"/>
    </w:lvl>
  </w:abstractNum>
  <w:abstractNum w:abstractNumId="115">
    <w:nsid w:val="1DDBC66"/>
    <w:multiLevelType w:val="hybridMultilevel"/>
    <w:lvl w:ilvl="0">
      <w:lvlJc w:val="left"/>
      <w:lvlText w:val="(%1)"/>
      <w:numFmt w:val="lowerLetter"/>
      <w:start w:val="4"/>
    </w:lvl>
  </w:abstractNum>
  <w:abstractNum w:abstractNumId="116">
    <w:nsid w:val="30AADFDA"/>
    <w:multiLevelType w:val="hybridMultilevel"/>
    <w:lvl w:ilvl="0">
      <w:lvlJc w:val="left"/>
      <w:lvlText w:val="%1"/>
      <w:numFmt w:val="lowerLetter"/>
      <w:start w:val="1"/>
    </w:lvl>
    <w:lvl w:ilvl="1">
      <w:lvlJc w:val="left"/>
      <w:lvlText w:val="(%2)"/>
      <w:numFmt w:val="lowerLetter"/>
      <w:start w:val="5"/>
    </w:lvl>
  </w:abstractNum>
  <w:abstractNum w:abstractNumId="117">
    <w:nsid w:val="30EADA61"/>
    <w:multiLevelType w:val="hybridMultilevel"/>
    <w:lvl w:ilvl="0">
      <w:lvlJc w:val="left"/>
      <w:lvlText w:val="(%1)"/>
      <w:numFmt w:val="lowerLetter"/>
      <w:start w:val="3"/>
    </w:lvl>
    <w:lvl w:ilvl="1">
      <w:lvlJc w:val="left"/>
      <w:lvlText w:val="%2"/>
      <w:numFmt w:val="lowerLetter"/>
      <w:start w:val="1"/>
    </w:lvl>
  </w:abstractNum>
  <w:abstractNum w:abstractNumId="118">
    <w:nsid w:val="27179C0B"/>
    <w:multiLevelType w:val="hybridMultilevel"/>
    <w:lvl w:ilvl="0">
      <w:lvlJc w:val="left"/>
      <w:lvlText w:val="(%1)"/>
      <w:numFmt w:val="lowerRoman"/>
      <w:start w:val="2"/>
    </w:lvl>
  </w:abstractNum>
  <w:abstractNum w:abstractNumId="119">
    <w:nsid w:val="5E636063"/>
    <w:multiLevelType w:val="hybridMultilevel"/>
    <w:lvl w:ilvl="0">
      <w:lvlJc w:val="left"/>
      <w:lvlText w:val="(%1)"/>
      <w:numFmt w:val="lowerLetter"/>
      <w:start w:val="2"/>
    </w:lvl>
  </w:abstractNum>
  <w:abstractNum w:abstractNumId="120">
    <w:nsid w:val="215641AF"/>
    <w:multiLevelType w:val="hybridMultilevel"/>
    <w:lvl w:ilvl="0">
      <w:lvlJc w:val="left"/>
      <w:lvlText w:val="(%1)"/>
      <w:numFmt w:val="lowerLetter"/>
      <w:start w:val="1"/>
    </w:lvl>
  </w:abstractNum>
  <w:abstractNum w:abstractNumId="121">
    <w:nsid w:val="53280662"/>
    <w:multiLevelType w:val="hybridMultilevel"/>
    <w:lvl w:ilvl="0">
      <w:lvlJc w:val="left"/>
      <w:lvlText w:val="(%1)"/>
      <w:numFmt w:val="lowerLetter"/>
      <w:start w:val="2"/>
    </w:lvl>
  </w:abstractNum>
  <w:abstractNum w:abstractNumId="122">
    <w:nsid w:val="46B24DBC"/>
    <w:multiLevelType w:val="hybridMultilevel"/>
    <w:lvl w:ilvl="0">
      <w:lvlJc w:val="left"/>
      <w:lvlText w:val="(%1)"/>
      <w:numFmt w:val="lowerLetter"/>
      <w:start w:val="1"/>
    </w:lvl>
  </w:abstractNum>
  <w:abstractNum w:abstractNumId="123">
    <w:nsid w:val="75B52783"/>
    <w:multiLevelType w:val="hybridMultilevel"/>
    <w:lvl w:ilvl="0">
      <w:lvlJc w:val="left"/>
      <w:lvlText w:val="(%1)"/>
      <w:numFmt w:val="lowerLetter"/>
      <w:start w:val="1"/>
    </w:lvl>
  </w:abstractNum>
  <w:abstractNum w:abstractNumId="124">
    <w:nsid w:val="57CE66B4"/>
    <w:multiLevelType w:val="hybridMultilevel"/>
    <w:lvl w:ilvl="0">
      <w:lvlJc w:val="left"/>
      <w:lvlText w:val="(%1)"/>
      <w:numFmt w:val="lowerLetter"/>
      <w:start w:val="2"/>
    </w:lvl>
  </w:abstractNum>
  <w:abstractNum w:abstractNumId="125">
    <w:nsid w:val="67A70B69"/>
    <w:multiLevelType w:val="hybridMultilevel"/>
    <w:lvl w:ilvl="0">
      <w:lvlJc w:val="left"/>
      <w:lvlText w:val="%1"/>
      <w:numFmt w:val="lowerLetter"/>
      <w:start w:val="1"/>
    </w:lvl>
    <w:lvl w:ilvl="1">
      <w:lvlJc w:val="left"/>
      <w:lvlText w:val="(%2)"/>
      <w:numFmt w:val="lowerLetter"/>
      <w:start w:val="1"/>
    </w:lvl>
  </w:abstractNum>
  <w:abstractNum w:abstractNumId="126">
    <w:nsid w:val="5953172F"/>
    <w:multiLevelType w:val="hybridMultilevel"/>
    <w:lvl w:ilvl="0">
      <w:lvlJc w:val="left"/>
      <w:lvlText w:val="(%1)"/>
      <w:numFmt w:val="lowerLetter"/>
      <w:start w:val="35"/>
    </w:lvl>
    <w:lvl w:ilvl="1">
      <w:lvlJc w:val="left"/>
      <w:lvlText w:val="%2"/>
      <w:numFmt w:val="lowerLetter"/>
      <w:start w:val="1"/>
    </w:lvl>
  </w:abstractNum>
  <w:abstractNum w:abstractNumId="127">
    <w:nsid w:val="27EDFE3A"/>
    <w:multiLevelType w:val="hybridMultilevel"/>
    <w:lvl w:ilvl="0">
      <w:lvlJc w:val="left"/>
      <w:lvlText w:val="(%1)"/>
      <w:numFmt w:val="lowerLetter"/>
      <w:start w:val="2"/>
    </w:lvl>
  </w:abstractNum>
  <w:abstractNum w:abstractNumId="128">
    <w:nsid w:val="52AC7DF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29">
    <w:nsid w:val="C4C3AF"/>
    <w:multiLevelType w:val="hybridMultilevel"/>
    <w:lvl w:ilvl="0">
      <w:lvlJc w:val="left"/>
      <w:lvlText w:val="(%1)"/>
      <w:numFmt w:val="upperLetter"/>
      <w:start w:val="2"/>
    </w:lvl>
  </w:abstractNum>
  <w:abstractNum w:abstractNumId="130">
    <w:nsid w:val="44380727"/>
    <w:multiLevelType w:val="hybridMultilevel"/>
    <w:lvl w:ilvl="0">
      <w:lvlJc w:val="left"/>
      <w:lvlText w:val="%1"/>
      <w:numFmt w:val="lowerRoman"/>
      <w:start w:val="1"/>
    </w:lvl>
    <w:lvl w:ilvl="1">
      <w:lvlJc w:val="left"/>
      <w:lvlText w:val="(%2)"/>
      <w:numFmt w:val="upperLetter"/>
      <w:start w:val="3"/>
    </w:lvl>
  </w:abstractNum>
  <w:abstractNum w:abstractNumId="131">
    <w:nsid w:val="6C053B16"/>
    <w:multiLevelType w:val="hybridMultilevel"/>
    <w:lvl w:ilvl="0">
      <w:lvlJc w:val="left"/>
      <w:lvlText w:val="(%1)"/>
      <w:numFmt w:val="lowerRoman"/>
      <w:start w:val="4"/>
    </w:lvl>
    <w:lvl w:ilvl="1">
      <w:lvlJc w:val="left"/>
      <w:lvlText w:val="%2"/>
      <w:numFmt w:val="upperLetter"/>
      <w:start w:val="1"/>
    </w:lvl>
  </w:abstractNum>
  <w:abstractNum w:abstractNumId="132">
    <w:nsid w:val="4F294393"/>
    <w:multiLevelType w:val="hybridMultilevel"/>
    <w:lvl w:ilvl="0">
      <w:lvlJc w:val="left"/>
      <w:lvlText w:val="(%1)"/>
      <w:numFmt w:val="lowerLetter"/>
      <w:start w:val="2"/>
    </w:lvl>
    <w:lvl w:ilvl="1">
      <w:lvlJc w:val="left"/>
      <w:lvlText w:val="(%2)"/>
      <w:numFmt w:val="lowerRoman"/>
      <w:start w:val="1"/>
    </w:lvl>
  </w:abstractNum>
  <w:abstractNum w:abstractNumId="133">
    <w:nsid w:val="5243BFAC"/>
    <w:multiLevelType w:val="hybridMultilevel"/>
    <w:lvl w:ilvl="0">
      <w:lvlJc w:val="left"/>
      <w:lvlText w:val="%1"/>
      <w:numFmt w:val="lowerLetter"/>
      <w:start w:val="1"/>
    </w:lvl>
    <w:lvl w:ilvl="1">
      <w:lvlJc w:val="left"/>
      <w:lvlText w:val="(%2)"/>
      <w:numFmt w:val="lowerRoman"/>
      <w:start w:val="3"/>
    </w:lvl>
  </w:abstractNum>
  <w:abstractNum w:abstractNumId="134">
    <w:nsid w:val="425EB207"/>
    <w:multiLevelType w:val="hybridMultilevel"/>
    <w:lvl w:ilvl="0">
      <w:lvlJc w:val="left"/>
      <w:lvlText w:val="(%1)"/>
      <w:numFmt w:val="lowerLetter"/>
      <w:start w:val="3"/>
    </w:lvl>
    <w:lvl w:ilvl="1">
      <w:lvlJc w:val="left"/>
      <w:lvlText w:val="(%2)"/>
      <w:numFmt w:val="lowerRoman"/>
      <w:start w:val="1"/>
    </w:lvl>
  </w:abstractNum>
  <w:abstractNum w:abstractNumId="135">
    <w:nsid w:val="334A6F1F"/>
    <w:multiLevelType w:val="hybridMultilevel"/>
    <w:lvl w:ilvl="0">
      <w:lvlJc w:val="left"/>
      <w:lvlText w:val="(%1)"/>
      <w:numFmt w:val="lowerRoman"/>
      <w:start w:val="10"/>
    </w:lvl>
    <w:lvl w:ilvl="1">
      <w:lvlJc w:val="left"/>
      <w:lvlText w:val="(%2)"/>
      <w:numFmt w:val="lowerRoman"/>
      <w:start w:val="2"/>
    </w:lvl>
  </w:abstractNum>
  <w:abstractNum w:abstractNumId="136">
    <w:nsid w:val="2E5B12B8"/>
    <w:multiLevelType w:val="hybridMultilevel"/>
    <w:lvl w:ilvl="0">
      <w:lvlJc w:val="left"/>
      <w:lvlText w:val="(%1)"/>
      <w:numFmt w:val="lowerRoman"/>
      <w:start w:val="4"/>
    </w:lvl>
  </w:abstractNum>
  <w:abstractNum w:abstractNumId="137">
    <w:nsid w:val="5C03D76D"/>
    <w:multiLevelType w:val="hybridMultilevel"/>
    <w:lvl w:ilvl="0">
      <w:lvlJc w:val="left"/>
      <w:lvlText w:val="(%1)"/>
      <w:numFmt w:val="lowerRoman"/>
      <w:start w:val="5"/>
    </w:lvl>
  </w:abstractNum>
  <w:abstractNum w:abstractNumId="138">
    <w:nsid w:val="66A48D11"/>
    <w:multiLevelType w:val="hybridMultilevel"/>
    <w:lvl w:ilvl="0">
      <w:lvlJc w:val="left"/>
      <w:lvlText w:val="(%1)"/>
      <w:numFmt w:val="lowerLetter"/>
      <w:start w:val="4"/>
    </w:lvl>
    <w:lvl w:ilvl="1">
      <w:lvlJc w:val="left"/>
      <w:lvlText w:val="(%2)"/>
      <w:numFmt w:val="lowerRoman"/>
      <w:start w:val="1"/>
    </w:lvl>
  </w:abstractNum>
  <w:abstractNum w:abstractNumId="139">
    <w:nsid w:val="56C28E34"/>
    <w:multiLevelType w:val="hybridMultilevel"/>
    <w:lvl w:ilvl="0">
      <w:lvlJc w:val="left"/>
      <w:lvlText w:val="(%1)"/>
      <w:numFmt w:val="lowerRoman"/>
      <w:start w:val="6"/>
    </w:lvl>
  </w:abstractNum>
  <w:abstractNum w:abstractNumId="140">
    <w:nsid w:val="13916F2D"/>
    <w:multiLevelType w:val="hybridMultilevel"/>
    <w:lvl w:ilvl="0">
      <w:lvlJc w:val="left"/>
      <w:lvlText w:val="(%1)"/>
      <w:numFmt w:val="lowerRoman"/>
      <w:start w:val="8"/>
    </w:lvl>
  </w:abstractNum>
  <w:abstractNum w:abstractNumId="141">
    <w:nsid w:val="435D38D"/>
    <w:multiLevelType w:val="hybridMultilevel"/>
    <w:lvl w:ilvl="0">
      <w:lvlJc w:val="left"/>
      <w:lvlText w:val="(%1)"/>
      <w:numFmt w:val="lowerLetter"/>
      <w:start w:val="6"/>
    </w:lvl>
  </w:abstractNum>
  <w:abstractNum w:abstractNumId="142">
    <w:nsid w:val="822C0EF"/>
    <w:multiLevelType w:val="hybridMultilevel"/>
    <w:lvl w:ilvl="0">
      <w:lvlJc w:val="left"/>
      <w:lvlText w:val="(%1)"/>
      <w:numFmt w:val="lowerLetter"/>
      <w:start w:val="7"/>
    </w:lvl>
  </w:abstractNum>
  <w:abstractNum w:abstractNumId="143">
    <w:nsid w:val="57C5BB4F"/>
    <w:multiLevelType w:val="hybridMultilevel"/>
    <w:lvl w:ilvl="0">
      <w:lvlJc w:val="left"/>
      <w:lvlText w:val="(%1)"/>
      <w:numFmt w:val="lowerRoman"/>
      <w:start w:val="1"/>
    </w:lvl>
  </w:abstractNum>
  <w:abstractNum w:abstractNumId="144">
    <w:nsid w:val="1803D089"/>
    <w:multiLevelType w:val="hybridMultilevel"/>
    <w:lvl w:ilvl="0">
      <w:lvlJc w:val="left"/>
      <w:lvlText w:val="(%1)"/>
      <w:numFmt w:val="lowerLetter"/>
      <w:start w:val="10"/>
    </w:lvl>
  </w:abstractNum>
  <w:abstractNum w:abstractNumId="145">
    <w:nsid w:val="4F3A06D4"/>
    <w:multiLevelType w:val="hybridMultilevel"/>
    <w:lvl w:ilvl="0">
      <w:lvlJc w:val="left"/>
      <w:lvlText w:val="(%1)"/>
      <w:numFmt w:val="lowerLetter"/>
      <w:start w:val="12"/>
    </w:lvl>
  </w:abstractNum>
  <w:abstractNum w:abstractNumId="146">
    <w:nsid w:val="59A377B6"/>
    <w:multiLevelType w:val="hybridMultilevel"/>
    <w:lvl w:ilvl="0">
      <w:lvlJc w:val="left"/>
      <w:lvlText w:val="(%1)"/>
      <w:numFmt w:val="lowerLetter"/>
      <w:start w:val="1"/>
    </w:lvl>
  </w:abstractNum>
  <w:abstractNum w:abstractNumId="147">
    <w:nsid w:val="48AEB063"/>
    <w:multiLevelType w:val="hybridMultilevel"/>
    <w:lvl w:ilvl="0">
      <w:lvlJc w:val="left"/>
      <w:lvlText w:val="(%1)"/>
      <w:numFmt w:val="lowerLetter"/>
      <w:start w:val="2"/>
    </w:lvl>
  </w:abstractNum>
  <w:abstractNum w:abstractNumId="148">
    <w:nsid w:val="24E135"/>
    <w:multiLevelType w:val="hybridMultilevel"/>
    <w:lvl w:ilvl="0">
      <w:lvlJc w:val="left"/>
      <w:lvlText w:val="(%1)"/>
      <w:numFmt w:val="lowerLetter"/>
      <w:start w:val="1"/>
    </w:lvl>
  </w:abstractNum>
  <w:abstractNum w:abstractNumId="149">
    <w:nsid w:val="BB13C1"/>
    <w:multiLevelType w:val="hybridMultilevel"/>
    <w:lvl w:ilvl="0">
      <w:lvlJc w:val="left"/>
      <w:lvlText w:val="%1"/>
      <w:numFmt w:val="lowerRoman"/>
      <w:start w:val="1"/>
    </w:lvl>
    <w:lvl w:ilvl="1">
      <w:lvlJc w:val="left"/>
      <w:lvlText w:val="(%2)"/>
      <w:numFmt w:val="lowerRoman"/>
      <w:start w:val="2"/>
    </w:lvl>
  </w:abstractNum>
  <w:abstractNum w:abstractNumId="150">
    <w:nsid w:val="271210C7"/>
    <w:multiLevelType w:val="hybridMultilevel"/>
    <w:lvl w:ilvl="0">
      <w:lvlJc w:val="left"/>
      <w:lvlText w:val="(%1)"/>
      <w:numFmt w:val="lowerRoman"/>
      <w:start w:val="2"/>
    </w:lvl>
    <w:lvl w:ilvl="1">
      <w:lvlJc w:val="left"/>
      <w:lvlText w:val="%2"/>
      <w:numFmt w:val="lowerRoman"/>
      <w:start w:val="1"/>
    </w:lvl>
  </w:abstractNum>
  <w:abstractNum w:abstractNumId="151">
    <w:nsid w:val="217B22E4"/>
    <w:multiLevelType w:val="hybridMultilevel"/>
    <w:lvl w:ilvl="0">
      <w:lvlJc w:val="left"/>
      <w:lvlText w:val="%1"/>
      <w:numFmt w:val="lowerLetter"/>
      <w:start w:val="1"/>
    </w:lvl>
    <w:lvl w:ilvl="1">
      <w:lvlJc w:val="left"/>
      <w:lvlText w:val="(%2)"/>
      <w:numFmt w:val="lowerRoman"/>
      <w:start w:val="4"/>
    </w:lvl>
  </w:abstractNum>
  <w:abstractNum w:abstractNumId="152">
    <w:nsid w:val="53E31A24"/>
    <w:multiLevelType w:val="hybridMultilevel"/>
    <w:lvl w:ilvl="0">
      <w:lvlJc w:val="left"/>
      <w:lvlText w:val="(%1)"/>
      <w:numFmt w:val="lowerLetter"/>
      <w:start w:val="3"/>
    </w:lvl>
    <w:lvl w:ilvl="1">
      <w:lvlJc w:val="left"/>
      <w:lvlText w:val="%2"/>
      <w:numFmt w:val="lowerRoman"/>
      <w:start w:val="1"/>
    </w:lvl>
  </w:abstractNum>
  <w:abstractNum w:abstractNumId="153">
    <w:nsid w:val="6DC45E83"/>
    <w:multiLevelType w:val="hybridMultilevel"/>
    <w:lvl w:ilvl="0">
      <w:lvlJc w:val="left"/>
      <w:lvlText w:val="(%1)"/>
      <w:numFmt w:val="lowerLetter"/>
      <w:start w:val="1"/>
    </w:lvl>
  </w:abstractNum>
  <w:abstractNum w:abstractNumId="154">
    <w:nsid w:val="17304A67"/>
    <w:multiLevelType w:val="hybridMultilevel"/>
    <w:lvl w:ilvl="0">
      <w:lvlJc w:val="left"/>
      <w:lvlText w:val="(%1)"/>
      <w:numFmt w:val="lowerLetter"/>
      <w:start w:val="2"/>
    </w:lvl>
    <w:lvl w:ilvl="1">
      <w:lvlJc w:val="left"/>
      <w:lvlText w:val="(%2)"/>
      <w:numFmt w:val="lowerLetter"/>
      <w:start w:val="35"/>
    </w:lvl>
  </w:abstractNum>
  <w:abstractNum w:abstractNumId="155">
    <w:nsid w:val="2BB180D8"/>
    <w:multiLevelType w:val="hybridMultilevel"/>
    <w:lvl w:ilvl="0">
      <w:lvlJc w:val="left"/>
      <w:lvlText w:val="(%1)"/>
      <w:numFmt w:val="lowerLetter"/>
      <w:start w:val="1"/>
    </w:lvl>
  </w:abstractNum>
  <w:abstractNum w:abstractNumId="156">
    <w:nsid w:val="556B69ED"/>
    <w:multiLevelType w:val="hybridMultilevel"/>
    <w:lvl w:ilvl="0">
      <w:lvlJc w:val="left"/>
      <w:lvlText w:val="(%1)"/>
      <w:numFmt w:val="lowerLetter"/>
      <w:start w:val="1"/>
    </w:lvl>
  </w:abstractNum>
  <w:abstractNum w:abstractNumId="157">
    <w:nsid w:val="70836196"/>
    <w:multiLevelType w:val="hybridMultilevel"/>
    <w:lvl w:ilvl="0">
      <w:lvlJc w:val="left"/>
      <w:lvlText w:val="(%1)"/>
      <w:numFmt w:val="lowerLetter"/>
      <w:start w:val="2"/>
    </w:lvl>
  </w:abstractNum>
  <w:abstractNum w:abstractNumId="158">
    <w:nsid w:val="539F7F12"/>
    <w:multiLevelType w:val="hybridMultilevel"/>
    <w:lvl w:ilvl="0">
      <w:lvlJc w:val="left"/>
      <w:lvlText w:val="(%1)"/>
      <w:numFmt w:val="lowerRoman"/>
      <w:start w:val="2"/>
    </w:lvl>
  </w:abstractNum>
  <w:abstractNum w:abstractNumId="159">
    <w:nsid w:val="2817E7EC"/>
    <w:multiLevelType w:val="hybridMultilevel"/>
    <w:lvl w:ilvl="0">
      <w:lvlJc w:val="left"/>
      <w:lvlText w:val="(%1)"/>
      <w:numFmt w:val="lowerLetter"/>
      <w:start w:val="3"/>
    </w:lvl>
  </w:abstractNum>
  <w:abstractNum w:abstractNumId="160">
    <w:nsid w:val="71482545"/>
    <w:multiLevelType w:val="hybridMultilevel"/>
    <w:lvl w:ilvl="0">
      <w:lvlJc w:val="left"/>
      <w:lvlText w:val="%1"/>
      <w:numFmt w:val="lowerLetter"/>
      <w:start w:val="1"/>
    </w:lvl>
    <w:lvl w:ilvl="1">
      <w:lvlJc w:val="left"/>
      <w:lvlText w:val="(%2)"/>
      <w:numFmt w:val="lowerRoman"/>
      <w:start w:val="1"/>
    </w:lvl>
  </w:abstractNum>
  <w:abstractNum w:abstractNumId="161">
    <w:nsid w:val="17D78639"/>
    <w:multiLevelType w:val="hybridMultilevel"/>
    <w:lvl w:ilvl="0">
      <w:lvlJc w:val="left"/>
      <w:lvlText w:val="(%1)"/>
      <w:numFmt w:val="lowerLetter"/>
      <w:start w:val="25"/>
    </w:lvl>
    <w:lvl w:ilvl="1">
      <w:lvlJc w:val="left"/>
      <w:lvlText w:val="%2"/>
      <w:numFmt w:val="lowerRoman"/>
      <w:start w:val="1"/>
    </w:lvl>
  </w:abstractNum>
  <w:abstractNum w:abstractNumId="162">
    <w:nsid w:val="141D2302"/>
    <w:multiLevelType w:val="hybridMultilevel"/>
    <w:lvl w:ilvl="0">
      <w:lvlJc w:val="left"/>
      <w:lvlText w:val="(%1)"/>
      <w:numFmt w:val="lowerLetter"/>
      <w:start w:val="1"/>
    </w:lvl>
  </w:abstractNum>
  <w:abstractNum w:abstractNumId="163">
    <w:nsid w:val="407168D8"/>
    <w:multiLevelType w:val="hybridMultilevel"/>
    <w:lvl w:ilvl="0">
      <w:lvlJc w:val="left"/>
      <w:lvlText w:val="%1"/>
      <w:numFmt w:val="lowerLetter"/>
      <w:start w:val="1"/>
    </w:lvl>
    <w:lvl w:ilvl="1">
      <w:lvlJc w:val="left"/>
      <w:lvlText w:val="(%2)"/>
      <w:numFmt w:val="lowerRoman"/>
      <w:start w:val="1"/>
    </w:lvl>
  </w:abstractNum>
  <w:abstractNum w:abstractNumId="164">
    <w:nsid w:val="6A1B45E5"/>
    <w:multiLevelType w:val="hybridMultilevel"/>
    <w:lvl w:ilvl="0">
      <w:lvlJc w:val="left"/>
      <w:lvlText w:val="(%1)"/>
      <w:numFmt w:val="lowerLetter"/>
      <w:start w:val="25"/>
    </w:lvl>
    <w:lvl w:ilvl="1">
      <w:lvlJc w:val="left"/>
      <w:lvlText w:val="(%2)"/>
      <w:numFmt w:val="lowerRoman"/>
      <w:start w:val="4"/>
    </w:lvl>
  </w:abstractNum>
  <w:abstractNum w:abstractNumId="165">
    <w:nsid w:val="567BD50A"/>
    <w:multiLevelType w:val="hybridMultilevel"/>
    <w:lvl w:ilvl="0">
      <w:lvlJc w:val="left"/>
      <w:lvlText w:val="(%1)"/>
      <w:numFmt w:val="lowerLetter"/>
      <w:start w:val="3"/>
    </w:lvl>
  </w:abstractNum>
  <w:abstractNum w:abstractNumId="166">
    <w:nsid w:val="73BBD7F8"/>
    <w:multiLevelType w:val="hybridMultilevel"/>
    <w:lvl w:ilvl="0">
      <w:lvlJc w:val="left"/>
      <w:lvlText w:val="(%1)"/>
      <w:numFmt w:val="lowerLetter"/>
      <w:start w:val="4"/>
    </w:lvl>
  </w:abstractNum>
  <w:abstractNum w:abstractNumId="167">
    <w:nsid w:val="1876589D"/>
    <w:multiLevelType w:val="hybridMultilevel"/>
    <w:lvl w:ilvl="0">
      <w:lvlJc w:val="left"/>
      <w:lvlText w:val="%1"/>
      <w:numFmt w:val="lowerLetter"/>
      <w:start w:val="1"/>
    </w:lvl>
    <w:lvl w:ilvl="1">
      <w:lvlJc w:val="left"/>
      <w:lvlText w:val="(%2)"/>
      <w:numFmt w:val="lowerLetter"/>
      <w:start w:val="1"/>
    </w:lvl>
  </w:abstractNum>
  <w:abstractNum w:abstractNumId="168">
    <w:nsid w:val="327FAC77"/>
    <w:multiLevelType w:val="hybridMultilevel"/>
    <w:lvl w:ilvl="0">
      <w:lvlJc w:val="left"/>
      <w:lvlText w:val="(%1)"/>
      <w:numFmt w:val="lowerLetter"/>
      <w:start w:val="9"/>
    </w:lvl>
    <w:lvl w:ilvl="1">
      <w:lvlJc w:val="left"/>
      <w:lvlText w:val="%2"/>
      <w:numFmt w:val="lowerLetter"/>
      <w:start w:val="1"/>
    </w:lvl>
  </w:abstractNum>
  <w:abstractNum w:abstractNumId="169">
    <w:nsid w:val="5A606509"/>
    <w:multiLevelType w:val="hybridMultilevel"/>
    <w:lvl w:ilvl="0">
      <w:lvlJc w:val="left"/>
      <w:lvlText w:val="(%1)"/>
      <w:numFmt w:val="lowerLetter"/>
      <w:start w:val="5"/>
    </w:lvl>
    <w:lvl w:ilvl="1">
      <w:lvlJc w:val="left"/>
      <w:lvlText w:val="(%2)"/>
      <w:numFmt w:val="lowerLetter"/>
      <w:start w:val="2"/>
    </w:lvl>
  </w:abstractNum>
  <w:abstractNum w:abstractNumId="170">
    <w:nsid w:val="6F38E6D1"/>
    <w:multiLevelType w:val="hybridMultilevel"/>
    <w:lvl w:ilvl="0">
      <w:lvlJc w:val="left"/>
      <w:lvlText w:val="(%1)"/>
      <w:numFmt w:val="lowerLetter"/>
      <w:start w:val="3"/>
    </w:lvl>
  </w:abstractNum>
  <w:abstractNum w:abstractNumId="171">
    <w:nsid w:val="46111BA5"/>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72">
    <w:nsid w:val="5E963896"/>
    <w:multiLevelType w:val="hybridMultilevel"/>
    <w:lvl w:ilvl="0">
      <w:lvlJc w:val="left"/>
      <w:lvlText w:val="%1"/>
      <w:numFmt w:val="lowerLetter"/>
      <w:start w:val="1"/>
    </w:lvl>
    <w:lvl w:ilvl="1">
      <w:lvlJc w:val="left"/>
      <w:lvlText w:val="(%2)"/>
      <w:numFmt w:val="lowerRoman"/>
      <w:start w:val="2"/>
    </w:lvl>
  </w:abstractNum>
  <w:abstractNum w:abstractNumId="173">
    <w:nsid w:val="775BA7C1"/>
    <w:multiLevelType w:val="hybridMultilevel"/>
    <w:lvl w:ilvl="0">
      <w:lvlJc w:val="left"/>
      <w:lvlText w:val="(%1)"/>
      <w:numFmt w:val="lowerLetter"/>
      <w:start w:val="25"/>
    </w:lvl>
    <w:lvl w:ilvl="1">
      <w:lvlJc w:val="left"/>
      <w:lvlText w:val="(%2)"/>
      <w:numFmt w:val="lowerRoman"/>
      <w:start w:val="4"/>
    </w:lvl>
  </w:abstractNum>
  <w:abstractNum w:abstractNumId="174">
    <w:nsid w:val="1DD6D6F4"/>
    <w:multiLevelType w:val="hybridMultilevel"/>
    <w:lvl w:ilvl="0">
      <w:lvlJc w:val="left"/>
      <w:lvlText w:val="(%1)"/>
      <w:numFmt w:val="lowerLetter"/>
      <w:start w:val="6"/>
    </w:lvl>
  </w:abstractNum>
  <w:abstractNum w:abstractNumId="175">
    <w:nsid w:val="769A091F"/>
    <w:multiLevelType w:val="hybridMultilevel"/>
    <w:lvl w:ilvl="0">
      <w:lvlJc w:val="left"/>
      <w:lvlText w:val="(%1)"/>
      <w:numFmt w:val="lowerRoman"/>
      <w:start w:val="1"/>
    </w:lvl>
  </w:abstractNum>
  <w:abstractNum w:abstractNumId="176">
    <w:nsid w:val="4695AE95"/>
    <w:multiLevelType w:val="hybridMultilevel"/>
    <w:lvl w:ilvl="0">
      <w:lvlJc w:val="left"/>
      <w:lvlText w:val="(%1)"/>
      <w:numFmt w:val="lowerRoman"/>
      <w:start w:val="4"/>
    </w:lvl>
    <w:lvl w:ilvl="1">
      <w:lvlJc w:val="left"/>
      <w:lvlText w:val="(%2)"/>
      <w:numFmt w:val="lowerLetter"/>
      <w:start w:val="7"/>
    </w:lvl>
  </w:abstractNum>
  <w:abstractNum w:abstractNumId="177">
    <w:nsid w:val="777A4EAA"/>
    <w:multiLevelType w:val="hybridMultilevel"/>
    <w:lvl w:ilvl="0">
      <w:lvlJc w:val="left"/>
      <w:lvlText w:val="(%1)"/>
      <w:numFmt w:val="lowerLetter"/>
      <w:start w:val="1"/>
    </w:lvl>
  </w:abstractNum>
  <w:abstractNum w:abstractNumId="178">
    <w:nsid w:val="3F48B982"/>
    <w:multiLevelType w:val="hybridMultilevel"/>
    <w:lvl w:ilvl="0">
      <w:lvlJc w:val="left"/>
      <w:lvlText w:val="(%1)"/>
      <w:numFmt w:val="lowerLetter"/>
      <w:start w:val="3"/>
    </w:lvl>
  </w:abstractNum>
  <w:abstractNum w:abstractNumId="179">
    <w:nsid w:val="46BA8FCA"/>
    <w:multiLevelType w:val="hybridMultilevel"/>
    <w:lvl w:ilvl="0">
      <w:lvlJc w:val="left"/>
      <w:lvlText w:val="(%1)"/>
      <w:numFmt w:val="lowerLetter"/>
      <w:start w:val="4"/>
    </w:lvl>
  </w:abstractNum>
  <w:abstractNum w:abstractNumId="180">
    <w:nsid w:val="7835626C"/>
    <w:multiLevelType w:val="hybridMultilevel"/>
    <w:lvl w:ilvl="0">
      <w:lvlJc w:val="left"/>
      <w:lvlText w:val="(%1)"/>
      <w:numFmt w:val="lowerLetter"/>
      <w:start w:val="1"/>
    </w:lvl>
    <w:lvl w:ilvl="1">
      <w:lvlJc w:val="left"/>
      <w:lvlText w:val="(%2)"/>
      <w:numFmt w:val="lowerRoman"/>
      <w:start w:val="1"/>
    </w:lvl>
  </w:abstractNum>
  <w:abstractNum w:abstractNumId="181">
    <w:nsid w:val="665ACA49"/>
    <w:multiLevelType w:val="hybridMultilevel"/>
    <w:lvl w:ilvl="0">
      <w:lvlJc w:val="left"/>
      <w:lvlText w:val="(%1)"/>
      <w:numFmt w:val="lowerRoman"/>
      <w:start w:val="3"/>
    </w:lvl>
    <w:lvl w:ilvl="1">
      <w:lvlJc w:val="left"/>
      <w:lvlText w:val="(%2)"/>
      <w:numFmt w:val="upperLetter"/>
      <w:start w:val="1"/>
    </w:lvl>
  </w:abstractNum>
  <w:abstractNum w:abstractNumId="182">
    <w:nsid w:val="6835B2AE"/>
    <w:multiLevelType w:val="hybridMultilevel"/>
    <w:lvl w:ilvl="0">
      <w:lvlJc w:val="left"/>
      <w:lvlText w:val="%1"/>
      <w:numFmt w:val="lowerLetter"/>
      <w:start w:val="1"/>
    </w:lvl>
    <w:lvl w:ilvl="1">
      <w:lvlJc w:val="left"/>
      <w:lvlText w:val="(%2)"/>
      <w:numFmt w:val="lowerRoman"/>
      <w:start w:val="4"/>
    </w:lvl>
  </w:abstractNum>
  <w:abstractNum w:abstractNumId="183">
    <w:nsid w:val="4C187C90"/>
    <w:multiLevelType w:val="hybridMultilevel"/>
    <w:lvl w:ilvl="0">
      <w:lvlJc w:val="left"/>
      <w:lvlText w:val="(%1)"/>
      <w:numFmt w:val="lowerLetter"/>
      <w:start w:val="2"/>
    </w:lvl>
    <w:lvl w:ilvl="1">
      <w:lvlJc w:val="left"/>
      <w:lvlText w:val="%2"/>
      <w:numFmt w:val="lowerRoman"/>
      <w:start w:val="1"/>
    </w:lvl>
  </w:abstractNum>
  <w:abstractNum w:abstractNumId="184">
    <w:nsid w:val="541F28CD"/>
    <w:multiLevelType w:val="hybridMultilevel"/>
    <w:lvl w:ilvl="0">
      <w:lvlJc w:val="left"/>
      <w:lvlText w:val="(%1)"/>
      <w:numFmt w:val="lowerLetter"/>
      <w:start w:val="1"/>
    </w:lvl>
  </w:abstractNum>
  <w:abstractNum w:abstractNumId="185">
    <w:nsid w:val="7F65FD16"/>
    <w:multiLevelType w:val="hybridMultilevel"/>
    <w:lvl w:ilvl="0">
      <w:lvlJc w:val="left"/>
      <w:lvlText w:val="(%1)"/>
      <w:numFmt w:val="lowerRoman"/>
      <w:start w:val="1"/>
    </w:lvl>
    <w:lvl w:ilvl="1">
      <w:lvlJc w:val="left"/>
      <w:lvlText w:val="(%2)"/>
      <w:numFmt w:val="upperLetter"/>
      <w:start w:val="1"/>
    </w:lvl>
  </w:abstractNum>
  <w:abstractNum w:abstractNumId="186">
    <w:nsid w:val="77C9FD68"/>
    <w:multiLevelType w:val="hybridMultilevel"/>
    <w:lvl w:ilvl="0">
      <w:lvlJc w:val="left"/>
      <w:lvlText w:val="(%1)"/>
      <w:numFmt w:val="upperLetter"/>
      <w:start w:val="4"/>
    </w:lvl>
  </w:abstractNum>
  <w:abstractNum w:abstractNumId="187">
    <w:nsid w:val="298A92BA"/>
    <w:multiLevelType w:val="hybridMultilevel"/>
    <w:lvl w:ilvl="0">
      <w:lvlJc w:val="left"/>
      <w:lvlText w:val="%1"/>
      <w:numFmt w:val="decimal"/>
      <w:start w:val="1"/>
    </w:lvl>
    <w:lvl w:ilvl="1">
      <w:lvlJc w:val="left"/>
      <w:lvlText w:val="(%2)"/>
      <w:numFmt w:val="upperLetter"/>
      <w:start w:val="8"/>
    </w:lvl>
  </w:abstractNum>
  <w:abstractNum w:abstractNumId="188">
    <w:nsid w:val="6FE95EAC"/>
    <w:multiLevelType w:val="hybridMultilevel"/>
    <w:lvl w:ilvl="0">
      <w:lvlJc w:val="left"/>
      <w:lvlText w:val="(%1)"/>
      <w:numFmt w:val="decimal"/>
      <w:start w:val="12"/>
    </w:lvl>
    <w:lvl w:ilvl="1">
      <w:lvlJc w:val="left"/>
      <w:lvlText w:val="(%2)"/>
      <w:numFmt w:val="upperLetter"/>
      <w:start w:val="12"/>
    </w:lvl>
  </w:abstractNum>
  <w:abstractNum w:abstractNumId="189">
    <w:nsid w:val="4B697C7A"/>
    <w:multiLevelType w:val="hybridMultilevel"/>
    <w:lvl w:ilvl="0">
      <w:lvlJc w:val="left"/>
      <w:lvlText w:val="(%1)"/>
      <w:numFmt w:val="lowerRoman"/>
      <w:start w:val="3"/>
    </w:lvl>
  </w:abstractNum>
  <w:abstractNum w:abstractNumId="190">
    <w:nsid w:val="51A27AA6"/>
    <w:multiLevelType w:val="hybridMultilevel"/>
    <w:lvl w:ilvl="0">
      <w:lvlJc w:val="left"/>
      <w:lvlText w:val="(%1)"/>
      <w:numFmt w:val="lowerRoman"/>
      <w:start w:val="4"/>
    </w:lvl>
    <w:lvl w:ilvl="1">
      <w:lvlJc w:val="left"/>
      <w:lvlText w:val="(%2)"/>
      <w:numFmt w:val="upperLetter"/>
      <w:start w:val="1"/>
    </w:lvl>
    <w:lvl w:ilvl="2">
      <w:lvlJc w:val="left"/>
      <w:lvlText w:val="(%3)"/>
      <w:numFmt w:val="upperLetter"/>
      <w:start w:val="9"/>
    </w:lvl>
  </w:abstractNum>
  <w:abstractNum w:abstractNumId="191">
    <w:nsid w:val="613183F2"/>
    <w:multiLevelType w:val="hybridMultilevel"/>
    <w:lvl w:ilvl="0">
      <w:lvlJc w:val="left"/>
      <w:lvlText w:val="%1"/>
      <w:numFmt w:val="upperLetter"/>
      <w:start w:val="1"/>
    </w:lvl>
    <w:lvl w:ilvl="1">
      <w:lvlJc w:val="left"/>
      <w:lvlText w:val="(%2)"/>
      <w:numFmt w:val="upperLetter"/>
      <w:start w:val="35"/>
    </w:lvl>
  </w:abstractNum>
  <w:abstractNum w:abstractNumId="192">
    <w:nsid w:val="634102B4"/>
    <w:multiLevelType w:val="hybridMultilevel"/>
    <w:lvl w:ilvl="0">
      <w:lvlJc w:val="left"/>
      <w:lvlText w:val="(%1)"/>
      <w:numFmt w:val="upperLetter"/>
      <w:start w:val="2"/>
    </w:lvl>
    <w:lvl w:ilvl="1">
      <w:lvlJc w:val="left"/>
      <w:lvlText w:val="%2"/>
      <w:numFmt w:val="upperLetter"/>
      <w:start w:val="1"/>
    </w:lvl>
  </w:abstractNum>
  <w:abstractNum w:abstractNumId="193">
    <w:nsid w:val="65BF9DA8"/>
    <w:multiLevelType w:val="hybridMultilevel"/>
    <w:lvl w:ilvl="0">
      <w:lvlJc w:val="left"/>
      <w:lvlText w:val="%1"/>
      <w:numFmt w:val="decimal"/>
      <w:start w:val="1"/>
    </w:lvl>
    <w:lvl w:ilvl="1">
      <w:lvlJc w:val="left"/>
      <w:lvlText w:val="(%2)"/>
      <w:numFmt w:val="upperLetter"/>
      <w:start w:val="3"/>
    </w:lvl>
  </w:abstractNum>
  <w:abstractNum w:abstractNumId="194">
    <w:nsid w:val="21A2ECCA"/>
    <w:multiLevelType w:val="hybridMultilevel"/>
    <w:lvl w:ilvl="0">
      <w:lvlJc w:val="left"/>
      <w:lvlText w:val="(%1)"/>
      <w:numFmt w:val="decimal"/>
      <w:start w:val="3"/>
    </w:lvl>
    <w:lvl w:ilvl="1">
      <w:lvlJc w:val="left"/>
      <w:lvlText w:val="(%2)"/>
      <w:numFmt w:val="upperLetter"/>
      <w:start w:val="7"/>
    </w:lvl>
  </w:abstractNum>
  <w:abstractNum w:abstractNumId="195">
    <w:nsid w:val="4D5C4899"/>
    <w:multiLevelType w:val="hybridMultilevel"/>
    <w:lvl w:ilvl="0">
      <w:lvlJc w:val="left"/>
      <w:lvlText w:val="%1"/>
      <w:numFmt w:val="lowerLetter"/>
      <w:start w:val="1"/>
    </w:lvl>
    <w:lvl w:ilvl="1">
      <w:lvlJc w:val="left"/>
      <w:lvlText w:val="(%2)"/>
      <w:numFmt w:val="upperLetter"/>
      <w:start w:val="8"/>
    </w:lvl>
  </w:abstractNum>
  <w:abstractNum w:abstractNumId="196">
    <w:nsid w:val="3C3B72B2"/>
    <w:multiLevelType w:val="hybridMultilevel"/>
    <w:lvl w:ilvl="0">
      <w:lvlJc w:val="left"/>
      <w:lvlText w:val="(%1)"/>
      <w:numFmt w:val="lowerLetter"/>
      <w:start w:val="2"/>
    </w:lvl>
    <w:lvl w:ilvl="1">
      <w:lvlJc w:val="left"/>
      <w:lvlText w:val="%2"/>
      <w:numFmt w:val="upperLetter"/>
      <w:start w:val="1"/>
    </w:lvl>
  </w:abstractNum>
  <w:abstractNum w:abstractNumId="197">
    <w:nsid w:val="155EC4C2"/>
    <w:multiLevelType w:val="hybridMultilevel"/>
    <w:lvl w:ilvl="0">
      <w:lvlJc w:val="left"/>
      <w:lvlText w:val="%1"/>
      <w:numFmt w:val="lowerLetter"/>
      <w:start w:val="1"/>
    </w:lvl>
    <w:lvl w:ilvl="1">
      <w:lvlJc w:val="left"/>
      <w:lvlText w:val="(%2)"/>
      <w:numFmt w:val="lowerLetter"/>
      <w:start w:val="22"/>
    </w:lvl>
  </w:abstractNum>
  <w:abstractNum w:abstractNumId="198">
    <w:nsid w:val="65D2A137"/>
    <w:multiLevelType w:val="hybridMultilevel"/>
    <w:lvl w:ilvl="0">
      <w:lvlJc w:val="left"/>
      <w:lvlText w:val="(%1)"/>
      <w:numFmt w:val="lowerLetter"/>
      <w:start w:val="2"/>
    </w:lvl>
    <w:lvl w:ilvl="1">
      <w:lvlJc w:val="left"/>
      <w:lvlText w:val="(%2)"/>
      <w:numFmt w:val="lowerLetter"/>
      <w:start w:val="9"/>
    </w:lvl>
  </w:abstractNum>
  <w:abstractNum w:abstractNumId="199">
    <w:nsid w:val="6EBB1F2A"/>
    <w:multiLevelType w:val="hybridMultilevel"/>
    <w:lvl w:ilvl="0">
      <w:lvlJc w:val="left"/>
      <w:lvlText w:val="%1"/>
      <w:numFmt w:val="lowerLetter"/>
      <w:start w:val="1"/>
    </w:lvl>
    <w:lvl w:ilvl="1">
      <w:lvlJc w:val="left"/>
      <w:lvlText w:val="(%2)"/>
      <w:numFmt w:val="lowerRoman"/>
      <w:start w:val="2"/>
    </w:lvl>
  </w:abstractNum>
  <w:abstractNum w:abstractNumId="200">
    <w:nsid w:val="6FBF29CB"/>
    <w:multiLevelType w:val="hybridMultilevel"/>
    <w:lvl w:ilvl="0">
      <w:lvlJc w:val="left"/>
      <w:lvlText w:val="(%1)"/>
      <w:numFmt w:val="lowerLetter"/>
      <w:start w:val="3"/>
    </w:lvl>
    <w:lvl w:ilvl="1">
      <w:lvlJc w:val="left"/>
      <w:lvlText w:val="(%2)"/>
      <w:numFmt w:val="lowerRoman"/>
      <w:start w:val="1"/>
    </w:lvl>
  </w:abstractNum>
  <w:abstractNum w:abstractNumId="201">
    <w:nsid w:val="550B8808"/>
    <w:multiLevelType w:val="hybridMultilevel"/>
    <w:lvl w:ilvl="0">
      <w:lvlJc w:val="left"/>
      <w:lvlText w:val="(%1)"/>
      <w:numFmt w:val="upperLetter"/>
      <w:start w:val="1"/>
    </w:lvl>
  </w:abstractNum>
  <w:abstractNum w:abstractNumId="202">
    <w:nsid w:val="34CC3ACF"/>
    <w:multiLevelType w:val="hybridMultilevel"/>
    <w:lvl w:ilvl="0">
      <w:lvlJc w:val="left"/>
      <w:lvlText w:val="%1"/>
      <w:numFmt w:val="lowerRoman"/>
      <w:start w:val="1"/>
    </w:lvl>
    <w:lvl w:ilvl="1">
      <w:lvlJc w:val="left"/>
      <w:lvlText w:val="(%2)"/>
      <w:numFmt w:val="upperLetter"/>
      <w:start w:val="2"/>
    </w:lvl>
  </w:abstractNum>
  <w:abstractNum w:abstractNumId="203">
    <w:nsid w:val="4E556261"/>
    <w:multiLevelType w:val="hybridMultilevel"/>
    <w:lvl w:ilvl="0">
      <w:lvlJc w:val="left"/>
      <w:lvlText w:val="(%1)"/>
      <w:numFmt w:val="lowerRoman"/>
      <w:start w:val="2"/>
    </w:lvl>
    <w:lvl w:ilvl="1">
      <w:lvlJc w:val="left"/>
      <w:lvlText w:val="(%2)"/>
      <w:numFmt w:val="upperLetter"/>
      <w:start w:val="1"/>
    </w:lvl>
  </w:abstractNum>
  <w:abstractNum w:abstractNumId="204">
    <w:nsid w:val="4C672FC9"/>
    <w:multiLevelType w:val="hybridMultilevel"/>
    <w:lvl w:ilvl="0">
      <w:lvlJc w:val="left"/>
      <w:lvlText w:val="(%1)"/>
      <w:numFmt w:val="lowerLetter"/>
      <w:start w:val="1"/>
    </w:lvl>
    <w:lvl w:ilvl="1">
      <w:lvlJc w:val="left"/>
      <w:lvlText w:val="(%2)"/>
      <w:numFmt w:val="lowerRoman"/>
      <w:start w:val="1"/>
    </w:lvl>
  </w:abstractNum>
  <w:abstractNum w:abstractNumId="205">
    <w:nsid w:val="52A311C3"/>
    <w:multiLevelType w:val="hybridMultilevel"/>
    <w:lvl w:ilvl="0">
      <w:lvlJc w:val="left"/>
      <w:lvlText w:val="(%1)"/>
      <w:numFmt w:val="lowerLetter"/>
      <w:start w:val="3"/>
    </w:lvl>
  </w:abstractNum>
  <w:abstractNum w:abstractNumId="206">
    <w:nsid w:val="44EF6B80"/>
    <w:multiLevelType w:val="hybridMultilevel"/>
    <w:lvl w:ilvl="0">
      <w:lvlJc w:val="left"/>
      <w:lvlText w:val="%1"/>
      <w:numFmt w:val="lowerLetter"/>
      <w:start w:val="1"/>
    </w:lvl>
    <w:lvl w:ilvl="1">
      <w:lvlJc w:val="left"/>
      <w:lvlText w:val="(%2)"/>
      <w:numFmt w:val="lowerLetter"/>
      <w:start w:val="35"/>
    </w:lvl>
  </w:abstractNum>
  <w:abstractNum w:abstractNumId="207">
    <w:nsid w:val="12FCDE5E"/>
    <w:multiLevelType w:val="hybridMultilevel"/>
    <w:lvl w:ilvl="0">
      <w:lvlJc w:val="left"/>
      <w:lvlText w:val="(%1)"/>
      <w:numFmt w:val="lowerLetter"/>
      <w:start w:val="4"/>
    </w:lvl>
    <w:lvl w:ilvl="1">
      <w:lvlJc w:val="left"/>
      <w:lvlText w:val="%2"/>
      <w:numFmt w:val="lowerLetter"/>
      <w:start w:val="1"/>
    </w:lvl>
  </w:abstractNum>
  <w:abstractNum w:abstractNumId="208">
    <w:nsid w:val="4A1D606E"/>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4)"/>
      <w:numFmt w:val="upperLetter"/>
      <w:start w:val="9"/>
    </w:lvl>
  </w:abstractNum>
  <w:abstractNum w:abstractNumId="209">
    <w:nsid w:val="4382503"/>
    <w:multiLevelType w:val="hybridMultilevel"/>
    <w:lvl w:ilvl="0">
      <w:lvlJc w:val="left"/>
      <w:lvlText w:val="%1"/>
      <w:numFmt w:val="lowerLetter"/>
      <w:start w:val="1"/>
    </w:lvl>
    <w:lvl w:ilvl="1">
      <w:lvlJc w:val="left"/>
      <w:lvlText w:val="(%2)"/>
      <w:numFmt w:val="lowerRoman"/>
      <w:start w:val="10"/>
    </w:lvl>
    <w:lvl w:ilvl="2">
      <w:lvlJc w:val="left"/>
      <w:lvlText w:val="%3"/>
      <w:numFmt w:val="upperLetter"/>
      <w:start w:val="1"/>
    </w:lvl>
    <w:lvl w:ilvl="3">
      <w:lvlJc w:val="left"/>
      <w:lvlText w:val="%4"/>
      <w:numFmt w:val="upperLetter"/>
      <w:start w:val="1"/>
    </w:lvl>
  </w:abstractNum>
  <w:abstractNum w:abstractNumId="210">
    <w:nsid w:val="59B76E28"/>
    <w:multiLevelType w:val="hybridMultilevel"/>
    <w:lvl w:ilvl="0">
      <w:lvlJc w:val="left"/>
      <w:lvlText w:val="(%1)"/>
      <w:numFmt w:val="upperLetter"/>
      <w:start w:val="35"/>
    </w:lvl>
  </w:abstractNum>
  <w:abstractNum w:abstractNumId="211">
    <w:nsid w:val="4252C2DA"/>
    <w:multiLevelType w:val="hybridMultilevel"/>
    <w:lvl w:ilvl="0">
      <w:lvlJc w:val="left"/>
      <w:lvlText w:val="(%1)"/>
      <w:numFmt w:val="upperLetter"/>
      <w:start w:val="61"/>
    </w:lvl>
  </w:abstractNum>
  <w:abstractNum w:abstractNumId="212">
    <w:nsid w:val="6A92EF4C"/>
    <w:multiLevelType w:val="hybridMultilevel"/>
    <w:lvl w:ilvl="0">
      <w:lvlJc w:val="left"/>
      <w:lvlText w:val="(%1)"/>
      <w:numFmt w:val="upperLetter"/>
      <w:start w:val="3"/>
    </w:lvl>
  </w:abstractNum>
  <w:abstractNum w:abstractNumId="213">
    <w:nsid w:val="41ED20D7"/>
    <w:multiLevelType w:val="hybridMultilevel"/>
    <w:lvl w:ilvl="0">
      <w:lvlJc w:val="left"/>
      <w:lvlText w:val="%1"/>
      <w:numFmt w:val="lowerLetter"/>
      <w:start w:val="1"/>
    </w:lvl>
    <w:lvl w:ilvl="1">
      <w:lvlJc w:val="left"/>
      <w:lvlText w:val="(%2)"/>
      <w:numFmt w:val="lowerLetter"/>
      <w:start w:val="61"/>
    </w:lvl>
  </w:abstractNum>
  <w:abstractNum w:abstractNumId="214">
    <w:nsid w:val="E6B3F6A"/>
    <w:multiLevelType w:val="hybridMultilevel"/>
    <w:lvl w:ilvl="0">
      <w:lvlJc w:val="left"/>
      <w:lvlText w:val="(%1)"/>
      <w:numFmt w:val="lowerLetter"/>
      <w:start w:val="6"/>
    </w:lvl>
    <w:lvl w:ilvl="1">
      <w:lvlJc w:val="left"/>
      <w:lvlText w:val="%2"/>
      <w:numFmt w:val="lowerLetter"/>
      <w:start w:val="1"/>
    </w:lvl>
  </w:abstractNum>
  <w:abstractNum w:abstractNumId="215">
    <w:nsid w:val="3EB21819"/>
    <w:multiLevelType w:val="hybridMultilevel"/>
    <w:lvl w:ilvl="0">
      <w:lvlJc w:val="left"/>
      <w:lvlText w:val="(%1)"/>
      <w:numFmt w:val="lowerRoman"/>
      <w:start w:val="2"/>
    </w:lvl>
  </w:abstractNum>
  <w:abstractNum w:abstractNumId="216">
    <w:nsid w:val="41531DED"/>
    <w:multiLevelType w:val="hybridMultilevel"/>
    <w:lvl w:ilvl="0">
      <w:lvlJc w:val="left"/>
      <w:lvlText w:val="(%1)"/>
      <w:numFmt w:val="lowerRoman"/>
      <w:start w:val="10"/>
    </w:lvl>
  </w:abstractNum>
  <w:abstractNum w:abstractNumId="217">
    <w:nsid w:val="6353CD2"/>
    <w:multiLevelType w:val="hybridMultilevel"/>
    <w:lvl w:ilvl="0">
      <w:lvlJc w:val="left"/>
      <w:lvlText w:val="(%1)"/>
      <w:numFmt w:val="lowerLetter"/>
      <w:start w:val="1"/>
    </w:lvl>
    <w:lvl w:ilvl="1">
      <w:lvlJc w:val="left"/>
      <w:lvlText w:val="(%2)"/>
      <w:numFmt w:val="lowerRoman"/>
      <w:start w:val="1"/>
    </w:lvl>
  </w:abstractNum>
  <w:abstractNum w:abstractNumId="218">
    <w:nsid w:val="683CAAD3"/>
    <w:multiLevelType w:val="hybridMultilevel"/>
    <w:lvl w:ilvl="0">
      <w:lvlJc w:val="left"/>
      <w:lvlText w:val="(%1)"/>
      <w:numFmt w:val="lowerLetter"/>
      <w:start w:val="2"/>
    </w:lvl>
  </w:abstractNum>
  <w:abstractNum w:abstractNumId="219">
    <w:nsid w:val="313C7C99"/>
    <w:multiLevelType w:val="hybridMultilevel"/>
    <w:lvl w:ilvl="0">
      <w:lvlJc w:val="left"/>
      <w:lvlText w:val="(%1)"/>
      <w:numFmt w:val="lowerLetter"/>
      <w:start w:val="3"/>
    </w:lvl>
  </w:abstractNum>
  <w:abstractNum w:abstractNumId="220">
    <w:nsid w:val="519EB94C"/>
    <w:multiLevelType w:val="hybridMultilevel"/>
    <w:lvl w:ilvl="0">
      <w:lvlJc w:val="left"/>
      <w:lvlText w:val="(%1)"/>
      <w:numFmt w:val="lowerLetter"/>
      <w:start w:val="5"/>
    </w:lvl>
  </w:abstractNum>
  <w:abstractNum w:abstractNumId="221">
    <w:nsid w:val="39DF2579"/>
    <w:multiLevelType w:val="hybridMultilevel"/>
    <w:lvl w:ilvl="0">
      <w:lvlJc w:val="left"/>
      <w:lvlText w:val="(%1)"/>
      <w:numFmt w:val="lowerLetter"/>
      <w:start w:val="1"/>
    </w:lvl>
  </w:abstractNum>
  <w:abstractNum w:abstractNumId="222">
    <w:nsid w:val="126E008B"/>
    <w:multiLevelType w:val="hybridMultilevel"/>
    <w:lvl w:ilvl="0">
      <w:lvlJc w:val="left"/>
      <w:lvlText w:val="(%1)"/>
      <w:numFmt w:val="lowerLetter"/>
      <w:start w:val="2"/>
    </w:lvl>
  </w:abstractNum>
  <w:abstractNum w:abstractNumId="223">
    <w:nsid w:val="34DFBC00"/>
    <w:multiLevelType w:val="hybridMultilevel"/>
    <w:lvl w:ilvl="0">
      <w:lvlJc w:val="left"/>
      <w:lvlText w:val="(%1)"/>
      <w:numFmt w:val="lowerLetter"/>
      <w:start w:val="1"/>
    </w:lvl>
  </w:abstractNum>
  <w:abstractNum w:abstractNumId="224">
    <w:nsid w:val="1F9EC322"/>
    <w:multiLevelType w:val="hybridMultilevel"/>
    <w:lvl w:ilvl="0">
      <w:lvlJc w:val="left"/>
      <w:lvlText w:val="(%1)"/>
      <w:numFmt w:val="lowerLetter"/>
      <w:start w:val="1"/>
    </w:lvl>
    <w:lvl w:ilvl="1">
      <w:lvlJc w:val="left"/>
      <w:lvlText w:val="(%2)"/>
      <w:numFmt w:val="lowerRoman"/>
      <w:start w:val="1"/>
    </w:lvl>
  </w:abstractNum>
  <w:abstractNum w:abstractNumId="225">
    <w:nsid w:val="3410ED56"/>
    <w:multiLevelType w:val="hybridMultilevel"/>
    <w:lvl w:ilvl="0">
      <w:lvlJc w:val="left"/>
      <w:lvlText w:val="(%1)"/>
      <w:numFmt w:val="upperLetter"/>
      <w:start w:val="1"/>
    </w:lvl>
  </w:abstractNum>
  <w:abstractNum w:abstractNumId="226">
    <w:nsid w:val="23C049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227">
    <w:nsid w:val="5BDA35D4"/>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228">
    <w:nsid w:val="496FB21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29">
    <w:nsid w:val="680EA5D1"/>
    <w:multiLevelType w:val="hybridMultilevel"/>
    <w:lvl w:ilvl="0">
      <w:lvlJc w:val="left"/>
      <w:lvlText w:val="(%1)"/>
      <w:numFmt w:val="lowerRoman"/>
      <w:start w:val="9"/>
    </w:lvl>
  </w:abstractNum>
  <w:abstractNum w:abstractNumId="230">
    <w:nsid w:val="4A9554FE"/>
    <w:multiLevelType w:val="hybridMultilevel"/>
    <w:lvl w:ilvl="0">
      <w:lvlJc w:val="left"/>
      <w:lvlText w:val="(%1)"/>
      <w:numFmt w:val="lowerLetter"/>
      <w:start w:val="2"/>
    </w:lvl>
  </w:abstractNum>
  <w:abstractNum w:abstractNumId="231">
    <w:nsid w:val="392EDBE4"/>
    <w:multiLevelType w:val="hybridMultilevel"/>
    <w:lvl w:ilvl="0">
      <w:lvlJc w:val="left"/>
      <w:lvlText w:val="%1"/>
      <w:numFmt w:val="lowerLetter"/>
      <w:start w:val="1"/>
    </w:lvl>
    <w:lvl w:ilvl="1">
      <w:lvlJc w:val="left"/>
      <w:lvlText w:val="(%2)"/>
      <w:numFmt w:val="lowerLetter"/>
      <w:start w:val="1"/>
    </w:lvl>
  </w:abstractNum>
  <w:abstractNum w:abstractNumId="232">
    <w:nsid w:val="3D1A2DD9"/>
    <w:multiLevelType w:val="hybridMultilevel"/>
    <w:lvl w:ilvl="0">
      <w:lvlJc w:val="left"/>
      <w:lvlText w:val="(%1)"/>
      <w:numFmt w:val="lowerLetter"/>
      <w:start w:val="2"/>
    </w:lvl>
    <w:lvl w:ilvl="1">
      <w:lvlJc w:val="left"/>
      <w:lvlText w:val="(%2)"/>
      <w:numFmt w:val="lowerLetter"/>
      <w:start w:val="2"/>
    </w:lvl>
  </w:abstractNum>
  <w:abstractNum w:abstractNumId="233">
    <w:nsid w:val="7F618FCD"/>
    <w:multiLevelType w:val="hybridMultilevel"/>
    <w:lvl w:ilvl="0">
      <w:lvlJc w:val="left"/>
      <w:lvlText w:val="(%1)"/>
      <w:numFmt w:val="lowerLetter"/>
      <w:start w:val="1"/>
    </w:lvl>
  </w:abstractNum>
  <w:abstractNum w:abstractNumId="234">
    <w:nsid w:val="7843E45"/>
    <w:multiLevelType w:val="hybridMultilevel"/>
    <w:lvl w:ilvl="0">
      <w:lvlJc w:val="left"/>
      <w:lvlText w:val="(%1)"/>
      <w:numFmt w:val="lowerLetter"/>
      <w:start w:val="3"/>
    </w:lvl>
  </w:abstractNum>
  <w:abstractNum w:abstractNumId="235">
    <w:nsid w:val="9815DA3"/>
    <w:multiLevelType w:val="hybridMultilevel"/>
    <w:lvl w:ilvl="0">
      <w:lvlJc w:val="left"/>
      <w:lvlText w:val="(%1)"/>
      <w:numFmt w:val="lowerLetter"/>
      <w:start w:val="1"/>
    </w:lvl>
  </w:abstractNum>
  <w:abstractNum w:abstractNumId="236">
    <w:nsid w:val="5204A191"/>
    <w:multiLevelType w:val="hybridMultilevel"/>
    <w:lvl w:ilvl="0">
      <w:lvlJc w:val="left"/>
      <w:lvlText w:val="(%1)"/>
      <w:numFmt w:val="lowerLetter"/>
      <w:start w:val="1"/>
    </w:lvl>
  </w:abstractNum>
  <w:abstractNum w:abstractNumId="237">
    <w:nsid w:val="4C73A9C6"/>
    <w:multiLevelType w:val="hybridMultilevel"/>
    <w:lvl w:ilvl="0">
      <w:lvlJc w:val="left"/>
      <w:lvlText w:val="(%1)"/>
      <w:numFmt w:val="lowerRoman"/>
      <w:start w:val="1"/>
    </w:lvl>
    <w:lvl w:ilvl="1">
      <w:lvlJc w:val="left"/>
      <w:lvlText w:val="(%2)"/>
      <w:numFmt w:val="decimal"/>
      <w:start w:val="1"/>
    </w:lvl>
  </w:abstractNum>
  <w:abstractNum w:abstractNumId="238">
    <w:nsid w:val="1C7E3C01"/>
    <w:multiLevelType w:val="hybridMultilevel"/>
    <w:lvl w:ilvl="0">
      <w:lvlJc w:val="left"/>
      <w:lvlText w:val="%1"/>
      <w:numFmt w:val="lowerLetter"/>
      <w:start w:val="1"/>
    </w:lvl>
    <w:lvl w:ilvl="1">
      <w:lvlJc w:val="left"/>
      <w:lvlText w:val="(%2)"/>
      <w:numFmt w:val="lowerLetter"/>
      <w:start w:val="1"/>
    </w:lvl>
  </w:abstractNum>
  <w:abstractNum w:abstractNumId="239">
    <w:nsid w:val="1C2201FF"/>
    <w:multiLevelType w:val="hybridMultilevel"/>
    <w:lvl w:ilvl="0">
      <w:lvlJc w:val="left"/>
      <w:lvlText w:val="(%1)"/>
      <w:numFmt w:val="lowerLetter"/>
      <w:start w:val="9"/>
    </w:lvl>
    <w:lvl w:ilvl="1">
      <w:lvlJc w:val="left"/>
      <w:lvlText w:val="%2"/>
      <w:numFmt w:val="lowerLetter"/>
      <w:start w:val="1"/>
    </w:lvl>
  </w:abstractNum>
  <w:abstractNum w:abstractNumId="240">
    <w:nsid w:val="50ABCEC9"/>
    <w:multiLevelType w:val="hybridMultilevel"/>
    <w:lvl w:ilvl="0">
      <w:lvlJc w:val="left"/>
      <w:lvlText w:val="(%1)"/>
      <w:numFmt w:val="lowerLetter"/>
      <w:start w:val="2"/>
    </w:lvl>
  </w:abstractNum>
  <w:abstractNum w:abstractNumId="241">
    <w:nsid w:val="7635AA2A"/>
    <w:multiLevelType w:val="hybridMultilevel"/>
    <w:lvl w:ilvl="0">
      <w:lvlJc w:val="left"/>
      <w:lvlText w:val="(%1)"/>
      <w:numFmt w:val="lowerLetter"/>
      <w:start w:val="1"/>
    </w:lvl>
  </w:abstractNum>
  <w:abstractNum w:abstractNumId="242">
    <w:nsid w:val="5E74C4D9"/>
    <w:multiLevelType w:val="hybridMultilevel"/>
    <w:lvl w:ilvl="0">
      <w:lvlJc w:val="left"/>
      <w:lvlText w:val="(%1)"/>
      <w:numFmt w:val="lowerLetter"/>
      <w:start w:val="1"/>
    </w:lvl>
  </w:abstractNum>
  <w:abstractNum w:abstractNumId="243">
    <w:nsid w:val="3B3EBE15"/>
    <w:multiLevelType w:val="hybridMultilevel"/>
    <w:lvl w:ilvl="0">
      <w:lvlJc w:val="left"/>
      <w:lvlText w:val="(%1)"/>
      <w:numFmt w:val="lowerLetter"/>
      <w:start w:val="1"/>
    </w:lvl>
  </w:abstractNum>
  <w:abstractNum w:abstractNumId="244">
    <w:nsid w:val="3822CB01"/>
    <w:multiLevelType w:val="hybridMultilevel"/>
    <w:lvl w:ilvl="0">
      <w:lvlJc w:val="left"/>
      <w:lvlText w:val="(%1)"/>
      <w:numFmt w:val="lowerLetter"/>
      <w:start w:val="1"/>
    </w:lvl>
  </w:abstractNum>
  <w:abstractNum w:abstractNumId="245">
    <w:nsid w:val="6CE00443"/>
    <w:multiLevelType w:val="hybridMultilevel"/>
    <w:lvl w:ilvl="0">
      <w:lvlJc w:val="left"/>
      <w:lvlText w:val="(%1)"/>
      <w:numFmt w:val="lowerLetter"/>
      <w:start w:val="2"/>
    </w:lvl>
  </w:abstractNum>
  <w:abstractNum w:abstractNumId="246">
    <w:nsid w:val="79F0D62F"/>
    <w:multiLevelType w:val="hybridMultilevel"/>
    <w:lvl w:ilvl="0">
      <w:lvlJc w:val="left"/>
      <w:lvlText w:val="(%1)"/>
      <w:numFmt w:val="lowerRoman"/>
      <w:start w:val="2"/>
    </w:lvl>
  </w:abstractNum>
  <w:abstractNum w:abstractNumId="247">
    <w:nsid w:val="7975E8EE"/>
    <w:multiLevelType w:val="hybridMultilevel"/>
    <w:lvl w:ilvl="0">
      <w:lvlJc w:val="left"/>
      <w:lvlText w:val="%1"/>
      <w:numFmt w:val="lowerLetter"/>
      <w:start w:val="1"/>
    </w:lvl>
    <w:lvl w:ilvl="1">
      <w:lvlJc w:val="left"/>
      <w:lvlText w:val="(%2)"/>
      <w:numFmt w:val="lowerLetter"/>
      <w:start w:val="1"/>
    </w:lvl>
  </w:abstractNum>
  <w:abstractNum w:abstractNumId="248">
    <w:nsid w:val="73154115"/>
    <w:multiLevelType w:val="hybridMultilevel"/>
    <w:lvl w:ilvl="0">
      <w:lvlJc w:val="left"/>
      <w:lvlText w:val="(%1)"/>
      <w:numFmt w:val="lowerLetter"/>
      <w:start w:val="9"/>
    </w:lvl>
    <w:lvl w:ilvl="1">
      <w:lvlJc w:val="left"/>
      <w:lvlText w:val="(%2)"/>
      <w:numFmt w:val="lowerLetter"/>
      <w:start w:val="4"/>
    </w:lvl>
  </w:abstractNum>
  <w:abstractNum w:abstractNumId="249">
    <w:nsid w:val="622D8102"/>
    <w:multiLevelType w:val="hybridMultilevel"/>
    <w:lvl w:ilvl="0">
      <w:lvlJc w:val="left"/>
      <w:lvlText w:val="(%1)"/>
      <w:numFmt w:val="lowerLetter"/>
      <w:start w:val="1"/>
    </w:lvl>
  </w:abstractNum>
  <w:abstractNum w:abstractNumId="250">
    <w:nsid w:val="2AB26587"/>
    <w:multiLevelType w:val="hybridMultilevel"/>
    <w:lvl w:ilvl="0">
      <w:lvlJc w:val="left"/>
      <w:lvlText w:val="%1"/>
      <w:numFmt w:val="lowerRoman"/>
      <w:start w:val="1"/>
    </w:lvl>
    <w:lvl w:ilvl="1">
      <w:lvlJc w:val="left"/>
      <w:lvlText w:val="(%2)"/>
      <w:numFmt w:val="lowerLetter"/>
      <w:start w:val="2"/>
    </w:lvl>
  </w:abstractNum>
  <w:abstractNum w:abstractNumId="251">
    <w:nsid w:val="44B3FA61"/>
    <w:multiLevelType w:val="hybridMultilevel"/>
    <w:lvl w:ilvl="0">
      <w:lvlJc w:val="left"/>
      <w:lvlText w:val="(%1)"/>
      <w:numFmt w:val="lowerRoman"/>
      <w:start w:val="4"/>
    </w:lvl>
    <w:lvl w:ilvl="1">
      <w:lvlJc w:val="left"/>
      <w:lvlText w:val="%2"/>
      <w:numFmt w:val="lowerLetter"/>
      <w:start w:val="1"/>
    </w:lvl>
  </w:abstractNum>
  <w:abstractNum w:abstractNumId="252">
    <w:nsid w:val="1C0CA67C"/>
    <w:multiLevelType w:val="hybridMultilevel"/>
    <w:lvl w:ilvl="0">
      <w:lvlJc w:val="left"/>
      <w:lvlText w:val="%1"/>
      <w:numFmt w:val="lowerLetter"/>
      <w:start w:val="1"/>
    </w:lvl>
    <w:lvl w:ilvl="1">
      <w:lvlJc w:val="left"/>
      <w:lvlText w:val="(%2)"/>
      <w:numFmt w:val="lowerLetter"/>
      <w:start w:val="3"/>
    </w:lvl>
  </w:abstractNum>
  <w:abstractNum w:abstractNumId="253">
    <w:nsid w:val="3D206613"/>
    <w:multiLevelType w:val="hybridMultilevel"/>
    <w:lvl w:ilvl="0">
      <w:lvlJc w:val="left"/>
      <w:lvlText w:val="(%1)"/>
      <w:numFmt w:val="lowerLetter"/>
      <w:start w:val="35"/>
    </w:lvl>
    <w:lvl w:ilvl="1">
      <w:lvlJc w:val="left"/>
      <w:lvlText w:val="(%2)"/>
      <w:numFmt w:val="lowerLetter"/>
      <w:start w:val="4"/>
    </w:lvl>
  </w:abstractNum>
  <w:abstractNum w:abstractNumId="254">
    <w:nsid w:val="7993B662"/>
    <w:multiLevelType w:val="hybridMultilevel"/>
    <w:lvl w:ilvl="0">
      <w:lvlJc w:val="left"/>
      <w:lvlText w:val="(%1)"/>
      <w:numFmt w:val="lowerLetter"/>
      <w:start w:val="6"/>
    </w:lvl>
  </w:abstractNum>
  <w:abstractNum w:abstractNumId="255">
    <w:nsid w:val="3BAB699E"/>
    <w:multiLevelType w:val="hybridMultilevel"/>
    <w:lvl w:ilvl="0">
      <w:lvlJc w:val="left"/>
      <w:lvlText w:val="(%1)"/>
      <w:numFmt w:val="lowerLetter"/>
      <w:start w:val="1"/>
    </w:lvl>
    <w:lvl w:ilvl="1">
      <w:lvlJc w:val="left"/>
      <w:lvlText w:val="(%2)"/>
      <w:numFmt w:val="lowerLetter"/>
      <w:start w:val="9"/>
    </w:lvl>
  </w:abstractNum>
  <w:abstractNum w:abstractNumId="256">
    <w:nsid w:val="71315369"/>
    <w:multiLevelType w:val="hybridMultilevel"/>
    <w:lvl w:ilvl="0">
      <w:lvlJc w:val="left"/>
      <w:lvlText w:val="(%1)"/>
      <w:numFmt w:val="lowerRoman"/>
      <w:start w:val="2"/>
    </w:lvl>
  </w:abstractNum>
  <w:abstractNum w:abstractNumId="257">
    <w:nsid w:val="7BCFBAFC"/>
    <w:multiLevelType w:val="hybridMultilevel"/>
    <w:lvl w:ilvl="0">
      <w:lvlJc w:val="left"/>
      <w:lvlText w:val="%1"/>
      <w:numFmt w:val="lowerLetter"/>
      <w:start w:val="1"/>
    </w:lvl>
    <w:lvl w:ilvl="1">
      <w:lvlJc w:val="left"/>
      <w:lvlText w:val="(%2)"/>
      <w:numFmt w:val="lowerLetter"/>
      <w:start w:val="24"/>
    </w:lvl>
  </w:abstractNum>
  <w:abstractNum w:abstractNumId="258">
    <w:nsid w:val="17859F72"/>
    <w:multiLevelType w:val="hybridMultilevel"/>
    <w:lvl w:ilvl="0">
      <w:lvlJc w:val="left"/>
      <w:lvlText w:val="(%1)"/>
      <w:numFmt w:val="lowerLetter"/>
      <w:start w:val="2"/>
    </w:lvl>
    <w:lvl w:ilvl="1">
      <w:lvlJc w:val="left"/>
      <w:lvlText w:val="(%2)"/>
      <w:numFmt w:val="lowerLetter"/>
      <w:start w:val="9"/>
    </w:lvl>
  </w:abstractNum>
  <w:abstractNum w:abstractNumId="259">
    <w:nsid w:val="3AA10581"/>
    <w:multiLevelType w:val="hybridMultilevel"/>
    <w:lvl w:ilvl="0">
      <w:lvlJc w:val="left"/>
      <w:lvlText w:val="%1"/>
      <w:numFmt w:val="lowerRoman"/>
      <w:start w:val="1"/>
    </w:lvl>
    <w:lvl w:ilvl="1">
      <w:lvlJc w:val="left"/>
      <w:lvlText w:val="(%2)"/>
      <w:numFmt w:val="upperLetter"/>
      <w:start w:val="1"/>
    </w:lvl>
  </w:abstractNum>
  <w:abstractNum w:abstractNumId="260">
    <w:nsid w:val="63DE60CD"/>
    <w:multiLevelType w:val="hybridMultilevel"/>
    <w:lvl w:ilvl="0">
      <w:lvlJc w:val="left"/>
      <w:lvlText w:val="(%1)"/>
      <w:numFmt w:val="lowerRoman"/>
      <w:start w:val="2"/>
    </w:lvl>
    <w:lvl w:ilvl="1">
      <w:lvlJc w:val="left"/>
      <w:lvlText w:val="(%2)"/>
      <w:numFmt w:val="upperLetter"/>
      <w:start w:val="1"/>
    </w:lvl>
  </w:abstractNum>
  <w:abstractNum w:abstractNumId="261">
    <w:nsid w:val="621AF471"/>
    <w:multiLevelType w:val="hybridMultilevel"/>
    <w:lvl w:ilvl="0">
      <w:lvlJc w:val="left"/>
      <w:lvlText w:val="(%1)"/>
      <w:numFmt w:val="lowerRoman"/>
      <w:start w:val="3"/>
    </w:lvl>
  </w:abstractNum>
  <w:abstractNum w:abstractNumId="262">
    <w:nsid w:val="73CFE165"/>
    <w:multiLevelType w:val="hybridMultilevel"/>
    <w:lvl w:ilvl="0">
      <w:lvlJc w:val="left"/>
      <w:lvlText w:val="(%1)"/>
      <w:numFmt w:val="lowerRoman"/>
      <w:start w:val="5"/>
    </w:lvl>
  </w:abstractNum>
  <w:abstractNum w:abstractNumId="263">
    <w:nsid w:val="20F88EA6"/>
    <w:multiLevelType w:val="hybridMultilevel"/>
    <w:lvl w:ilvl="0">
      <w:lvlJc w:val="left"/>
      <w:lvlText w:val="(%1)"/>
      <w:numFmt w:val="lowerLetter"/>
      <w:start w:val="1"/>
    </w:lvl>
  </w:abstractNum>
  <w:abstractNum w:abstractNumId="264">
    <w:nsid w:val="617C843E"/>
    <w:multiLevelType w:val="hybridMultilevel"/>
    <w:lvl w:ilvl="0">
      <w:lvlJc w:val="left"/>
      <w:lvlText w:val="(%1)"/>
      <w:numFmt w:val="lowerLetter"/>
      <w:start w:val="1"/>
    </w:lvl>
  </w:abstractNum>
  <w:abstractNum w:abstractNumId="265">
    <w:nsid w:val="7B541FAB"/>
    <w:multiLevelType w:val="hybridMultilevel"/>
    <w:lvl w:ilvl="0">
      <w:lvlJc w:val="left"/>
      <w:lvlText w:val="(%1)"/>
      <w:numFmt w:val="lowerLetter"/>
      <w:start w:val="1"/>
    </w:lvl>
  </w:abstractNum>
  <w:abstractNum w:abstractNumId="266">
    <w:nsid w:val="2A79EC49"/>
    <w:multiLevelType w:val="hybridMultilevel"/>
    <w:lvl w:ilvl="0">
      <w:lvlJc w:val="left"/>
      <w:lvlText w:val="(%1)"/>
      <w:numFmt w:val="lowerLetter"/>
      <w:start w:val="2"/>
    </w:lvl>
  </w:abstractNum>
  <w:abstractNum w:abstractNumId="267">
    <w:nsid w:val="338125CF"/>
    <w:multiLevelType w:val="hybridMultilevel"/>
    <w:lvl w:ilvl="0">
      <w:lvlJc w:val="left"/>
      <w:lvlText w:val="%1"/>
      <w:numFmt w:val="lowerLetter"/>
      <w:start w:val="1"/>
    </w:lvl>
    <w:lvl w:ilvl="1">
      <w:lvlJc w:val="left"/>
      <w:lvlText w:val="(%2)"/>
      <w:numFmt w:val="lowerLetter"/>
      <w:start w:val="1"/>
    </w:lvl>
  </w:abstractNum>
  <w:abstractNum w:abstractNumId="268">
    <w:nsid w:val="47C7C971"/>
    <w:multiLevelType w:val="hybridMultilevel"/>
    <w:lvl w:ilvl="0">
      <w:lvlJc w:val="left"/>
      <w:lvlText w:val="(%1)"/>
      <w:numFmt w:val="lowerLetter"/>
      <w:start w:val="35"/>
    </w:lvl>
    <w:lvl w:ilvl="1">
      <w:lvlJc w:val="left"/>
      <w:lvlText w:val="(%2)"/>
      <w:numFmt w:val="lowerLetter"/>
      <w:start w:val="2"/>
    </w:lvl>
  </w:abstractNum>
  <w:abstractNum w:abstractNumId="269">
    <w:nsid w:val="46F8284B"/>
    <w:multiLevelType w:val="hybridMultilevel"/>
    <w:lvl w:ilvl="0">
      <w:lvlJc w:val="left"/>
      <w:lvlText w:val="(%1)"/>
      <w:numFmt w:val="lowerLetter"/>
      <w:start w:val="4"/>
    </w:lvl>
  </w:abstractNum>
  <w:abstractNum w:abstractNumId="270">
    <w:nsid w:val="4FA327CE"/>
    <w:multiLevelType w:val="hybridMultilevel"/>
    <w:lvl w:ilvl="0">
      <w:lvlJc w:val="left"/>
      <w:lvlText w:val="(%1)"/>
      <w:numFmt w:val="lowerLetter"/>
      <w:start w:val="1"/>
    </w:lvl>
  </w:abstractNum>
  <w:abstractNum w:abstractNumId="271">
    <w:nsid w:val="1873983A"/>
    <w:multiLevelType w:val="hybridMultilevel"/>
    <w:lvl w:ilvl="0">
      <w:lvlJc w:val="left"/>
      <w:lvlText w:val="(%1)"/>
      <w:numFmt w:val="lowerLetter"/>
      <w:start w:val="1"/>
    </w:lvl>
  </w:abstractNum>
  <w:abstractNum w:abstractNumId="272">
    <w:nsid w:val="3D2DD275"/>
    <w:multiLevelType w:val="hybridMultilevel"/>
    <w:lvl w:ilvl="0">
      <w:lvlJc w:val="left"/>
      <w:lvlText w:val="%1"/>
      <w:numFmt w:val="lowerLetter"/>
      <w:start w:val="1"/>
    </w:lvl>
    <w:lvl w:ilvl="1">
      <w:lvlJc w:val="left"/>
      <w:lvlText w:val="(%2)"/>
      <w:numFmt w:val="lowerRoman"/>
      <w:start w:val="1"/>
    </w:lvl>
  </w:abstractNum>
  <w:abstractNum w:abstractNumId="273">
    <w:nsid w:val="2E17ECA7"/>
    <w:multiLevelType w:val="hybridMultilevel"/>
    <w:lvl w:ilvl="0">
      <w:lvlJc w:val="left"/>
      <w:lvlText w:val="(%1)"/>
      <w:numFmt w:val="lowerLetter"/>
      <w:start w:val="3"/>
    </w:lvl>
    <w:lvl w:ilvl="1">
      <w:lvlJc w:val="left"/>
      <w:lvlText w:val="%2"/>
      <w:numFmt w:val="lowerRoman"/>
      <w:start w:val="1"/>
    </w:lvl>
  </w:abstractNum>
  <w:abstractNum w:abstractNumId="274">
    <w:nsid w:val="53B2564F"/>
    <w:multiLevelType w:val="hybridMultilevel"/>
    <w:lvl w:ilvl="0">
      <w:lvlJc w:val="left"/>
      <w:lvlText w:val="(%1)"/>
      <w:numFmt w:val="lowerRoman"/>
      <w:start w:val="4"/>
    </w:lvl>
  </w:abstractNum>
  <w:abstractNum w:abstractNumId="275">
    <w:nsid w:val="75509D76"/>
    <w:multiLevelType w:val="hybridMultilevel"/>
    <w:lvl w:ilvl="0">
      <w:lvlJc w:val="left"/>
      <w:lvlText w:val="(%1)"/>
      <w:numFmt w:val="lowerLetter"/>
      <w:start w:val="1"/>
    </w:lvl>
  </w:abstractNum>
  <w:abstractNum w:abstractNumId="276">
    <w:nsid w:val="1AF7F0EA"/>
    <w:multiLevelType w:val="hybridMultilevel"/>
    <w:lvl w:ilvl="0">
      <w:lvlJc w:val="left"/>
      <w:lvlText w:val="(%1)"/>
      <w:numFmt w:val="lowerLetter"/>
      <w:start w:val="3"/>
    </w:lvl>
  </w:abstractNum>
  <w:abstractNum w:abstractNumId="277">
    <w:nsid w:val="4DA32C7E"/>
    <w:multiLevelType w:val="hybridMultilevel"/>
    <w:lvl w:ilvl="0">
      <w:lvlJc w:val="left"/>
      <w:lvlText w:val="(%1)"/>
      <w:numFmt w:val="lowerLetter"/>
      <w:start w:val="4"/>
    </w:lvl>
  </w:abstractNum>
  <w:abstractNum w:abstractNumId="278">
    <w:nsid w:val="6EC68664"/>
    <w:multiLevelType w:val="hybridMultilevel"/>
    <w:lvl w:ilvl="0">
      <w:lvlJc w:val="left"/>
      <w:lvlText w:val="(%1)"/>
      <w:numFmt w:val="lowerLetter"/>
      <w:start w:val="1"/>
    </w:lvl>
  </w:abstractNum>
  <w:abstractNum w:abstractNumId="279">
    <w:nsid w:val="E0D31FF"/>
    <w:multiLevelType w:val="hybridMultilevel"/>
    <w:lvl w:ilvl="0">
      <w:lvlJc w:val="left"/>
      <w:lvlText w:val="(%1)"/>
      <w:numFmt w:val="lowerLetter"/>
      <w:start w:val="2"/>
    </w:lvl>
  </w:abstractNum>
  <w:abstractNum w:abstractNumId="280">
    <w:nsid w:val="2FD0AD81"/>
    <w:multiLevelType w:val="hybridMultilevel"/>
    <w:lvl w:ilvl="0">
      <w:lvlJc w:val="left"/>
      <w:lvlText w:val="(%1)"/>
      <w:numFmt w:val="lowerLetter"/>
      <w:start w:val="1"/>
    </w:lvl>
  </w:abstractNum>
  <w:abstractNum w:abstractNumId="281">
    <w:nsid w:val="1978EBEB"/>
    <w:multiLevelType w:val="hybridMultilevel"/>
    <w:lvl w:ilvl="0">
      <w:lvlJc w:val="left"/>
      <w:lvlText w:val="(%1)"/>
      <w:numFmt w:val="lowerLetter"/>
      <w:start w:val="1"/>
    </w:lvl>
  </w:abstractNum>
  <w:abstractNum w:abstractNumId="282">
    <w:nsid w:val="52C12C61"/>
    <w:multiLevelType w:val="hybridMultilevel"/>
    <w:lvl w:ilvl="0">
      <w:lvlJc w:val="left"/>
      <w:lvlText w:val="(%1)"/>
      <w:numFmt w:val="decimal"/>
      <w:start w:val="60"/>
    </w:lvl>
    <w:lvl w:ilvl="1">
      <w:lvlJc w:val="left"/>
      <w:lvlText w:val="(%2)"/>
      <w:numFmt w:val="lowerLetter"/>
      <w:start w:val="4"/>
    </w:lvl>
  </w:abstractNum>
  <w:abstractNum w:abstractNumId="283">
    <w:nsid w:val="4BDD53FD"/>
    <w:multiLevelType w:val="hybridMultilevel"/>
    <w:lvl w:ilvl="0">
      <w:lvlJc w:val="left"/>
      <w:lvlText w:val="(%1)"/>
      <w:numFmt w:val="lowerLetter"/>
      <w:start w:val="5"/>
    </w:lvl>
  </w:abstractNum>
  <w:abstractNum w:abstractNumId="284">
    <w:nsid w:val="569951FE"/>
    <w:multiLevelType w:val="hybridMultilevel"/>
    <w:lvl w:ilvl="0">
      <w:lvlJc w:val="left"/>
      <w:lvlText w:val="(%1)"/>
      <w:numFmt w:val="lowerLetter"/>
      <w:start w:val="6"/>
    </w:lvl>
  </w:abstractNum>
  <w:abstractNum w:abstractNumId="285">
    <w:nsid w:val="4C54E2C3"/>
    <w:multiLevelType w:val="hybridMultilevel"/>
    <w:lvl w:ilvl="0">
      <w:lvlJc w:val="left"/>
      <w:lvlText w:val="(%1)"/>
      <w:numFmt w:val="lowerRoman"/>
      <w:start w:val="1"/>
    </w:lvl>
  </w:abstractNum>
  <w:abstractNum w:abstractNumId="286">
    <w:nsid w:val="788BD9B"/>
    <w:multiLevelType w:val="hybridMultilevel"/>
    <w:lvl w:ilvl="0">
      <w:lvlJc w:val="left"/>
      <w:lvlText w:val="(%1)"/>
      <w:numFmt w:val="lowerRoman"/>
      <w:start w:val="2"/>
    </w:lvl>
  </w:abstractNum>
  <w:abstractNum w:abstractNumId="287">
    <w:nsid w:val="47CAA567"/>
    <w:multiLevelType w:val="hybridMultilevel"/>
    <w:lvl w:ilvl="0">
      <w:lvlJc w:val="left"/>
      <w:lvlText w:val="%1"/>
      <w:numFmt w:val="lowerLetter"/>
      <w:start w:val="1"/>
    </w:lvl>
    <w:lvl w:ilvl="1">
      <w:lvlJc w:val="left"/>
      <w:lvlText w:val="(%2)"/>
      <w:numFmt w:val="lowerLetter"/>
      <w:start w:val="61"/>
    </w:lvl>
  </w:abstractNum>
  <w:abstractNum w:abstractNumId="288">
    <w:nsid w:val="48249DBF"/>
    <w:multiLevelType w:val="hybridMultilevel"/>
    <w:lvl w:ilvl="0">
      <w:lvlJc w:val="left"/>
      <w:lvlText w:val="(%1)"/>
      <w:numFmt w:val="lowerLetter"/>
      <w:start w:val="10"/>
    </w:lvl>
    <w:lvl w:ilvl="1">
      <w:lvlJc w:val="left"/>
      <w:lvlText w:val="%2"/>
      <w:numFmt w:val="lowerLetter"/>
      <w:start w:val="1"/>
    </w:lvl>
  </w:abstractNum>
  <w:abstractNum w:abstractNumId="289">
    <w:nsid w:val="1F0E5D0D"/>
    <w:multiLevelType w:val="hybridMultilevel"/>
    <w:lvl w:ilvl="0">
      <w:lvlJc w:val="left"/>
      <w:lvlText w:val="(%1)"/>
      <w:numFmt w:val="lowerLetter"/>
      <w:start w:val="1"/>
    </w:lvl>
  </w:abstractNum>
  <w:abstractNum w:abstractNumId="290">
    <w:nsid w:val="26BAAE9"/>
    <w:multiLevelType w:val="hybridMultilevel"/>
    <w:lvl w:ilvl="0">
      <w:lvlJc w:val="left"/>
      <w:lvlText w:val="(%1)"/>
      <w:numFmt w:val="lowerLetter"/>
      <w:start w:val="3"/>
    </w:lvl>
  </w:abstractNum>
  <w:abstractNum w:abstractNumId="291">
    <w:nsid w:val="2C02FE8C"/>
    <w:multiLevelType w:val="hybridMultilevel"/>
    <w:lvl w:ilvl="0">
      <w:lvlJc w:val="left"/>
      <w:lvlText w:val="(%1)"/>
      <w:numFmt w:val="lowerLetter"/>
      <w:start w:val="1"/>
    </w:lvl>
  </w:abstractNum>
  <w:abstractNum w:abstractNumId="292">
    <w:nsid w:val="129517E"/>
    <w:multiLevelType w:val="hybridMultilevel"/>
    <w:lvl w:ilvl="0">
      <w:lvlJc w:val="left"/>
      <w:lvlText w:val="(%1)"/>
      <w:numFmt w:val="lowerLetter"/>
      <w:start w:val="1"/>
    </w:lvl>
  </w:abstractNum>
  <w:abstractNum w:abstractNumId="293">
    <w:nsid w:val="763B8C4E"/>
    <w:multiLevelType w:val="hybridMultilevel"/>
    <w:lvl w:ilvl="0">
      <w:lvlJc w:val="left"/>
      <w:lvlText w:val="(%1)"/>
      <w:numFmt w:val="lowerLetter"/>
      <w:start w:val="2"/>
    </w:lvl>
  </w:abstractNum>
  <w:abstractNum w:abstractNumId="294">
    <w:nsid w:val="4CFB8D32"/>
    <w:multiLevelType w:val="hybridMultilevel"/>
    <w:lvl w:ilvl="0">
      <w:lvlJc w:val="left"/>
      <w:lvlText w:val="(%1)"/>
      <w:numFmt w:val="lowerLetter"/>
      <w:start w:val="4"/>
    </w:lvl>
  </w:abstractNum>
  <w:abstractNum w:abstractNumId="295">
    <w:nsid w:val="62A5D5BD"/>
    <w:multiLevelType w:val="hybridMultilevel"/>
    <w:lvl w:ilvl="0">
      <w:lvlJc w:val="left"/>
      <w:lvlText w:val="(%1)"/>
      <w:numFmt w:val="lowerLetter"/>
      <w:start w:val="1"/>
    </w:lvl>
  </w:abstractNum>
  <w:abstractNum w:abstractNumId="296">
    <w:nsid w:val="718FABF9"/>
    <w:multiLevelType w:val="hybridMultilevel"/>
    <w:lvl w:ilvl="0">
      <w:lvlJc w:val="left"/>
      <w:lvlText w:val="(%1)"/>
      <w:numFmt w:val="lowerLetter"/>
      <w:start w:val="2"/>
    </w:lvl>
  </w:abstractNum>
  <w:abstractNum w:abstractNumId="297">
    <w:nsid w:val="7775797C"/>
    <w:multiLevelType w:val="hybridMultilevel"/>
    <w:lvl w:ilvl="0">
      <w:lvlJc w:val="left"/>
      <w:lvlText w:val="(%1)"/>
      <w:numFmt w:val="lowerLetter"/>
      <w:start w:val="1"/>
    </w:lvl>
  </w:abstractNum>
  <w:abstractNum w:abstractNumId="298">
    <w:nsid w:val="1626FB8C"/>
    <w:multiLevelType w:val="hybridMultilevel"/>
    <w:lvl w:ilvl="0">
      <w:lvlJc w:val="left"/>
      <w:lvlText w:val="(%1)"/>
      <w:numFmt w:val="lowerLetter"/>
      <w:start w:val="1"/>
    </w:lvl>
  </w:abstractNum>
  <w:abstractNum w:abstractNumId="299">
    <w:nsid w:val="3957756A"/>
    <w:multiLevelType w:val="hybridMultilevel"/>
    <w:lvl w:ilvl="0">
      <w:lvlJc w:val="left"/>
      <w:lvlText w:val="(%1)"/>
      <w:numFmt w:val="lowerRoman"/>
      <w:start w:val="1"/>
    </w:lvl>
  </w:abstractNum>
  <w:abstractNum w:abstractNumId="300">
    <w:nsid w:val="3E6DA1C7"/>
    <w:multiLevelType w:val="hybridMultilevel"/>
    <w:lvl w:ilvl="0">
      <w:lvlJc w:val="left"/>
      <w:lvlText w:val="(%1)"/>
      <w:numFmt w:val="lowerRoman"/>
      <w:start w:val="2"/>
    </w:lvl>
    <w:lvl w:ilvl="1">
      <w:lvlJc w:val="left"/>
      <w:lvlText w:val="(%2)"/>
      <w:numFmt w:val="upperLetter"/>
      <w:start w:val="1"/>
    </w:lvl>
  </w:abstractNum>
  <w:abstractNum w:abstractNumId="301">
    <w:nsid w:val="65CA235B"/>
    <w:multiLevelType w:val="hybridMultilevel"/>
    <w:lvl w:ilvl="0">
      <w:lvlJc w:val="left"/>
      <w:lvlText w:val="(%1)"/>
      <w:numFmt w:val="lowerLetter"/>
      <w:start w:val="1"/>
    </w:lvl>
  </w:abstractNum>
  <w:abstractNum w:abstractNumId="302">
    <w:nsid w:val="51CB0DA4"/>
    <w:multiLevelType w:val="hybridMultilevel"/>
    <w:lvl w:ilvl="0">
      <w:lvlJc w:val="left"/>
      <w:lvlText w:val="(%1)"/>
      <w:numFmt w:val="lowerRoman"/>
      <w:start w:val="1"/>
    </w:lvl>
  </w:abstractNum>
  <w:abstractNum w:abstractNumId="303">
    <w:nsid w:val="7B9B743C"/>
    <w:multiLevelType w:val="hybridMultilevel"/>
    <w:lvl w:ilvl="0">
      <w:lvlJc w:val="left"/>
      <w:lvlText w:val="(%1)"/>
      <w:numFmt w:val="lowerLetter"/>
      <w:start w:val="2"/>
    </w:lvl>
  </w:abstractNum>
  <w:abstractNum w:abstractNumId="304">
    <w:nsid w:val="13E21002"/>
    <w:multiLevelType w:val="hybridMultilevel"/>
    <w:lvl w:ilvl="0">
      <w:lvlJc w:val="left"/>
      <w:lvlText w:val="(%1)"/>
      <w:numFmt w:val="lowerLetter"/>
      <w:start w:val="3"/>
    </w:lvl>
  </w:abstractNum>
  <w:abstractNum w:abstractNumId="305">
    <w:nsid w:val="257D63F4"/>
    <w:multiLevelType w:val="hybridMultilevel"/>
    <w:lvl w:ilvl="0">
      <w:lvlJc w:val="left"/>
      <w:lvlText w:val="(%1)"/>
      <w:numFmt w:val="lowerLetter"/>
      <w:start w:val="4"/>
    </w:lvl>
  </w:abstractNum>
  <w:abstractNum w:abstractNumId="306">
    <w:nsid w:val="70EC11B2"/>
    <w:multiLevelType w:val="hybridMultilevel"/>
    <w:lvl w:ilvl="0">
      <w:lvlJc w:val="left"/>
      <w:lvlText w:val="(%1)"/>
      <w:numFmt w:val="lowerLetter"/>
      <w:start w:val="3"/>
    </w:lvl>
  </w:abstractNum>
  <w:abstractNum w:abstractNumId="307">
    <w:nsid w:val="2EDA00ED"/>
    <w:multiLevelType w:val="hybridMultilevel"/>
    <w:lvl w:ilvl="0">
      <w:lvlJc w:val="left"/>
      <w:lvlText w:val="(%1)"/>
      <w:numFmt w:val="lowerLetter"/>
      <w:start w:val="1"/>
    </w:lvl>
  </w:abstractNum>
  <w:abstractNum w:abstractNumId="308">
    <w:nsid w:val="73209072"/>
    <w:multiLevelType w:val="hybridMultilevel"/>
    <w:lvl w:ilvl="0">
      <w:lvlJc w:val="left"/>
      <w:lvlText w:val="(%1)"/>
      <w:numFmt w:val="lowerLetter"/>
      <w:start w:val="2"/>
    </w:lvl>
  </w:abstractNum>
  <w:abstractNum w:abstractNumId="309">
    <w:nsid w:val="5FB29816"/>
    <w:multiLevelType w:val="hybridMultilevel"/>
    <w:lvl w:ilvl="0">
      <w:lvlJc w:val="left"/>
      <w:lvlText w:val="(%1)"/>
      <w:numFmt w:val="lowerRoman"/>
      <w:start w:val="4"/>
    </w:lvl>
  </w:abstractNum>
  <w:abstractNum w:abstractNumId="310">
    <w:nsid w:val="3CE732EC"/>
    <w:multiLevelType w:val="hybridMultilevel"/>
    <w:lvl w:ilvl="0">
      <w:lvlJc w:val="left"/>
      <w:lvlText w:val="(%1)"/>
      <w:numFmt w:val="lowerLetter"/>
      <w:start w:val="3"/>
    </w:lvl>
  </w:abstractNum>
  <w:abstractNum w:abstractNumId="311">
    <w:nsid w:val="22F13DF3"/>
    <w:multiLevelType w:val="hybridMultilevel"/>
    <w:lvl w:ilvl="0">
      <w:lvlJc w:val="left"/>
      <w:lvlText w:val="(%1)"/>
      <w:numFmt w:val="lowerLetter"/>
      <w:start w:val="6"/>
    </w:lvl>
  </w:abstractNum>
  <w:abstractNum w:abstractNumId="312">
    <w:nsid w:val="792B8401"/>
    <w:multiLevelType w:val="hybridMultilevel"/>
    <w:lvl w:ilvl="0">
      <w:lvlJc w:val="left"/>
      <w:lvlText w:val="(%1)"/>
      <w:numFmt w:val="lowerLetter"/>
      <w:start w:val="1"/>
    </w:lvl>
  </w:abstractNum>
  <w:abstractNum w:abstractNumId="313">
    <w:nsid w:val="FA85F4D"/>
    <w:multiLevelType w:val="hybridMultilevel"/>
    <w:lvl w:ilvl="0">
      <w:lvlJc w:val="left"/>
      <w:lvlText w:val="(%1)"/>
      <w:numFmt w:val="lowerLetter"/>
      <w:start w:val="2"/>
    </w:lvl>
  </w:abstractNum>
  <w:abstractNum w:abstractNumId="314">
    <w:nsid w:val="6ECE91F0"/>
    <w:multiLevelType w:val="hybridMultilevel"/>
    <w:lvl w:ilvl="0">
      <w:lvlJc w:val="left"/>
      <w:lvlText w:val="(%1)"/>
      <w:numFmt w:val="lowerRoman"/>
      <w:start w:val="1"/>
    </w:lvl>
    <w:lvl w:ilvl="1">
      <w:lvlJc w:val="left"/>
      <w:lvlText w:val="(%2)"/>
      <w:numFmt w:val="upperLetter"/>
      <w:start w:val="1"/>
    </w:lvl>
  </w:abstractNum>
  <w:abstractNum w:abstractNumId="315">
    <w:nsid w:val="4FC4D600"/>
    <w:multiLevelType w:val="hybridMultilevel"/>
    <w:lvl w:ilvl="0">
      <w:lvlJc w:val="left"/>
      <w:lvlText w:val="(%1)"/>
      <w:numFmt w:val="lowerRoman"/>
      <w:start w:val="5"/>
    </w:lvl>
  </w:abstractNum>
  <w:abstractNum w:abstractNumId="316">
    <w:nsid w:val="5BFD4210"/>
    <w:multiLevelType w:val="hybridMultilevel"/>
    <w:lvl w:ilvl="0">
      <w:lvlJc w:val="left"/>
      <w:lvlText w:val="(%1)"/>
      <w:numFmt w:val="lowerLetter"/>
      <w:start w:val="3"/>
    </w:lvl>
  </w:abstractNum>
  <w:abstractNum w:abstractNumId="317">
    <w:nsid w:val="76574F8B"/>
    <w:multiLevelType w:val="hybridMultilevel"/>
    <w:lvl w:ilvl="0">
      <w:lvlJc w:val="left"/>
      <w:lvlText w:val="(%1)"/>
      <w:numFmt w:val="lowerLetter"/>
      <w:start w:val="5"/>
    </w:lvl>
  </w:abstractNum>
  <w:abstractNum w:abstractNumId="318">
    <w:nsid w:val="178F7B67"/>
    <w:multiLevelType w:val="hybridMultilevel"/>
    <w:lvl w:ilvl="0">
      <w:lvlJc w:val="left"/>
      <w:lvlText w:val="(%1)"/>
      <w:numFmt w:val="lowerRoman"/>
      <w:start w:val="1"/>
    </w:lvl>
  </w:abstractNum>
  <w:abstractNum w:abstractNumId="319">
    <w:nsid w:val="2421DFCF"/>
    <w:multiLevelType w:val="hybridMultilevel"/>
    <w:lvl w:ilvl="0">
      <w:lvlJc w:val="left"/>
      <w:lvlText w:val="(%1)"/>
      <w:numFmt w:val="lowerLetter"/>
      <w:start w:val="1"/>
    </w:lvl>
  </w:abstractNum>
  <w:abstractNum w:abstractNumId="320">
    <w:nsid w:val="1565AC99"/>
    <w:multiLevelType w:val="hybridMultilevel"/>
    <w:lvl w:ilvl="0">
      <w:lvlJc w:val="left"/>
      <w:lvlText w:val="(%1)"/>
      <w:numFmt w:val="lowerLetter"/>
      <w:start w:val="1"/>
    </w:lvl>
  </w:abstractNum>
  <w:abstractNum w:abstractNumId="321">
    <w:nsid w:val="19FB2650"/>
    <w:multiLevelType w:val="hybridMultilevel"/>
    <w:lvl w:ilvl="0">
      <w:lvlJc w:val="left"/>
      <w:lvlText w:val="(%1)"/>
      <w:numFmt w:val="lowerLetter"/>
      <w:start w:val="3"/>
    </w:lvl>
  </w:abstractNum>
  <w:abstractNum w:abstractNumId="322">
    <w:nsid w:val="5024DE5B"/>
    <w:multiLevelType w:val="hybridMultilevel"/>
    <w:lvl w:ilvl="0">
      <w:lvlJc w:val="left"/>
      <w:lvlText w:val="(%1)"/>
      <w:numFmt w:val="lowerLetter"/>
      <w:start w:val="1"/>
    </w:lvl>
    <w:lvl w:ilvl="1">
      <w:lvlJc w:val="left"/>
      <w:lvlText w:val="(%2)"/>
      <w:numFmt w:val="lowerRoman"/>
      <w:start w:val="1"/>
    </w:lvl>
  </w:abstractNum>
  <w:abstractNum w:abstractNumId="323">
    <w:nsid w:val="168EFE17"/>
    <w:multiLevelType w:val="hybridMultilevel"/>
    <w:lvl w:ilvl="0">
      <w:lvlJc w:val="left"/>
      <w:lvlText w:val="(%1)"/>
      <w:numFmt w:val="lowerLetter"/>
      <w:start w:val="2"/>
    </w:lvl>
  </w:abstractNum>
  <w:abstractNum w:abstractNumId="324">
    <w:nsid w:val="1036B29F"/>
    <w:multiLevelType w:val="hybridMultilevel"/>
    <w:lvl w:ilvl="0">
      <w:lvlJc w:val="left"/>
      <w:lvlText w:val="(%1)"/>
      <w:numFmt w:val="lowerLetter"/>
      <w:start w:val="2"/>
    </w:lvl>
  </w:abstractNum>
  <w:abstractNum w:abstractNumId="325">
    <w:nsid w:val="1D206B8E"/>
    <w:multiLevelType w:val="hybridMultilevel"/>
    <w:lvl w:ilvl="0">
      <w:lvlJc w:val="left"/>
      <w:lvlText w:val="(%1)"/>
      <w:numFmt w:val="lowerLetter"/>
      <w:start w:val="1"/>
    </w:lvl>
    <w:lvl w:ilvl="1">
      <w:lvlJc w:val="left"/>
      <w:lvlText w:val="(%2)"/>
      <w:numFmt w:val="lowerRoman"/>
      <w:start w:val="1"/>
    </w:lvl>
  </w:abstractNum>
  <w:abstractNum w:abstractNumId="326">
    <w:nsid w:val="7934D3D4"/>
    <w:multiLevelType w:val="hybridMultilevel"/>
    <w:lvl w:ilvl="0">
      <w:lvlJc w:val="left"/>
      <w:lvlText w:val="(%1)"/>
      <w:numFmt w:val="upperLetter"/>
      <w:start w:val="1"/>
    </w:lvl>
  </w:abstractNum>
  <w:abstractNum w:abstractNumId="327">
    <w:nsid w:val="1C65E98"/>
    <w:multiLevelType w:val="hybridMultilevel"/>
    <w:lvl w:ilvl="0">
      <w:lvlJc w:val="left"/>
      <w:lvlText w:val="%1"/>
      <w:numFmt w:val="lowerLetter"/>
      <w:start w:val="1"/>
    </w:lvl>
    <w:lvl w:ilvl="1">
      <w:lvlJc w:val="left"/>
      <w:lvlText w:val="(%2)"/>
      <w:numFmt w:val="upperLetter"/>
      <w:start w:val="2"/>
    </w:lvl>
  </w:abstractNum>
  <w:abstractNum w:abstractNumId="328">
    <w:nsid w:val="1495E50A"/>
    <w:multiLevelType w:val="hybridMultilevel"/>
    <w:lvl w:ilvl="0">
      <w:lvlJc w:val="left"/>
      <w:lvlText w:val="(%1)"/>
      <w:numFmt w:val="lowerLetter"/>
      <w:start w:val="2"/>
    </w:lvl>
    <w:lvl w:ilvl="1">
      <w:lvlJc w:val="left"/>
      <w:lvlText w:val="%2"/>
      <w:numFmt w:val="upperLetter"/>
      <w:start w:val="1"/>
    </w:lvl>
  </w:abstractNum>
  <w:abstractNum w:abstractNumId="329">
    <w:nsid w:val="F5BCF61"/>
    <w:multiLevelType w:val="hybridMultilevel"/>
    <w:lvl w:ilvl="0">
      <w:lvlJc w:val="left"/>
      <w:lvlText w:val="%1."/>
      <w:numFmt w:val="decimal"/>
      <w:start w:val="1"/>
    </w:lvl>
  </w:abstractNum>
  <w:abstractNum w:abstractNumId="330">
    <w:nsid w:val="3B1DD403"/>
    <w:multiLevelType w:val="hybridMultilevel"/>
    <w:lvl w:ilvl="0">
      <w:lvlJc w:val="left"/>
      <w:lvlText w:val="(%1)"/>
      <w:numFmt w:val="lowerLetter"/>
      <w:start w:val="1"/>
    </w:lvl>
  </w:abstractNum>
  <w:abstractNum w:abstractNumId="331">
    <w:nsid w:val="530386D1"/>
    <w:multiLevelType w:val="hybridMultilevel"/>
    <w:lvl w:ilvl="0">
      <w:lvlJc w:val="left"/>
      <w:lvlText w:val="(%1)"/>
      <w:numFmt w:val="lowerLetter"/>
      <w:start w:val="1"/>
    </w:lvl>
  </w:abstractNum>
  <w:abstractNum w:abstractNumId="332">
    <w:nsid w:val="7525F2BC"/>
    <w:multiLevelType w:val="hybridMultilevel"/>
    <w:lvl w:ilvl="0">
      <w:lvlJc w:val="left"/>
      <w:lvlText w:val="(%1)"/>
      <w:numFmt w:val="lowerLetter"/>
      <w:start w:val="6"/>
    </w:lvl>
    <w:lvl w:ilvl="1">
      <w:lvlJc w:val="left"/>
      <w:lvlText w:val="%2."/>
      <w:numFmt w:val="upperLetter"/>
      <w:start w:val="1"/>
    </w:lvl>
  </w:abstractNum>
  <w:abstractNum w:abstractNumId="333">
    <w:nsid w:val="CE8E1A7"/>
    <w:multiLevelType w:val="hybridMultilevel"/>
    <w:lvl w:ilvl="0">
      <w:lvlJc w:val="left"/>
      <w:lvlText w:val="(%1)"/>
      <w:numFmt w:val="lowerLetter"/>
      <w:start w:val="9"/>
    </w:lvl>
  </w:abstractNum>
  <w:abstractNum w:abstractNumId="334">
    <w:nsid w:val="4E9EFB0D"/>
    <w:multiLevelType w:val="hybridMultilevel"/>
    <w:lvl w:ilvl="0">
      <w:lvlJc w:val="left"/>
      <w:lvlText w:val="(%1)"/>
      <w:numFmt w:val="lowerLetter"/>
      <w:start w:val="1"/>
    </w:lvl>
  </w:abstractNum>
  <w:abstractNum w:abstractNumId="335">
    <w:nsid w:val="90802BE"/>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2019-12-08T06:19:18Z</dcterms:created>
  <dcterms:modified xsi:type="dcterms:W3CDTF">2019-12-08T06:19:18Z</dcterms:modified>
</cp:coreProperties>
</file>