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960" w:hanging="1210"/>
        <w:spacing w:after="0"/>
        <w:tabs>
          <w:tab w:leader="none" w:pos="2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w:t>
      </w:r>
    </w:p>
    <w:p>
      <w:pPr>
        <w:spacing w:after="0" w:line="14" w:lineRule="exact"/>
        <w:rPr>
          <w:rFonts w:ascii="MS PGothic" w:cs="MS PGothic" w:eastAsia="MS PGothic" w:hAnsi="MS PGothic"/>
          <w:sz w:val="22"/>
          <w:szCs w:val="22"/>
          <w:color w:val="auto"/>
        </w:rPr>
      </w:pPr>
    </w:p>
    <w:p>
      <w:pPr>
        <w:ind w:left="44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left="1480"/>
        <w:spacing w:after="0"/>
        <w:rPr>
          <w:sz w:val="20"/>
          <w:szCs w:val="20"/>
          <w:color w:val="auto"/>
        </w:rPr>
      </w:pPr>
      <w:r>
        <w:rPr>
          <w:rFonts w:ascii="Arial" w:cs="Arial" w:eastAsia="Arial" w:hAnsi="Arial"/>
          <w:sz w:val="18"/>
          <w:szCs w:val="18"/>
          <w:b w:val="1"/>
          <w:bCs w:val="1"/>
          <w:color w:val="auto"/>
        </w:rPr>
        <w:t>For the quarterly period ended</w:t>
      </w:r>
    </w:p>
    <w:p>
      <w:pPr>
        <w:spacing w:after="0" w:line="63" w:lineRule="exact"/>
        <w:rPr>
          <w:sz w:val="24"/>
          <w:szCs w:val="24"/>
          <w:color w:val="auto"/>
        </w:rPr>
      </w:pPr>
    </w:p>
    <w:p>
      <w:pPr>
        <w:jc w:val="center"/>
        <w:ind w:left="1480"/>
        <w:spacing w:after="0"/>
        <w:rPr>
          <w:sz w:val="20"/>
          <w:szCs w:val="20"/>
          <w:color w:val="auto"/>
        </w:rPr>
      </w:pPr>
      <w:r>
        <w:rPr>
          <w:rFonts w:ascii="Arial" w:cs="Arial" w:eastAsia="Arial" w:hAnsi="Arial"/>
          <w:sz w:val="18"/>
          <w:szCs w:val="18"/>
          <w:b w:val="1"/>
          <w:bCs w:val="1"/>
          <w:color w:val="auto"/>
        </w:rPr>
        <w:t>September 30, 2019</w:t>
      </w:r>
    </w:p>
    <w:p>
      <w:pPr>
        <w:spacing w:after="0" w:line="63" w:lineRule="exact"/>
        <w:rPr>
          <w:sz w:val="24"/>
          <w:szCs w:val="24"/>
          <w:color w:val="auto"/>
        </w:rPr>
      </w:pPr>
    </w:p>
    <w:p>
      <w:pPr>
        <w:jc w:val="center"/>
        <w:ind w:left="148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960" w:hanging="1210"/>
        <w:spacing w:after="0"/>
        <w:tabs>
          <w:tab w:leader="none" w:pos="29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w:t>
      </w:r>
    </w:p>
    <w:p>
      <w:pPr>
        <w:spacing w:after="0" w:line="14" w:lineRule="exact"/>
        <w:rPr>
          <w:rFonts w:ascii="MS PGothic" w:cs="MS PGothic" w:eastAsia="MS PGothic" w:hAnsi="MS PGothic"/>
          <w:sz w:val="22"/>
          <w:szCs w:val="22"/>
          <w:color w:val="auto"/>
        </w:rPr>
      </w:pPr>
    </w:p>
    <w:p>
      <w:pPr>
        <w:ind w:left="44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001-38122</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Safehold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96"/>
              </w:rPr>
              <w:t>Maryland</w:t>
            </w: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30-0971238</w:t>
            </w:r>
          </w:p>
        </w:tc>
      </w:tr>
      <w:tr>
        <w:trPr>
          <w:trHeight w:val="256"/>
        </w:trPr>
        <w:tc>
          <w:tcPr>
            <w:tcW w:w="4540" w:type="dxa"/>
            <w:vAlign w:val="bottom"/>
          </w:tcPr>
          <w:p>
            <w:pPr>
              <w:jc w:val="center"/>
              <w:ind w:right="1570"/>
              <w:spacing w:after="0"/>
              <w:rPr>
                <w:sz w:val="20"/>
                <w:szCs w:val="20"/>
                <w:color w:val="auto"/>
              </w:rPr>
            </w:pPr>
            <w:r>
              <w:rPr>
                <w:rFonts w:ascii="Arial" w:cs="Arial" w:eastAsia="Arial" w:hAnsi="Arial"/>
                <w:sz w:val="18"/>
                <w:szCs w:val="18"/>
                <w:color w:val="auto"/>
                <w:w w:val="92"/>
              </w:rPr>
              <w:t>(State or other jurisdiction of</w:t>
            </w:r>
          </w:p>
        </w:tc>
        <w:tc>
          <w:tcPr>
            <w:tcW w:w="3340" w:type="dxa"/>
            <w:vAlign w:val="bottom"/>
          </w:tcPr>
          <w:p>
            <w:pPr>
              <w:jc w:val="center"/>
              <w:ind w:left="1570"/>
              <w:spacing w:after="0"/>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tcPr>
          <w:p>
            <w:pPr>
              <w:jc w:val="center"/>
              <w:ind w:right="1570"/>
              <w:spacing w:after="0"/>
              <w:rPr>
                <w:sz w:val="20"/>
                <w:szCs w:val="20"/>
                <w:color w:val="auto"/>
              </w:rPr>
            </w:pPr>
            <w:r>
              <w:rPr>
                <w:rFonts w:ascii="Arial" w:cs="Arial" w:eastAsia="Arial" w:hAnsi="Arial"/>
                <w:sz w:val="18"/>
                <w:szCs w:val="18"/>
                <w:color w:val="auto"/>
                <w:w w:val="92"/>
              </w:rPr>
              <w:t>incorporation or organization)</w:t>
            </w:r>
          </w:p>
        </w:tc>
        <w:tc>
          <w:tcPr>
            <w:tcW w:w="334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Number)</w:t>
            </w:r>
          </w:p>
        </w:tc>
      </w:tr>
      <w:tr>
        <w:trPr>
          <w:trHeight w:val="270"/>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7"/>
              </w:rPr>
              <w:t>1114 Avenue of the Americas</w:t>
            </w:r>
          </w:p>
        </w:tc>
        <w:tc>
          <w:tcPr>
            <w:tcW w:w="3340" w:type="dxa"/>
            <w:vAlign w:val="bottom"/>
          </w:tcPr>
          <w:p>
            <w:pPr>
              <w:spacing w:after="0"/>
              <w:rPr>
                <w:sz w:val="23"/>
                <w:szCs w:val="23"/>
                <w:color w:val="auto"/>
              </w:rPr>
            </w:pPr>
          </w:p>
        </w:tc>
      </w:tr>
      <w:tr>
        <w:trPr>
          <w:trHeight w:val="270"/>
        </w:trPr>
        <w:tc>
          <w:tcPr>
            <w:tcW w:w="454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39th Floor</w:t>
            </w:r>
          </w:p>
        </w:tc>
        <w:tc>
          <w:tcPr>
            <w:tcW w:w="334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b w:val="1"/>
                <w:bCs w:val="1"/>
                <w:color w:val="auto"/>
              </w:rPr>
              <w:t>New York , NY</w:t>
            </w:r>
          </w:p>
        </w:tc>
        <w:tc>
          <w:tcPr>
            <w:tcW w:w="3340" w:type="dxa"/>
            <w:vAlign w:val="bottom"/>
          </w:tcPr>
          <w:p>
            <w:pPr>
              <w:jc w:val="right"/>
              <w:ind w:right="530"/>
              <w:spacing w:after="0"/>
              <w:rPr>
                <w:sz w:val="20"/>
                <w:szCs w:val="20"/>
                <w:color w:val="auto"/>
              </w:rPr>
            </w:pPr>
            <w:r>
              <w:rPr>
                <w:rFonts w:ascii="Arial" w:cs="Arial" w:eastAsia="Arial" w:hAnsi="Arial"/>
                <w:sz w:val="18"/>
                <w:szCs w:val="18"/>
                <w:b w:val="1"/>
                <w:bCs w:val="1"/>
                <w:color w:val="auto"/>
              </w:rPr>
              <w:t>10036</w:t>
            </w:r>
          </w:p>
        </w:tc>
      </w:tr>
      <w:tr>
        <w:trPr>
          <w:trHeight w:val="270"/>
        </w:trPr>
        <w:tc>
          <w:tcPr>
            <w:tcW w:w="454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jc w:val="center"/>
              <w:ind w:left="1570"/>
              <w:spacing w:after="0"/>
              <w:rPr>
                <w:sz w:val="20"/>
                <w:szCs w:val="20"/>
                <w:color w:val="auto"/>
              </w:rPr>
            </w:pPr>
            <w:r>
              <w:rPr>
                <w:rFonts w:ascii="Arial" w:cs="Arial" w:eastAsia="Arial" w:hAnsi="Arial"/>
                <w:sz w:val="18"/>
                <w:szCs w:val="18"/>
                <w:color w:val="auto"/>
                <w:w w:val="9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(212) </w:t>
      </w:r>
      <w:r>
        <w:rPr>
          <w:rFonts w:ascii="Arial" w:cs="Arial" w:eastAsia="Arial" w:hAnsi="Arial"/>
          <w:sz w:val="18"/>
          <w:szCs w:val="18"/>
          <w:b w:val="1"/>
          <w:bCs w:val="1"/>
          <w:color w:val="auto"/>
        </w:rPr>
        <w:t>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Large</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Non-accelerated filer</w:t>
            </w:r>
          </w:p>
        </w:tc>
        <w:tc>
          <w:tcPr>
            <w:tcW w:w="2400" w:type="dxa"/>
            <w:vAlign w:val="bottom"/>
          </w:tcPr>
          <w:p>
            <w:pPr>
              <w:jc w:val="center"/>
              <w:ind w:right="30"/>
              <w:spacing w:after="0"/>
              <w:rPr>
                <w:sz w:val="20"/>
                <w:szCs w:val="20"/>
                <w:color w:val="auto"/>
              </w:rPr>
            </w:pPr>
            <w:r>
              <w:rPr>
                <w:rFonts w:ascii="Arial" w:cs="Arial" w:eastAsia="Arial" w:hAnsi="Arial"/>
                <w:sz w:val="18"/>
                <w:szCs w:val="18"/>
                <w:color w:val="auto"/>
                <w:w w:val="91"/>
              </w:rPr>
              <w:t>Smaller reporting company</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4"/>
              </w:rPr>
              <w:t>Emerging growth</w:t>
            </w:r>
          </w:p>
        </w:tc>
      </w:tr>
      <w:tr>
        <w:trPr>
          <w:trHeight w:val="230"/>
        </w:trPr>
        <w:tc>
          <w:tcPr>
            <w:tcW w:w="2420" w:type="dxa"/>
            <w:vAlign w:val="bottom"/>
          </w:tcPr>
          <w:p>
            <w:pPr>
              <w:jc w:val="center"/>
              <w:ind w:left="690"/>
              <w:spacing w:after="0"/>
              <w:rPr>
                <w:sz w:val="20"/>
                <w:szCs w:val="20"/>
                <w:color w:val="auto"/>
              </w:rPr>
            </w:pPr>
            <w:r>
              <w:rPr>
                <w:rFonts w:ascii="Arial" w:cs="Arial" w:eastAsia="Arial" w:hAnsi="Arial"/>
                <w:sz w:val="18"/>
                <w:szCs w:val="18"/>
                <w:color w:val="auto"/>
                <w:w w:val="91"/>
              </w:rPr>
              <w:t>accelerated filer</w:t>
            </w:r>
          </w:p>
        </w:tc>
        <w:tc>
          <w:tcPr>
            <w:tcW w:w="1300" w:type="dxa"/>
            <w:vAlign w:val="bottom"/>
          </w:tcPr>
          <w:p>
            <w:pPr>
              <w:jc w:val="center"/>
              <w:spacing w:after="0"/>
              <w:rPr>
                <w:sz w:val="20"/>
                <w:szCs w:val="20"/>
                <w:color w:val="auto"/>
              </w:rPr>
            </w:pPr>
            <w:r>
              <w:rPr>
                <w:rFonts w:ascii="Arial" w:cs="Arial" w:eastAsia="Arial" w:hAnsi="Arial"/>
                <w:sz w:val="18"/>
                <w:szCs w:val="18"/>
                <w:color w:val="auto"/>
              </w:rPr>
              <w:t>filer</w:t>
            </w:r>
          </w:p>
        </w:tc>
        <w:tc>
          <w:tcPr>
            <w:tcW w:w="1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60" w:type="dxa"/>
            <w:vAlign w:val="bottom"/>
          </w:tcPr>
          <w:p>
            <w:pPr>
              <w:jc w:val="center"/>
              <w:ind w:left="70"/>
              <w:spacing w:after="0"/>
              <w:rPr>
                <w:sz w:val="20"/>
                <w:szCs w:val="20"/>
                <w:color w:val="auto"/>
              </w:rPr>
            </w:pPr>
            <w:r>
              <w:rPr>
                <w:rFonts w:ascii="Arial" w:cs="Arial" w:eastAsia="Arial" w:hAnsi="Arial"/>
                <w:sz w:val="18"/>
                <w:szCs w:val="18"/>
                <w:color w:val="auto"/>
                <w:w w:val="90"/>
              </w:rPr>
              <w:t>company</w:t>
            </w:r>
          </w:p>
        </w:tc>
      </w:tr>
      <w:tr>
        <w:trPr>
          <w:trHeight w:val="290"/>
        </w:trPr>
        <w:tc>
          <w:tcPr>
            <w:tcW w:w="2420" w:type="dxa"/>
            <w:vAlign w:val="bottom"/>
          </w:tcPr>
          <w:p>
            <w:pPr>
              <w:jc w:val="center"/>
              <w:ind w:left="690"/>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594"/>
        </w:trPr>
        <w:tc>
          <w:tcPr>
            <w:tcW w:w="8020" w:type="dxa"/>
            <w:vAlign w:val="bottom"/>
            <w:gridSpan w:val="4"/>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Act). Yes </w:t>
            </w:r>
            <w:r>
              <w:rPr>
                <w:rFonts w:ascii="MS PGothic" w:cs="MS PGothic" w:eastAsia="MS PGothic" w:hAnsi="MS PGothic"/>
                <w:sz w:val="18"/>
                <w:szCs w:val="18"/>
                <w:color w:val="auto"/>
                <w:w w:val="91"/>
              </w:rPr>
              <w:t>☐</w:t>
            </w:r>
          </w:p>
        </w:tc>
        <w:tc>
          <w:tcPr>
            <w:tcW w:w="14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49" w:lineRule="exact"/>
        <w:rPr>
          <w:sz w:val="24"/>
          <w:szCs w:val="24"/>
          <w:color w:val="auto"/>
        </w:rPr>
      </w:pPr>
    </w:p>
    <w:p>
      <w:pPr>
        <w:ind w:firstLine="405"/>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2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2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Common Stock</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SAFE</w:t>
            </w: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NYSE</w:t>
            </w:r>
          </w:p>
        </w:tc>
      </w:tr>
    </w:tbl>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23, 2019, there were 40,444,156 shares, $0.01 par value per share, of Safehold Inc.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160" w:type="dxa"/>
            <w:vAlign w:val="bottom"/>
            <w:gridSpan w:val="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540" w:type="dxa"/>
            <w:vAlign w:val="bottom"/>
            <w:gridSpan w:val="18"/>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 w:type="dxa"/>
            <w:vAlign w:val="bottom"/>
            <w:tcBorders>
              <w:top w:val="single" w:sz="8" w:color="0000EE"/>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580" w:type="dxa"/>
            <w:vAlign w:val="bottom"/>
            <w:gridSpan w:val="2"/>
          </w:tcPr>
          <w:p>
            <w:pPr>
              <w:spacing w:after="0"/>
              <w:rPr>
                <w:sz w:val="22"/>
                <w:szCs w:val="22"/>
                <w:color w:val="auto"/>
              </w:rPr>
            </w:pPr>
          </w:p>
        </w:tc>
        <w:tc>
          <w:tcPr>
            <w:tcW w:w="2560" w:type="dxa"/>
            <w:vAlign w:val="bottom"/>
            <w:tcBorders>
              <w:top w:val="single" w:sz="8" w:color="0000EE"/>
            </w:tcBorders>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980" w:type="dxa"/>
            <w:vAlign w:val="bottom"/>
            <w:gridSpan w:val="9"/>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0" w:type="dxa"/>
            <w:vAlign w:val="bottom"/>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(unaudited) as of September 30, 2019 and December 31, 2018</w:t>
              </w:r>
            </w:hyperlink>
          </w:p>
        </w:tc>
        <w:tc>
          <w:tcPr>
            <w:tcW w:w="2940" w:type="dxa"/>
            <w:vAlign w:val="bottom"/>
            <w:gridSpan w:val="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Operations (unaudited)—For the three and nine months ended September 30, 2019 and 2018</w:t>
              </w:r>
            </w:hyperlink>
          </w:p>
        </w:tc>
        <w:tc>
          <w:tcPr>
            <w:tcW w:w="6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Comprehensive Income (unaudited)—For the three and nine months ended September 30, 2019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vMerge w:val="restart"/>
          </w:tcPr>
          <w:p>
            <w:pPr>
              <w:spacing w:after="0"/>
              <w:rPr>
                <w:sz w:val="17"/>
                <w:szCs w:val="17"/>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Statements of Changes in Equity (unaudited)—For the three and nine months ended September 30, 2019 and 2018</w:t>
              </w:r>
            </w:hyperlink>
          </w:p>
        </w:tc>
        <w:tc>
          <w:tcPr>
            <w:tcW w:w="6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(unaudited)—For the nine months ended September 30, 2019 and 2018</w:t>
              </w:r>
            </w:hyperlink>
          </w:p>
        </w:tc>
        <w:tc>
          <w:tcPr>
            <w:tcW w:w="320" w:type="dxa"/>
            <w:vAlign w:val="bottom"/>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20" w:type="dxa"/>
            <w:vAlign w:val="bottom"/>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(unaudited)</w:t>
              </w:r>
            </w:hyperlink>
          </w:p>
        </w:tc>
        <w:tc>
          <w:tcPr>
            <w:tcW w:w="1520" w:type="dxa"/>
            <w:vAlign w:val="bottom"/>
            <w:gridSpan w:val="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shd w:val="clear" w:color="auto" w:fill="0000EE"/>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2080" w:type="dxa"/>
            <w:vAlign w:val="bottom"/>
          </w:tcPr>
          <w:p>
            <w:pPr>
              <w:spacing w:after="0"/>
              <w:rPr>
                <w:sz w:val="21"/>
                <w:szCs w:val="21"/>
                <w:color w:val="auto"/>
              </w:rPr>
            </w:pPr>
          </w:p>
        </w:tc>
        <w:tc>
          <w:tcPr>
            <w:tcW w:w="312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45">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6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8"/>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180" w:type="dxa"/>
            <w:vAlign w:val="bottom"/>
          </w:tcPr>
          <w:p>
            <w:pPr>
              <w:jc w:val="center"/>
              <w:ind w:left="2130"/>
              <w:spacing w:after="0"/>
              <w:rPr>
                <w:sz w:val="20"/>
                <w:szCs w:val="20"/>
                <w:color w:val="auto"/>
              </w:rPr>
            </w:pPr>
            <w:r>
              <w:rPr>
                <w:rFonts w:ascii="Arial" w:cs="Arial" w:eastAsia="Arial" w:hAnsi="Arial"/>
                <w:sz w:val="18"/>
                <w:szCs w:val="18"/>
                <w:b w:val="1"/>
                <w:bCs w:val="1"/>
                <w:color w:val="auto"/>
              </w:rPr>
              <w:t>PART I. CONSOLIDATED FINANCIAL INFORMATION</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8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Safehold Inc.</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180" w:type="dxa"/>
            <w:vAlign w:val="bottom"/>
          </w:tcPr>
          <w:p>
            <w:pPr>
              <w:jc w:val="center"/>
              <w:ind w:left="213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18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18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jc w:val="center"/>
              <w:ind w:right="85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659,666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Real estate-related intangible assets, net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244,503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262,531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real estate, net and real estate-related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922,197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investment in sales-type leases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465,289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Ground Lease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Equity investments in Ground Leases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73,213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1,637,162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979,743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8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42,975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estate-related intangible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57,620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Debt obligations, net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691,567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543,965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792,036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622,385</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(refer to Note 9)</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Safehold Inc. shareholders' equity:</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Common stock, $0.01 par value, 400,000 shares authorized, 40,444 and 18,276 shares issued and outstanding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888,457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370,530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Safehold Inc.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355,351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845,126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357,358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1,637,162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979,743</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200" w:type="dxa"/>
            <w:vAlign w:val="bottom"/>
            <w:gridSpan w:val="3"/>
          </w:tcPr>
          <w:p>
            <w:pPr>
              <w:spacing w:after="0"/>
              <w:rPr>
                <w:sz w:val="20"/>
                <w:szCs w:val="20"/>
                <w:color w:val="auto"/>
              </w:rPr>
            </w:pPr>
            <w:r>
              <w:rPr>
                <w:rFonts w:ascii="Arial" w:cs="Arial" w:eastAsia="Arial" w:hAnsi="Arial"/>
                <w:sz w:val="14"/>
                <w:szCs w:val="14"/>
                <w:color w:val="auto"/>
              </w:rPr>
              <w:t>Note - Refer to Note 2 for details on the Company's consolidated variable interest entities ("VIEs").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340"/>
          </w:cols>
          <w:pgMar w:left="240" w:top="114" w:right="319"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114" w:right="3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86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Safehold Inc.</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6680" w:type="dxa"/>
            <w:vAlign w:val="bottom"/>
            <w:gridSpan w:val="7"/>
          </w:tcPr>
          <w:p>
            <w:pPr>
              <w:jc w:val="center"/>
              <w:ind w:left="263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6680" w:type="dxa"/>
            <w:vAlign w:val="bottom"/>
            <w:gridSpan w:val="7"/>
          </w:tcPr>
          <w:p>
            <w:pPr>
              <w:jc w:val="center"/>
              <w:ind w:left="26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60"/>
        </w:trPr>
        <w:tc>
          <w:tcPr>
            <w:tcW w:w="10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Three Months</w:t>
            </w:r>
          </w:p>
        </w:tc>
        <w:tc>
          <w:tcPr>
            <w:tcW w:w="300" w:type="dxa"/>
            <w:vAlign w:val="bottom"/>
          </w:tcPr>
          <w:p>
            <w:pPr>
              <w:spacing w:after="0"/>
              <w:rPr>
                <w:sz w:val="24"/>
                <w:szCs w:val="24"/>
                <w:color w:val="auto"/>
              </w:rPr>
            </w:pPr>
          </w:p>
        </w:tc>
        <w:tc>
          <w:tcPr>
            <w:tcW w:w="252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10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300" w:type="dxa"/>
            <w:vAlign w:val="bottom"/>
          </w:tcPr>
          <w:p>
            <w:pPr>
              <w:spacing w:after="0"/>
              <w:rPr>
                <w:sz w:val="20"/>
                <w:szCs w:val="20"/>
                <w:color w:val="auto"/>
              </w:rPr>
            </w:pPr>
          </w:p>
        </w:tc>
        <w:tc>
          <w:tcPr>
            <w:tcW w:w="2520" w:type="dxa"/>
            <w:vAlign w:val="bottom"/>
            <w:gridSpan w:val="4"/>
          </w:tcPr>
          <w:p>
            <w:pPr>
              <w:ind w:left="300"/>
              <w:spacing w:after="0"/>
              <w:rPr>
                <w:sz w:val="20"/>
                <w:szCs w:val="20"/>
                <w:color w:val="auto"/>
              </w:rPr>
            </w:pPr>
            <w:r>
              <w:rPr>
                <w:rFonts w:ascii="Arial" w:cs="Arial" w:eastAsia="Arial" w:hAnsi="Arial"/>
                <w:sz w:val="18"/>
                <w:szCs w:val="18"/>
                <w:b w:val="1"/>
                <w:bCs w:val="1"/>
                <w:color w:val="auto"/>
              </w:rPr>
              <w:t>Ended September 30,</w:t>
            </w:r>
          </w:p>
        </w:tc>
      </w:tr>
      <w:tr>
        <w:trPr>
          <w:trHeight w:val="392"/>
        </w:trPr>
        <w:tc>
          <w:tcPr>
            <w:tcW w:w="10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10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Operating lease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54,844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32,708</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sales-type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10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34,911</w:t>
            </w: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Real estate expense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8,103</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37"/>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27,337</w:t>
            </w:r>
          </w:p>
        </w:tc>
      </w:tr>
      <w:tr>
        <w:trPr>
          <w:trHeight w:val="27"/>
        </w:trPr>
        <w:tc>
          <w:tcPr>
            <w:tcW w:w="10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 before other items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Earnings (losses) from equity method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7,574</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Net income allocable to noncontrolling interests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97"/>
        </w:trPr>
        <w:tc>
          <w:tcPr>
            <w:tcW w:w="4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9"/>
              </w:rPr>
              <w:t>Net income allocable to Safehold Inc. common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16,574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w:t>
            </w:r>
          </w:p>
        </w:tc>
      </w:tr>
      <w:tr>
        <w:trPr>
          <w:trHeight w:val="257"/>
        </w:trPr>
        <w:tc>
          <w:tcPr>
            <w:tcW w:w="102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common share data:</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Weighted average number of common shares: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18,204</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18,204</w:t>
            </w:r>
          </w:p>
        </w:tc>
      </w:tr>
    </w:tbl>
    <w:p>
      <w:pPr>
        <w:spacing w:after="0" w:line="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980" w:hanging="405"/>
        <w:spacing w:after="0" w:line="255" w:lineRule="auto"/>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nine months ended September 30, 2019, includes $5.8 million of income allocable to the Company's Manager relating to Investor Units it held in the Operating Partnership (refer to Note 11).</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3900" w:type="dxa"/>
            <w:vAlign w:val="bottom"/>
          </w:tcPr>
          <w:p>
            <w:pPr>
              <w:spacing w:after="0"/>
              <w:rPr>
                <w:sz w:val="24"/>
                <w:szCs w:val="2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Safehold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7180" w:type="dxa"/>
            <w:vAlign w:val="bottom"/>
            <w:gridSpan w:val="8"/>
          </w:tcPr>
          <w:p>
            <w:pPr>
              <w:jc w:val="center"/>
              <w:ind w:left="213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60"/>
        </w:trPr>
        <w:tc>
          <w:tcPr>
            <w:tcW w:w="10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Three Months</w:t>
            </w:r>
          </w:p>
        </w:tc>
        <w:tc>
          <w:tcPr>
            <w:tcW w:w="300" w:type="dxa"/>
            <w:vAlign w:val="bottom"/>
          </w:tcPr>
          <w:p>
            <w:pPr>
              <w:spacing w:after="0"/>
              <w:rPr>
                <w:sz w:val="24"/>
                <w:szCs w:val="24"/>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10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300" w:type="dxa"/>
            <w:vAlign w:val="bottom"/>
          </w:tcPr>
          <w:p>
            <w:pPr>
              <w:spacing w:after="0"/>
              <w:rPr>
                <w:sz w:val="20"/>
                <w:szCs w:val="20"/>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b w:val="1"/>
                <w:bCs w:val="1"/>
                <w:color w:val="auto"/>
              </w:rPr>
              <w:t>Ended September 30,</w:t>
            </w:r>
          </w:p>
        </w:tc>
      </w:tr>
      <w:tr>
        <w:trPr>
          <w:trHeight w:val="392"/>
        </w:trPr>
        <w:tc>
          <w:tcPr>
            <w:tcW w:w="10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10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15"/>
        </w:trPr>
        <w:tc>
          <w:tcPr>
            <w:tcW w:w="10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Cumulative-effect adjustment for cash flow hedges</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Reclassification of (gains) losses on derivatives into earnings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10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8,956</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8,898</w:t>
            </w:r>
          </w:p>
        </w:tc>
      </w:tr>
      <w:tr>
        <w:trPr>
          <w:trHeight w:val="27"/>
        </w:trPr>
        <w:tc>
          <w:tcPr>
            <w:tcW w:w="10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16,472</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5"/>
              </w:rPr>
              <w:t>Comprehensive income attributable to noncontrolling interests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10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Safehold Inc.</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240" w:top="114" w:right="699"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18"/>
          <w:szCs w:val="18"/>
          <w:b w:val="1"/>
          <w:bCs w:val="1"/>
          <w:color w:val="auto"/>
        </w:rPr>
        <w:t>Safehold Inc.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June 30, 2019</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626,793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593,064</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net / amortization</w:t>
            </w: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261,664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261,850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Dividends declared ($0.156 per share)</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(6,315)</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accumulated other comprehensive income (loss)</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2019</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888,457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845,126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June 30, 2018</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369,612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368,373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 amortization</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Dividends declared ($0.15 per share)</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accumulated other comprehensive income</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4"/>
                <w:szCs w:val="14"/>
                <w:color w:val="auto"/>
              </w:rPr>
              <w:t>Balance as of September 30, 2018</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369,625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8,978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370,597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91" w:right="1440" w:bottom="1440" w:gutter="0" w:footer="0" w:header="0"/>
        </w:sectPr>
      </w:pPr>
    </w:p>
    <w:bookmarkStart w:id="7" w:name="page8"/>
    <w:bookmarkEnd w:id="7"/>
    <w:p>
      <w:pPr>
        <w:jc w:val="center"/>
        <w:ind w:right="-1200"/>
        <w:spacing w:after="0"/>
        <w:rPr>
          <w:sz w:val="20"/>
          <w:szCs w:val="20"/>
          <w:color w:val="auto"/>
        </w:rPr>
      </w:pPr>
      <w:r>
        <w:rPr>
          <w:rFonts w:ascii="Arial" w:cs="Arial" w:eastAsia="Arial" w:hAnsi="Arial"/>
          <w:sz w:val="18"/>
          <w:szCs w:val="18"/>
          <w:b w:val="1"/>
          <w:bCs w:val="1"/>
          <w:color w:val="auto"/>
        </w:rPr>
        <w:t>Safehold Inc.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Balance as of December 31, 2018</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370,530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(8,486)</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(6,876)</w:t>
            </w: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357,358</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22,560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Issuance of common stock, net / amortization</w:t>
            </w:r>
          </w:p>
        </w:tc>
        <w:tc>
          <w:tcPr>
            <w:tcW w:w="16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265,239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265,600</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Investor unit conversion (refer to Note 11)</w:t>
            </w: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252,060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Dividends declared ($0.462 per share)</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(13,897)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accumulated other comprehensive income (loss)</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245,426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248,846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0" w:type="dxa"/>
            <w:vAlign w:val="bottom"/>
          </w:tcPr>
          <w:p>
            <w:pPr>
              <w:spacing w:after="0"/>
              <w:rPr>
                <w:sz w:val="1"/>
                <w:szCs w:val="1"/>
                <w:color w:val="auto"/>
              </w:rPr>
            </w:pPr>
          </w:p>
        </w:tc>
      </w:tr>
      <w:tr>
        <w:trPr>
          <w:trHeight w:val="28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September 30, 2019</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888,457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(5,809)</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845,126</w:t>
            </w:r>
          </w:p>
        </w:tc>
        <w:tc>
          <w:tcPr>
            <w:tcW w:w="0" w:type="dxa"/>
            <w:vAlign w:val="bottom"/>
          </w:tcPr>
          <w:p>
            <w:pPr>
              <w:spacing w:after="0"/>
              <w:rPr>
                <w:sz w:val="1"/>
                <w:szCs w:val="1"/>
                <w:color w:val="auto"/>
              </w:rPr>
            </w:pPr>
          </w:p>
        </w:tc>
      </w:tr>
      <w:tr>
        <w:trPr>
          <w:trHeight w:val="264"/>
        </w:trPr>
        <w:tc>
          <w:tcPr>
            <w:tcW w:w="4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Balance as of December 31, 2017</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364,919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(9,246)</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355,935</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7,574</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Contributions from iStar Inc.</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Offering costs</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Issuance of common stock / amortization</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($0.45 per share)</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(8,198)</w:t>
            </w: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Cumulative-effect adjustment for cash flow hedges</w:t>
            </w:r>
          </w:p>
        </w:tc>
        <w:tc>
          <w:tcPr>
            <w:tcW w:w="160" w:type="dxa"/>
            <w:vAlign w:val="bottom"/>
          </w:tcPr>
          <w:p>
            <w:pPr>
              <w:spacing w:after="0"/>
              <w:rPr>
                <w:sz w:val="16"/>
                <w:szCs w:val="1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accumulated other comprehensive income</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8,857</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4"/>
                <w:szCs w:val="14"/>
                <w:color w:val="auto"/>
              </w:rPr>
              <w:t>Balance as of September 30, 2018</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369,625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8,978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370,597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39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Safehold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Ended September 30,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80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22,560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7,574</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cash flows from operating activities: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6,836</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Deferred operating lease income</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(11,781)</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interest income from sales-type leases</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Amortization of real estate-related intangibles, net</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(Earnings) losses from equity method investments</w:t>
            </w:r>
          </w:p>
        </w:tc>
        <w:tc>
          <w:tcPr>
            <w:tcW w:w="26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 discount and deferred financing costs on debt obligations,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Non-cash management fees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4,971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2,723</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deferred expenses and other assets,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flows provided by (used in)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10,816</w:t>
            </w:r>
          </w:p>
        </w:tc>
        <w:tc>
          <w:tcPr>
            <w:tcW w:w="0" w:type="dxa"/>
            <w:vAlign w:val="bottom"/>
          </w:tcPr>
          <w:p>
            <w:pPr>
              <w:spacing w:after="0"/>
              <w:rPr>
                <w:sz w:val="1"/>
                <w:szCs w:val="1"/>
                <w:color w:val="auto"/>
              </w:rPr>
            </w:pPr>
          </w:p>
        </w:tc>
      </w:tr>
      <w:tr>
        <w:trPr>
          <w:trHeight w:val="244"/>
        </w:trPr>
        <w:tc>
          <w:tcPr>
            <w:tcW w:w="80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real estate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(208,083)</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Origination/acquisition of net investment in sales-type leases and Ground Lease receivables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(525,886)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 on ground lease investments</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(30,697)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Contributions to equity method investments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(611,575)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(216,749)</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264,600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debt obligations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435,989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Repayments of debt obligations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for debt prepayment or extinguishment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Payments for deferred financing costs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to common shareholders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(8,192)</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Payment of offering costs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Contributions from noncontrolling interests (refer to Note 11)</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provided by (used in)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628,484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56,068</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cash, cash equivalents and restricted cash</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(149,865)</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24,425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169,870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20,005</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 of non-cash investing and financing activity:</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iStar Inc.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Origination of sales-type leases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10,194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Assumption of debt obligations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Investor unit conversion (refer to Note 11)</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declared to common shareholders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264"/>
        </w:trPr>
        <w:tc>
          <w:tcPr>
            <w:tcW w:w="8020" w:type="dxa"/>
            <w:vAlign w:val="bottom"/>
          </w:tcPr>
          <w:p>
            <w:pPr>
              <w:ind w:left="180"/>
              <w:spacing w:after="0"/>
              <w:rPr>
                <w:sz w:val="20"/>
                <w:szCs w:val="20"/>
                <w:color w:val="auto"/>
              </w:rPr>
            </w:pPr>
            <w:r>
              <w:rPr>
                <w:rFonts w:ascii="Arial" w:cs="Arial" w:eastAsia="Arial" w:hAnsi="Arial"/>
                <w:sz w:val="14"/>
                <w:szCs w:val="14"/>
                <w:color w:val="auto"/>
              </w:rPr>
              <w:t>Accrued finance costs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76"/>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240" w:top="121" w:right="1259" w:bottom="0" w:gutter="0" w:footer="0" w:header="0"/>
        </w:sectPr>
      </w:pP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0400"/>
          </w:cols>
          <w:pgMar w:left="240" w:top="121" w:right="125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8"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—Safehold Inc. (the "Company"), formerly known as Safety, Income &amp; Growth Inc., operates its business through one reportable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by acquiring, managing and capitalizing ground leases. Ground leases are long-term contracts between the landlord (the Company) and a tenant or leaseholder. The Company believes that it is the first publicly-traded company formed primarily to acquire, own, manage, finance and capitalize ground leases. Ground leases generally represent ownership of the land underlying commercial real estate projects that is net leased by the fee owner of the land to the owners/operators of the real estate projects built thereon ("Ground Leases"). Ground Leases are similar to "triple net" leases because the tenant is generally responsible for all property operating expenses, such as maintenance, real estate taxes and insurance and is also responsible for development costs and capital expenditures. Ground Leases are typically long-term (base terms ranging from 30 to 99 years, often with tenant renewal options) and have contractual base rent increases (either at a specified percentage or consumer price index ("CPI") based, or both) and sometimes include percentage rent participations.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intends to target investments in long-term Ground Leases in which: (i) the cost of its Ground Lease represents 30% to 45% of the combined value of the land and buildings and improvements thereon as if there was no Ground Lease on the land ("Combined Property Value"); (ii) the ratio of underlying property net operating income to the Ground Lease payment due the Company ("Ground Rent Coverage") is between 2.0x to 5.0x, and for this purpose the Company uses estimates of the stabilized underlying property net operating income if it doesn't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managed by SFTY Manager, LLC (the "Manager"), a wholly-owned subsidiary of iStar Inc. ("iStar"), the Company's largest shareholder, pursuant to a management agreement (refer to Note 13). The Company has no employees, as the Manager provides all services to it. The Company draws on the extensive investment origination and sourcing platform of its Manager to actively promote the benefits of the Ground Lease structure to prospective Ground Lease tenants.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—The Company is a Maryland corporation and completed its initial public offering in June 2017. The Company's common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on the New York Stock Exchange under the symbol "SAFE." The Company's predecessor ("Original Safety" or the "Predecessor") was formed as a wholly-owned subsidiary of iStar on October 24, 2016. iStar contributed a pre-existing portfolio of Ground Leases to Original Safety and sought third party capital to grow its Ground Lease business. A second entity, SIGI Acquisition, Inc. ("SIGI"), was capitalized on April 14, 2017 by iStar and two institutional investors. On April 14, 2017, Original Safety merged with and into SIGI with SIGI surviving the merger and being renamed Safety, Income &amp; Growth Inc. (which was subsequently renamed to Safehold Inc.). References herein to the Company refer to Original Safety before such merger and to the surviving company of such merger thereafter.</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June 27, 2017, the Company completed its initial public offering raising $205.0 million in gross proceeds and concurrently completed a $45.0 million private placement with iStar, its largest shareholder. The price per share paid in the initial public offering and the private placement was $20.00.</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elected to be taxed as a real estate investment trust ("REIT") for U.S. federal income tax purposes, commencing with the tax year ended December 31, 2017. The Company is structured as an Umbrella Partnership REIT ("UPREIT"). As such, all of the Company's properties are owned through a subsidiary partnership, Safehold Operating Partnership LP (the "Operating Partnership"). As of September 30, 2019, the Company owned 100% of the limited partner interests and a subsidiary of the Company owned 100% of the general partner interests, in the Operating Partnership. The UPREIT structure may afford the Company certain benefits as it seeks to acquire properties from third parties who may want to defer taxes by contributing their Ground Leases to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consolidated financial statements have been prepared in conformity with the instructions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and combined financial statements and related notes included in the Company's Annual Report on Form 10-K for the year ended December 31, 2018 (the "2018 Annual Report").</w:t>
      </w:r>
    </w:p>
    <w:p>
      <w:pPr>
        <w:spacing w:after="0" w:line="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consolidated financial statements include the accounts and operations of the Company, its wholly-owned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and VIEs for which the Company is the primary beneficiary. All intercompany balances and transactions have been eliminated in consolidation.</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Consolidated VIEs</w:t>
      </w:r>
      <w:r>
        <w:rPr>
          <w:rFonts w:ascii="Arial" w:cs="Arial" w:eastAsia="Arial" w:hAnsi="Arial"/>
          <w:sz w:val="17"/>
          <w:szCs w:val="17"/>
          <w:color w:val="auto"/>
        </w:rPr>
        <w:t>—The Company consolidates VIEs for which it is considered the primary beneficiary. As of September 30, 2019, the total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consolidated VIEs were $57.4 million and total liabilities were $29.5 million. The classifications of these assets are primarily within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did not have any unfunded commitments related to consolidated VIEs as of September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paragraphs describe the impact on the Company's consolidated financial statements from the adoption of Accounting Standards Updates ("ASUs") on January 1, 2019.</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 2016-02 and ASU 2018-11—ASU 2016-02, Leases ("ASU 2016-02") resulted in the Company, as lessor, recognizing certain of its Ground Leases as sales-type leases and recording the Ground Lease as "Net investment in leases" on the Company's consolidated balance sheets (refer to Note 5). For the Company's Ground Leases which qualify as sales-type leases, the Company records interest income in "Interest income from sales-type leases" in the Company's consolidated statements of operations. The amount recorded as interest income from sales-type leases in any given period will likely be different than the straight-line ground lease income that would have been recorded under the superseded guidance.</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ASU 2016-02 also required the recognition of lease assets and lease liabilities by the Company as lessee for those leases classified as operating or finance leases, both measured at the present value of the lease payments (refer to Note 7). As of December 31, 2018, the Company was party to a Ground Lease and obligated to pay the owner of the property $0.4 million, subject to adjustment for changes in the CPI, per year through 2044; however, the Company's tenant at the property pays this expense directly under the terms of a master lease. As lessee under the Ground Lease, the Company recognizes a single lease cost, calculated on a straight-line basis, in "Real estate expense" and an offsetting amount in "Other income" in the Company's consolidated statements of operations. In addition, the Company reclassified a below-market lease asset acquired as part of a business combination from "Real estate-related intangible assets, net" (refer to note 4) to "Deferred expenses and other assets, net" (refer to Note 7) on the Company's consolidated balance sheets.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elected the practical expedient package that allowed the Company: (a) to not reassess whether any expired or existing contracts entered into prior to January 1, 2019 are or contain leases; (b) to not reassess the lease classification for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expired or existing leases entered into prior to January 1, 2019; and (c) to not reassess initial direct costs for any expired or existing leases entered into prior to January 1, 2019.</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ASU 2018-11, Leases amended ASU 2016-02 so that: (i) entities could elect to not recast the comparative periods presented when transitioning to ASC 842 by allowing entities to change their initial application to the beginning of the period of adoption with a cumulative effect adjustment to equity; and</w:t>
      </w:r>
    </w:p>
    <w:p>
      <w:pPr>
        <w:ind w:firstLine="8"/>
        <w:spacing w:after="0" w:line="261" w:lineRule="auto"/>
        <w:tabs>
          <w:tab w:leader="none" w:pos="286"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provided lessors with a practical expedient to not separate non-lease components from the associated lease component of the contractual payments if certain conditions are met. Management elected both of these provisions.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2018-16—ASU 2018-16, Derivatives and Hedging: Inclusion of the Secured Overnight Financing Rate ("SOFR") Overnight Index Swap ("OIS") Rate as a Benchmark Interest Rate for Hedge Accounting Purposes expands the list of U.S. benchmark interest rates permitted in the application of hedge accounting by adding the OIS rate based on SOFR as an eligible benchmark interest rate. The adoption of ASU 2018-16 did not have a material impact on the Company's consolidated financial statements.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Net Investment in Sales-type Leases and Ground Lease Receivables</w:t>
      </w:r>
      <w:r>
        <w:rPr>
          <w:rFonts w:ascii="Arial" w:cs="Arial" w:eastAsia="Arial" w:hAnsi="Arial"/>
          <w:sz w:val="16"/>
          <w:szCs w:val="16"/>
          <w:color w:val="auto"/>
        </w:rPr>
        <w:t>—Net investment in sales-type leases and Ground Lease receivables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when the Company's Ground Leases qualify as 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For newly originated or acquired Ground Leases, the Company's estimate of residual value equals the fair value of the land at lease commencement. If a lease qualifies as a sales-type lease, it is further evaluated to determine whether the transaction is considered a sale leaseback transaction. When the Company acquires land and enters into a Ground Lease directly with the seller that qualifies as a sales-type lease, the lease does not qualify as a sale leaseback transaction and the lease is considered a financing receivable and is recognized in accordance with ASC 310 and included in "Ground Lease receivables" on the Company's consolidated balance sheets (refer to Note 5). The Company's Ground Lease receivables are held-for-investment and are carried at amortized cost. The Company considers a Ground Lease receivable to be impaired when, based upon current information and events, it believes that it is probable that the Company will be unable to collect all amounts due under the contractual terms of the Ground Lease.</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Interest Income from Sales-type Leases</w:t>
      </w:r>
      <w:r>
        <w:rPr>
          <w:rFonts w:ascii="Arial" w:cs="Arial" w:eastAsia="Arial" w:hAnsi="Arial"/>
          <w:sz w:val="16"/>
          <w:szCs w:val="16"/>
          <w:color w:val="auto"/>
        </w:rPr>
        <w:t>—Interest income from sales-type leases is recognized under the effective interest method.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method produces a constant yield on the net investment in the sales-type lease and Ground Lease receivable over the term of the lease. Rent payments that are not fixed and determinable at lease inception, such as percentage rent and CPI adjustments, are not included in the effective interest method calculation and are recognized in "Interest income from sales-type leases" in the Company's consolidated statements of operations in the period earned. A Ground Lease receivable is placed on non-accrual status if and when the Company considers the Ground Lease receivable impaired.</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Equity Investments in Ground Leases</w:t>
      </w:r>
      <w:r>
        <w:rPr>
          <w:rFonts w:ascii="Arial" w:cs="Arial" w:eastAsia="Arial" w:hAnsi="Arial"/>
          <w:sz w:val="16"/>
          <w:szCs w:val="16"/>
          <w:color w:val="auto"/>
        </w:rPr>
        <w:t>—Equity investments in Ground Leases are accounted for pursuant to the equity method of accounting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can significantly influence the operating and financial policies of the investee. The Company has a 54.8% equity interest in a venture (refer to Note</w:t>
      </w:r>
    </w:p>
    <w:p>
      <w:pPr>
        <w:jc w:val="both"/>
        <w:ind w:firstLine="8"/>
        <w:spacing w:after="0" w:line="254" w:lineRule="auto"/>
        <w:tabs>
          <w:tab w:leader="none" w:pos="21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has shared voting power with its partner. The Company determined the entity to be a voting interest entity and its equity interest is accounted for pursuant to the equity method of accounting. The Company's periodic share of earnings and losses in equity method investees are included in "Earnings (losses) from equity method investments" in the Company's consolidated statements of operations. Equity investments are included in "Equity investments in Ground Leases" on the Company's consolidated balance sheets.</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if applicable, are recorded in "Earnings (losses) from equity method investments" in the Company's consolidated statements of operations.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Fair Values</w:t>
      </w:r>
      <w:r>
        <w:rPr>
          <w:rFonts w:ascii="Arial" w:cs="Arial" w:eastAsia="Arial" w:hAnsi="Arial"/>
          <w:sz w:val="18"/>
          <w:szCs w:val="18"/>
          <w:color w:val="auto"/>
        </w:rPr>
        <w:t>—The Company is required to disclose fair value information with regard to its financial instruments, whether or not recognized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Company determines the estimated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values of financial assets and liabilities based on a hierarchy that distinguishes between market participant assumptions based on market data obtained from sources independent of the Company and the Company’s own assumptions about market participant assumptions. The Company determined the carrying values of its cash and cash equivalents; net investment in sales-type leases; Ground Lease receivables; restricted cash; deferred operating lease income receivable; deferred expenses and other assets, net; and accounts payable, accrued expenses, and other liabilities approximated their fair values. The Company determined the fair value of its debt obligations, net as of September 30, 2019 and December 31, 2018 was approximately $705.1 million and $537.8 million, respectively, and falls within Level 3 of the fair value hierarchy.</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The following table provides a reconciliation of the cash and cash equivalents and restricted cash reported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that total to the same amount as reported in the Company's consolidated statements of cash flows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2018</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168,214</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cash, cash equivalents and restricted cash</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reported in the consolidated statements of cash</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36,788</w:t>
            </w:r>
          </w:p>
        </w:tc>
        <w:tc>
          <w:tcPr>
            <w:tcW w:w="1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24,425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20,005</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169,870</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-98425</wp:posOffset>
            </wp:positionV>
            <wp:extent cx="4081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Restricted cash primarily includes cash balances required to be maintained under certain of the Company's derivative transactions.</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—The Company is an "emerging growth company" as defined in the Jumpstart Our Business Startups Act of 2012 (the "JOBS Act")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take advantage of certain exemptions from various reporting requirements that are applicable to other publicly-traded companies that are not "emerging growth companies," including not being required to comply with the auditor attestation requirements of Section 404 of the Sarbanes-Oxley Act of 2002. The Company has elected to utilize the exemption for auditor attestation requirements.</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the extended transition period provided in the Securities Act of 1933, as amended, for complying with new or revised accounting standards. In other words, an emerging growth company can delay the adoption of certain accounting standards until those standards would otherwise apply to private companies. However, the Company has chosen to "opt out" of this extended transition period, and as a result, it will comply with new or revised accounting standards on the relevant dates on which adoption of such standards is required for all public companies that are not emerging growth companies. The Company's decision to opt out of the extended transition period for complying with new or revised accounting standards is irrevocable.</w:t>
      </w:r>
    </w:p>
    <w:p>
      <w:pPr>
        <w:spacing w:after="0" w:line="15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will remain an "emerging growth company" until the earliest to occur of: (i) the last day of the fiscal year during which our total annual revenue equals or exceeds $1.07 billion (subject to adjustment for inflation); (ii) the last day of the fiscal year following the fifth anniversary of the Company's initial public offering; (iii) the date on which the Company has, during the previous three-year period, issued more than $1.0 billion in non-convertible debt; or (iv) the date on which the Company is deemed to be a "large accelerated filer" under the Securities Exchange Act of 1934, as amended.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remainder of the Company's significant accounting policies, refer to the Company's 2018 Annual Report.</w:t>
      </w:r>
    </w:p>
    <w:p>
      <w:pPr>
        <w:spacing w:after="0" w:line="2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color w:val="auto"/>
        </w:rPr>
        <w:t>New Accounting Pronouncements</w:t>
      </w:r>
      <w:r>
        <w:rPr>
          <w:rFonts w:ascii="Arial" w:cs="Arial" w:eastAsia="Arial" w:hAnsi="Arial"/>
          <w:sz w:val="18"/>
          <w:szCs w:val="18"/>
          <w:i w:val="1"/>
          <w:iCs w:val="1"/>
          <w:color w:val="auto"/>
        </w:rPr>
        <w:t>—</w:t>
      </w:r>
      <w:r>
        <w:rPr>
          <w:rFonts w:ascii="Arial" w:cs="Arial" w:eastAsia="Arial" w:hAnsi="Arial"/>
          <w:sz w:val="18"/>
          <w:szCs w:val="18"/>
          <w:color w:val="auto"/>
        </w:rPr>
        <w:t>In June 2016, the FASB issued ASU 2016-13, Financial Instruments—Credit Losses: Measurement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on Financial Instruments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Early adoption is permitted for interim and annual reporting periods beginning after December 15, 2018. Management is currently evaluating the impact of ASU 2016-13 on the Company’s consolidated financial statements.</w:t>
      </w:r>
    </w:p>
    <w:p>
      <w:pPr>
        <w:spacing w:after="0" w:line="1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2019, the FASB issued ASU 2019-04, Codification Improvements to Topic 326, Financial Instruments—Credit Losses, Topic 815, Derivatives and Hedging, and Topic 825, Financial Instruments ("ASU 2019-04") to clarify certain accounting topics from previously issued ASUs, including ASU 2016-13. ASU 2019-04 addresses certain aspects of ASU 2016-13, including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but not limited to, accrued interest receivable, loan recoveries, interest rate projections for variable-rate financial instruments and expected prepayments. ASU 2019-04 provides alternatives that allow entities to measure credit losses on accrued interest separate from credit losses on the principal portion of a loan, clarifies that entities should include expected recoveries in the measurement of credit losses, allows entities to consider future interest rates when measuring credit losses and can elect to adjust effective interest rates used to discount expected cash flows for expected loan prepayments. ASU 2019-04 is effective upon the adoption of ASU 2016-13. Management is currently evaluating the impact of ASU 2019-04 on the Company’s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and Real Estate-Related Intangibles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real estate assets consist of the following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41"/>
        </w:trPr>
        <w:tc>
          <w:tcPr>
            <w:tcW w:w="6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 at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477,527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193,232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192,396</w:t>
            </w: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Total real estate,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673,123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659,666</w:t>
            </w: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estate-related intangible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262,531</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Total real estate, net and real estate-related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917,626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922,197</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estate-related intangible assets, net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As of September 30, 2019</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Gross</w:t>
            </w: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Intangible</w:t>
            </w:r>
          </w:p>
        </w:tc>
        <w:tc>
          <w:tcPr>
            <w:tcW w:w="28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Depreciation</w:t>
            </w:r>
          </w:p>
        </w:tc>
        <w:tc>
          <w:tcPr>
            <w:tcW w:w="360" w:type="dxa"/>
            <w:vAlign w:val="bottom"/>
          </w:tcPr>
          <w:p>
            <w:pPr>
              <w:spacing w:after="0"/>
              <w:rPr>
                <w:sz w:val="20"/>
                <w:szCs w:val="20"/>
                <w:color w:val="auto"/>
              </w:rPr>
            </w:pPr>
          </w:p>
        </w:tc>
        <w:tc>
          <w:tcPr>
            <w:tcW w:w="1580" w:type="dxa"/>
            <w:vAlign w:val="bottom"/>
          </w:tcPr>
          <w:p>
            <w:pPr>
              <w:jc w:val="right"/>
              <w:ind w:right="670"/>
              <w:spacing w:after="0"/>
              <w:rPr>
                <w:sz w:val="20"/>
                <w:szCs w:val="20"/>
                <w:color w:val="auto"/>
              </w:rPr>
            </w:pPr>
            <w:r>
              <w:rPr>
                <w:rFonts w:ascii="Arial" w:cs="Arial" w:eastAsia="Arial" w:hAnsi="Arial"/>
                <w:sz w:val="18"/>
                <w:szCs w:val="18"/>
                <w:b w:val="1"/>
                <w:bCs w:val="1"/>
                <w:color w:val="auto"/>
              </w:rPr>
              <w:t>Value</w:t>
            </w:r>
          </w:p>
        </w:tc>
      </w:tr>
      <w:tr>
        <w:trPr>
          <w:trHeight w:val="27"/>
        </w:trPr>
        <w:tc>
          <w:tcPr>
            <w:tcW w:w="3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Above-market lease assets, net</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203,288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197,930</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In-place lease assets, net</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53,626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45,836</w:t>
            </w: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257,664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244,503</w:t>
            </w:r>
          </w:p>
        </w:tc>
      </w:tr>
      <w:tr>
        <w:trPr>
          <w:trHeight w:val="20"/>
        </w:trPr>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As of December 31, 2018</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Intangible</w:t>
            </w:r>
          </w:p>
        </w:tc>
        <w:tc>
          <w:tcPr>
            <w:tcW w:w="28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Depreciation</w:t>
            </w:r>
          </w:p>
        </w:tc>
        <w:tc>
          <w:tcPr>
            <w:tcW w:w="360" w:type="dxa"/>
            <w:vAlign w:val="bottom"/>
          </w:tcPr>
          <w:p>
            <w:pPr>
              <w:spacing w:after="0"/>
              <w:rPr>
                <w:sz w:val="20"/>
                <w:szCs w:val="20"/>
                <w:color w:val="auto"/>
              </w:rPr>
            </w:pPr>
          </w:p>
        </w:tc>
        <w:tc>
          <w:tcPr>
            <w:tcW w:w="1580" w:type="dxa"/>
            <w:vAlign w:val="bottom"/>
          </w:tcPr>
          <w:p>
            <w:pPr>
              <w:jc w:val="right"/>
              <w:ind w:right="670"/>
              <w:spacing w:after="0"/>
              <w:rPr>
                <w:sz w:val="20"/>
                <w:szCs w:val="20"/>
                <w:color w:val="auto"/>
              </w:rPr>
            </w:pPr>
            <w:r>
              <w:rPr>
                <w:rFonts w:ascii="Arial" w:cs="Arial" w:eastAsia="Arial" w:hAnsi="Arial"/>
                <w:sz w:val="18"/>
                <w:szCs w:val="18"/>
                <w:b w:val="1"/>
                <w:bCs w:val="1"/>
                <w:color w:val="auto"/>
              </w:rPr>
              <w:t>Value</w:t>
            </w:r>
          </w:p>
        </w:tc>
      </w:tr>
      <w:tr>
        <w:trPr>
          <w:trHeight w:val="27"/>
        </w:trPr>
        <w:tc>
          <w:tcPr>
            <w:tcW w:w="3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Above-market lease assets, net</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190,209</w:t>
            </w:r>
          </w:p>
        </w:tc>
      </w:tr>
      <w:tr>
        <w:trPr>
          <w:trHeight w:val="270"/>
        </w:trPr>
        <w:tc>
          <w:tcPr>
            <w:tcW w:w="3700" w:type="dxa"/>
            <w:vAlign w:val="bottom"/>
          </w:tcPr>
          <w:p>
            <w:pPr>
              <w:ind w:left="40"/>
              <w:spacing w:after="0" w:line="270" w:lineRule="exact"/>
              <w:rPr>
                <w:sz w:val="20"/>
                <w:szCs w:val="20"/>
                <w:color w:val="auto"/>
              </w:rPr>
            </w:pPr>
            <w:r>
              <w:rPr>
                <w:rFonts w:ascii="Arial" w:cs="Arial" w:eastAsia="Arial" w:hAnsi="Arial"/>
                <w:sz w:val="18"/>
                <w:szCs w:val="18"/>
                <w:color w:val="auto"/>
              </w:rPr>
              <w:t>In-place lease assets, net</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52,071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46,783</w:t>
            </w:r>
          </w:p>
        </w:tc>
      </w:tr>
      <w:tr>
        <w:trPr>
          <w:trHeight w:val="270"/>
        </w:trPr>
        <w:tc>
          <w:tcPr>
            <w:tcW w:w="3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Below-market lease asset, net</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24,796</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3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262,531</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-98425</wp:posOffset>
            </wp:positionV>
            <wp:extent cx="3756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ind w:left="500" w:hanging="492"/>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Above-market lease assets are recognized during business combinations and asset acquisitions when the present value of market rate rental cash flows over the term of a lease is less than the present value of the contractual in-place rental cash flows. Above-market lease assets are amortized over the term of the leases.</w:t>
      </w:r>
    </w:p>
    <w:p>
      <w:pPr>
        <w:jc w:val="both"/>
        <w:ind w:left="500" w:hanging="492"/>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In-place lease assets are recognized during business combinations and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term of the leases.</w:t>
      </w:r>
    </w:p>
    <w:p>
      <w:pPr>
        <w:spacing w:after="0" w:line="1" w:lineRule="exact"/>
        <w:rPr>
          <w:rFonts w:ascii="Arial" w:cs="Arial" w:eastAsia="Arial" w:hAnsi="Arial"/>
          <w:sz w:val="14"/>
          <w:szCs w:val="14"/>
          <w:color w:val="auto"/>
        </w:rPr>
      </w:pPr>
    </w:p>
    <w:p>
      <w:pPr>
        <w:jc w:val="both"/>
        <w:ind w:left="500" w:hanging="492"/>
        <w:spacing w:after="0" w:line="271" w:lineRule="auto"/>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Below-market lease asset, net resulted from the acquisition of the initial portfolio from iStar and relates to a property that is majority-owned by a third party and is ground leased to the Company. The Company is obligated to pay the owner of the property $0.4 million, subject to adjustment for changes in the CPI, per year through 2044; however, the Company's tenant at the property pays this expense directly under the terms of a master lease. The below-market lease asset is amortized over the term of the lease. Effective with the adoption of ASU 2016-02 on January 1, 2019, below-market lease asset, net was reclassified to "Deferred expenses and other assets, net" on the Company's consolidated balance sheet (refer to Note 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amortization of real estate-related intangible assets had the following impact on the Company's consolidated statements of operations for the three and nine months ended September 30, 2019 and 2018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Income Statement</w:t>
            </w:r>
          </w:p>
        </w:tc>
        <w:tc>
          <w:tcPr>
            <w:tcW w:w="320" w:type="dxa"/>
            <w:vAlign w:val="bottom"/>
          </w:tcPr>
          <w:p>
            <w:pPr>
              <w:spacing w:after="0"/>
              <w:rPr>
                <w:sz w:val="20"/>
                <w:szCs w:val="20"/>
                <w:color w:val="auto"/>
              </w:rPr>
            </w:pPr>
          </w:p>
        </w:tc>
        <w:tc>
          <w:tcPr>
            <w:tcW w:w="41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For the Three Months Ended September 30,</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Intangible asset</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320" w:type="dxa"/>
            <w:vAlign w:val="bottom"/>
          </w:tcPr>
          <w:p>
            <w:pPr>
              <w:spacing w:after="0"/>
              <w:rPr>
                <w:sz w:val="23"/>
                <w:szCs w:val="23"/>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Above-market lease assets (decrease to income)</w:t>
            </w:r>
          </w:p>
        </w:tc>
        <w:tc>
          <w:tcPr>
            <w:tcW w:w="2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In-place lease assets (decrease to income)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Depreciation and amortization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788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Below-market lease asset (decrease to income)</w:t>
            </w:r>
          </w:p>
        </w:tc>
        <w:tc>
          <w:tcPr>
            <w:tcW w:w="2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Real estate expense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(decrease to income)</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Operating lease income</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Income Statement</w:t>
            </w:r>
          </w:p>
        </w:tc>
        <w:tc>
          <w:tcPr>
            <w:tcW w:w="360" w:type="dxa"/>
            <w:vAlign w:val="bottom"/>
          </w:tcPr>
          <w:p>
            <w:pPr>
              <w:spacing w:after="0"/>
              <w:rPr>
                <w:sz w:val="20"/>
                <w:szCs w:val="20"/>
                <w:color w:val="auto"/>
              </w:rPr>
            </w:pPr>
          </w:p>
        </w:tc>
        <w:tc>
          <w:tcPr>
            <w:tcW w:w="40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Intangible asset</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360" w:type="dxa"/>
            <w:vAlign w:val="bottom"/>
          </w:tcPr>
          <w:p>
            <w:pPr>
              <w:spacing w:after="0"/>
              <w:rPr>
                <w:sz w:val="23"/>
                <w:szCs w:val="23"/>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Above-market lease assets (decrease to income)</w:t>
            </w:r>
          </w:p>
        </w:tc>
        <w:tc>
          <w:tcPr>
            <w:tcW w:w="2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In-place lease assets (decrease to income)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Depreciation and amortization</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2,331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Below-market lease asset (decrease to income)</w:t>
            </w:r>
          </w:p>
        </w:tc>
        <w:tc>
          <w:tcPr>
            <w:tcW w:w="2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Real estate expense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(decrease to income)</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Operating lease income</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color w:val="auto"/>
        </w:rPr>
        <w:t>The estimated expense from the amortization of real estate-related intangible assets for each of the five succeeding fiscal years is as follows ($ in thousands):</w:t>
      </w:r>
      <w:r>
        <w:rPr>
          <w:rFonts w:ascii="Arial" w:cs="Arial" w:eastAsia="Arial" w:hAnsi="Arial"/>
          <w:sz w:val="25"/>
          <w:szCs w:val="25"/>
          <w:color w:val="auto"/>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ind w:left="1980"/>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r>
      <w:tr>
        <w:trPr>
          <w:trHeight w:val="27"/>
        </w:trPr>
        <w:tc>
          <w:tcPr>
            <w:tcW w:w="4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r>
      <w:tr>
        <w:trPr>
          <w:trHeight w:val="270"/>
        </w:trPr>
        <w:tc>
          <w:tcPr>
            <w:tcW w:w="432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8760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760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2019, the weighted average amortization period for the Company's real estate-related intangible assets was approximately 80 years.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estate-related intangible liabilities, net consist of the following items ($ in thousands):</w:t>
      </w:r>
      <w:r>
        <w:rPr>
          <w:rFonts w:ascii="Arial" w:cs="Arial" w:eastAsia="Arial" w:hAnsi="Arial"/>
          <w:sz w:val="25"/>
          <w:szCs w:val="25"/>
          <w:color w:val="auto"/>
          <w:vertAlign w:val="superscript"/>
        </w:rPr>
        <w:t>(1)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September 30, 2019</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Intangible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Depreciation</w:t>
            </w:r>
          </w:p>
        </w:tc>
        <w:tc>
          <w:tcPr>
            <w:tcW w:w="36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4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Below-market lease liabilities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59,015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57,494</w:t>
            </w:r>
          </w:p>
        </w:tc>
      </w:tr>
      <w:tr>
        <w:trPr>
          <w:trHeight w:val="378"/>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As of December 31, 2018</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Intangible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Depreciation</w:t>
            </w:r>
          </w:p>
        </w:tc>
        <w:tc>
          <w:tcPr>
            <w:tcW w:w="36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4060" w:type="dxa"/>
            <w:vAlign w:val="bottom"/>
          </w:tcPr>
          <w:p>
            <w:pPr>
              <w:ind w:left="40"/>
              <w:spacing w:after="0" w:line="257" w:lineRule="exact"/>
              <w:rPr>
                <w:sz w:val="20"/>
                <w:szCs w:val="20"/>
                <w:color w:val="auto"/>
              </w:rPr>
            </w:pPr>
            <w:r>
              <w:rPr>
                <w:rFonts w:ascii="Arial" w:cs="Arial" w:eastAsia="Arial" w:hAnsi="Arial"/>
                <w:sz w:val="18"/>
                <w:szCs w:val="18"/>
                <w:color w:val="auto"/>
              </w:rPr>
              <w:t>Below-market lease liabilities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58,660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633730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7300" cy="1803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ind w:left="500" w:hanging="492"/>
        <w:spacing w:after="0" w:line="25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Below-market lease liabilities are recognized during business combinations and asset acquisitions when the present value of market rate rental cash flows over the term of a lease exceeds the present value of the contractual in-place rental cash flows. Below-market lease liabilities are amortized over the term of the leases.</w:t>
      </w:r>
    </w:p>
    <w:p>
      <w:pPr>
        <w:spacing w:after="0" w:line="13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amortization of real estate-related intangible liabilities had the following impact on the Company's consolidated statements of operations for the three and nine months ended September 30, 2019 and 2018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Income Statement</w:t>
            </w:r>
          </w:p>
        </w:tc>
        <w:tc>
          <w:tcPr>
            <w:tcW w:w="320" w:type="dxa"/>
            <w:vAlign w:val="bottom"/>
          </w:tcPr>
          <w:p>
            <w:pPr>
              <w:spacing w:after="0"/>
              <w:rPr>
                <w:sz w:val="20"/>
                <w:szCs w:val="20"/>
                <w:color w:val="auto"/>
              </w:rPr>
            </w:pPr>
          </w:p>
        </w:tc>
        <w:tc>
          <w:tcPr>
            <w:tcW w:w="4100" w:type="dxa"/>
            <w:vAlign w:val="bottom"/>
            <w:gridSpan w:val="7"/>
          </w:tcPr>
          <w:p>
            <w:pPr>
              <w:ind w:left="200"/>
              <w:spacing w:after="0"/>
              <w:rPr>
                <w:sz w:val="20"/>
                <w:szCs w:val="20"/>
                <w:color w:val="auto"/>
              </w:rPr>
            </w:pPr>
            <w:r>
              <w:rPr>
                <w:rFonts w:ascii="Arial" w:cs="Arial" w:eastAsia="Arial" w:hAnsi="Arial"/>
                <w:sz w:val="18"/>
                <w:szCs w:val="18"/>
                <w:b w:val="1"/>
                <w:bCs w:val="1"/>
                <w:color w:val="auto"/>
              </w:rPr>
              <w:t>For the Three Months Ended September 30,</w:t>
            </w:r>
          </w:p>
        </w:tc>
      </w:tr>
      <w:tr>
        <w:trPr>
          <w:trHeight w:val="270"/>
        </w:trPr>
        <w:tc>
          <w:tcPr>
            <w:tcW w:w="4120" w:type="dxa"/>
            <w:vAlign w:val="bottom"/>
            <w:gridSpan w:val="4"/>
          </w:tcPr>
          <w:p>
            <w:pPr>
              <w:ind w:left="40"/>
              <w:spacing w:after="0"/>
              <w:rPr>
                <w:sz w:val="20"/>
                <w:szCs w:val="20"/>
                <w:color w:val="auto"/>
              </w:rPr>
            </w:pPr>
            <w:r>
              <w:rPr>
                <w:rFonts w:ascii="Arial" w:cs="Arial" w:eastAsia="Arial" w:hAnsi="Arial"/>
                <w:sz w:val="18"/>
                <w:szCs w:val="18"/>
                <w:b w:val="1"/>
                <w:bCs w:val="1"/>
                <w:color w:val="auto"/>
              </w:rPr>
              <w:t>Intangible liability</w:t>
            </w:r>
          </w:p>
        </w:tc>
        <w:tc>
          <w:tcPr>
            <w:tcW w:w="2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320" w:type="dxa"/>
            <w:vAlign w:val="bottom"/>
          </w:tcPr>
          <w:p>
            <w:pPr>
              <w:spacing w:after="0"/>
              <w:rPr>
                <w:sz w:val="23"/>
                <w:szCs w:val="23"/>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3"/>
                <w:szCs w:val="23"/>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Below-market lease liabilities (increase to income)</w:t>
            </w:r>
          </w:p>
        </w:tc>
        <w:tc>
          <w:tcPr>
            <w:tcW w:w="282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594"/>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Income Statement</w:t>
            </w:r>
          </w:p>
        </w:tc>
        <w:tc>
          <w:tcPr>
            <w:tcW w:w="320" w:type="dxa"/>
            <w:vAlign w:val="bottom"/>
          </w:tcPr>
          <w:p>
            <w:pPr>
              <w:spacing w:after="0"/>
              <w:rPr>
                <w:sz w:val="24"/>
                <w:szCs w:val="24"/>
                <w:color w:val="auto"/>
              </w:rPr>
            </w:pPr>
          </w:p>
        </w:tc>
        <w:tc>
          <w:tcPr>
            <w:tcW w:w="410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70"/>
        </w:trPr>
        <w:tc>
          <w:tcPr>
            <w:tcW w:w="4120" w:type="dxa"/>
            <w:vAlign w:val="bottom"/>
            <w:gridSpan w:val="4"/>
          </w:tcPr>
          <w:p>
            <w:pPr>
              <w:ind w:left="40"/>
              <w:spacing w:after="0"/>
              <w:rPr>
                <w:sz w:val="20"/>
                <w:szCs w:val="20"/>
                <w:color w:val="auto"/>
              </w:rPr>
            </w:pPr>
            <w:r>
              <w:rPr>
                <w:rFonts w:ascii="Arial" w:cs="Arial" w:eastAsia="Arial" w:hAnsi="Arial"/>
                <w:sz w:val="18"/>
                <w:szCs w:val="18"/>
                <w:b w:val="1"/>
                <w:bCs w:val="1"/>
                <w:color w:val="auto"/>
              </w:rPr>
              <w:t>Intangible liability</w:t>
            </w:r>
          </w:p>
        </w:tc>
        <w:tc>
          <w:tcPr>
            <w:tcW w:w="2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Location</w:t>
            </w:r>
          </w:p>
        </w:tc>
        <w:tc>
          <w:tcPr>
            <w:tcW w:w="320" w:type="dxa"/>
            <w:vAlign w:val="bottom"/>
          </w:tcPr>
          <w:p>
            <w:pPr>
              <w:spacing w:after="0"/>
              <w:rPr>
                <w:sz w:val="23"/>
                <w:szCs w:val="23"/>
                <w:color w:val="auto"/>
              </w:rPr>
            </w:pPr>
          </w:p>
        </w:tc>
        <w:tc>
          <w:tcPr>
            <w:tcW w:w="18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3"/>
                <w:szCs w:val="23"/>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1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Below-market lease liabilities (increase to income)</w:t>
            </w:r>
          </w:p>
        </w:tc>
        <w:tc>
          <w:tcPr>
            <w:tcW w:w="282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Operating lease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20"/>
                <w:szCs w:val="20"/>
                <w:color w:val="auto"/>
              </w:rPr>
            </w:pPr>
          </w:p>
        </w:tc>
      </w:tr>
      <w:tr>
        <w:trPr>
          <w:trHeight w:val="27"/>
        </w:trPr>
        <w:tc>
          <w:tcPr>
            <w:tcW w:w="3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Future Minimum Operating Lease Payments</w:t>
      </w:r>
      <w:r>
        <w:rPr>
          <w:rFonts w:ascii="Arial" w:cs="Arial" w:eastAsia="Arial" w:hAnsi="Arial"/>
          <w:sz w:val="18"/>
          <w:szCs w:val="18"/>
          <w:color w:val="auto"/>
        </w:rPr>
        <w:t>—Future minimum lease payments to be collected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 payments that are not fixed and determinable, in effect as of September 30, 2019, are as follows by year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Fixed Bumps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Fixed Bumps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Inflation-</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with Inflation</w:t>
            </w:r>
          </w:p>
        </w:tc>
        <w:tc>
          <w:tcPr>
            <w:tcW w:w="2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Fixed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with Percentage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020" w:type="dxa"/>
            <w:vAlign w:val="bottom"/>
            <w:gridSpan w:val="2"/>
          </w:tcPr>
          <w:p>
            <w:pPr>
              <w:ind w:left="128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Linked</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Bumps</w:t>
            </w: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Rent</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Rent</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8,960</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36,057</w:t>
            </w: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36,424</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36,801</w:t>
            </w: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37,203</w:t>
            </w:r>
          </w:p>
        </w:tc>
      </w:tr>
      <w:tr>
        <w:trPr>
          <w:trHeight w:val="27"/>
        </w:trPr>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5—Net Investment in Sales-type Leases and Ground Lease Receivables</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January 1, 2019, the Company adopted ASU 2016-02 and ASU 2018-11. As a result of the adoption of ASU 2016-02, the Company, as lessor, classifies certain Ground Leases entered into or acquired subsequent to December 31, 2018 as sales-type leases and records the leases within "Net investment in sales-type leases" on the Company's consolidated balance sheets and records interest income in "Interest income from sales-type leases" in the Company's consolidated statements of operations (refer to Note 3). In addition, during the nine months ended September 30, 2019, the Company entered into transactions whereby it acquired land and entered into Ground Leases directly with the seller. The Ground Leases qualified as sales-type leases and, as such, did not qualify for sale leaseback accounting and are accounted for as financing receivables in accordance with ASC 310 and are included in "Ground Lease receivables" on the Company's consolidated balance sheets (refer to Note 3). The Company records interest income from Ground Lease receivables in "Interest income from sales-type leases" in the Company's consolidated statements of operations.</w:t>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a rollforward of the Company's net investment in sales-type leases and Ground Lease receivables for the nine months ended September 30, 2019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Net Investment in</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Ground Lease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4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Sales-type Leases</w:t>
            </w:r>
          </w:p>
        </w:tc>
        <w:tc>
          <w:tcPr>
            <w:tcW w:w="2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6"/>
              </w:rPr>
              <w:t>Receivables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4"/>
        </w:trPr>
        <w:tc>
          <w:tcPr>
            <w:tcW w:w="4460" w:type="dxa"/>
            <w:vAlign w:val="bottom"/>
          </w:tcPr>
          <w:p>
            <w:pPr>
              <w:ind w:left="40"/>
              <w:spacing w:after="0" w:line="264" w:lineRule="exact"/>
              <w:rPr>
                <w:sz w:val="20"/>
                <w:szCs w:val="20"/>
                <w:color w:val="auto"/>
              </w:rPr>
            </w:pPr>
            <w:r>
              <w:rPr>
                <w:rFonts w:ascii="Arial" w:cs="Arial" w:eastAsia="Arial" w:hAnsi="Arial"/>
                <w:sz w:val="18"/>
                <w:szCs w:val="18"/>
                <w:color w:val="auto"/>
              </w:rPr>
              <w:t>Beginning balance</w:t>
            </w:r>
            <w:r>
              <w:rPr>
                <w:rFonts w:ascii="Arial" w:cs="Arial" w:eastAsia="Arial" w:hAnsi="Arial"/>
                <w:sz w:val="25"/>
                <w:szCs w:val="25"/>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Origination/acquisition</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463,251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536,345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Accretion (amortization)</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2,282</w:t>
            </w:r>
          </w:p>
        </w:tc>
      </w:tr>
      <w:tr>
        <w:trPr>
          <w:trHeight w:val="27"/>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465,289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538,627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-98425</wp:posOffset>
            </wp:positionV>
            <wp:extent cx="3498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elected a provision provided by ASU 2018-11 that allowed entities to not recast the comparative periods presented when transitioning to ASC 842 by allowing entities to change their initial application to the beginning of the period of adoption. As a result, the Company did not have any adjustments to its financial statements as of or prior to December 31, 2018.</w:t>
      </w:r>
    </w:p>
    <w:p>
      <w:pPr>
        <w:spacing w:after="0" w:line="1" w:lineRule="exact"/>
        <w:rPr>
          <w:rFonts w:ascii="Arial" w:cs="Arial" w:eastAsia="Arial" w:hAnsi="Arial"/>
          <w:sz w:val="14"/>
          <w:szCs w:val="14"/>
          <w:color w:val="auto"/>
        </w:rPr>
      </w:pPr>
    </w:p>
    <w:p>
      <w:pPr>
        <w:jc w:val="both"/>
        <w:ind w:left="500" w:hanging="492"/>
        <w:spacing w:after="0" w:line="276"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net investment in sales-type leases is initially measured at the present value of the fixed and determinable lease payments, including any guaranteed or unguaranteed residual value of the asset at the end of the lease, discounted at the rate implicit in the lease. For newly originated or acquired Ground Leases, the Company's estimate of residual value equals the fair value of the land at lease commencement. As of September 30, 2019, the weighted average remaining life of the Company's two Ground Lease receivables was 98.8 years.</w:t>
      </w:r>
    </w:p>
    <w:p>
      <w:pPr>
        <w:spacing w:after="0" w:line="17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i w:val="1"/>
          <w:iCs w:val="1"/>
          <w:color w:val="auto"/>
        </w:rPr>
        <w:t>Future Minimum Lease Payments under Sales-type Leases</w:t>
      </w:r>
      <w:r>
        <w:rPr>
          <w:rFonts w:ascii="Arial" w:cs="Arial" w:eastAsia="Arial" w:hAnsi="Arial"/>
          <w:sz w:val="16"/>
          <w:szCs w:val="16"/>
          <w:color w:val="auto"/>
        </w:rPr>
        <w:t>—Future minimum lease payments to be collected under sales-type leases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under ASC 842, excluding lease payments that are not fixed and determinable, in effect as of September 30, 2019, are as follows by year ($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Fixed Bumps with</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Inflation</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Fixed Bumps with</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Percentage Rent</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16,407</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16,838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17,375</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5,291,255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5,393,675</w:t>
            </w: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undiscounted cash flows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5,465,813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Unguaranteed estimated residual value</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463,251</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discount</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(5,463,775)</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investment in sales-type leases as of September 30, 2019</w:t>
            </w: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465,289</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and nine months ended September 30, 2019, the Company recognized interest income from sales-type leases in its consolidated statements of operations as follows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Investment in</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September 30, 2019</w:t>
            </w:r>
          </w:p>
        </w:tc>
        <w:tc>
          <w:tcPr>
            <w:tcW w:w="14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Sales-type Leases</w:t>
            </w:r>
          </w:p>
        </w:tc>
        <w:tc>
          <w:tcPr>
            <w:tcW w:w="14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Lease Receivables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Non-cash</w:t>
            </w:r>
          </w:p>
        </w:tc>
        <w:tc>
          <w:tcPr>
            <w:tcW w:w="1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interest income from sales-type leases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4,032</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Investment in</w:t>
            </w: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Ground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 Ended September 30, 2019</w:t>
            </w:r>
          </w:p>
        </w:tc>
        <w:tc>
          <w:tcPr>
            <w:tcW w:w="1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Sales-type Leases</w:t>
            </w:r>
          </w:p>
        </w:tc>
        <w:tc>
          <w:tcPr>
            <w:tcW w:w="12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 Receivables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Non-cash</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2,282</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interest income from sales-type leases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6,834</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6—Equity Investments in Ground Leases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2019, the Company formed a venture with a sovereign wealth fund that is an existing shareholder of the Company to acquire the existing Ground Lease at 425 Park Avenue in New York City. The Company has a 54.8% noncontrolling equity interest in the new venture. During the three and nine months ended September 30, 2019, the Company recorded $0.8 million in losses from the venture resulting from costs attributable to transaction structuring activities. As of September 30, 2019 the Company's investment in the venture was $21.4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7—Deferred Expenses and Other Assets, Net and Accounts Payable, Accrued Expenses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5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9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lease right-of-use asset</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Purchase deposits</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1,800</w:t>
            </w:r>
          </w:p>
        </w:tc>
      </w:tr>
      <w:tr>
        <w:trPr>
          <w:trHeight w:val="27"/>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finance costs, net</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r>
      <w:tr>
        <w:trPr>
          <w:trHeight w:val="270"/>
        </w:trPr>
        <w:tc>
          <w:tcPr>
            <w:tcW w:w="5920" w:type="dxa"/>
            <w:vAlign w:val="bottom"/>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2,416</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Leasing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Interest rate hedge assets</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2,991</w:t>
            </w:r>
          </w:p>
        </w:tc>
      </w:tr>
      <w:tr>
        <w:trPr>
          <w:trHeight w:val="27"/>
        </w:trPr>
        <w:tc>
          <w:tcPr>
            <w:tcW w:w="5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9,983</w:t>
            </w: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500" w:hanging="492"/>
        <w:spacing w:after="0" w:line="260" w:lineRule="auto"/>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Operating lease right-of-use asset relates to a property that is majority-owned by a third party and is ground leased to the Company. The Company is obligated to pay the owner of the property $0.4 million, subject to adjustment for changes in the CPI, per year through 2044; however, the Company's ground lease tenant at the property pays this expense directly under the terms of a master lease. Operating lease right-of-use asset is amortized on a straight-line basis over the term of the lease and is recorded in "Real estate expense" in the Company's consolidated statements of operations (refer to Note 3). For the three and nine months ended September 30, 2019, the Company recognized $0.1 million and $0.3 million, respectively, in "Real estate expense" and $0.1 million and $0.3 million, respectively, in "Other income" from its operating lease right-of-use asset. The related operating lease liability (see table below) equals the present value of the minimum rental payments due under the lease discounted at the Company's incremental secured borrowing rate for a similar asset estimated to be 5.5%. Effective with the adoption of ASU 2016-02 on January 1, 2019, the Company reclassified $24.8 million relating to a below-market lease asset acquired as part of a business combination (refer to Note 4) from "Real estate-related intangible assets, net" to "Deferred expenses and other assets, net" on the Company's consolidated balance sheets.</w:t>
      </w: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Accumulated amortization of deferred finance costs was $2.9 million and $1.7 million as of September 30, 2019 and December 31, 2018, respectively.</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2019, the Company recognized $0.2 million and $4.1 million, respectively, of percentage rent in "Operating lease income" in the Company's consolidated statement of operations.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hedge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payable</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0"/>
        </w:trPr>
        <w:tc>
          <w:tcPr>
            <w:tcW w:w="5920" w:type="dxa"/>
            <w:vAlign w:val="bottom"/>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payable</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57"/>
        </w:trPr>
        <w:tc>
          <w:tcPr>
            <w:tcW w:w="592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right="20" w:hanging="492"/>
        <w:spacing w:after="0" w:line="24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2019 and December 31, 2018, other liabilities includes $0.6 million and $0.4 million, respectively, due to the Manager for allocated payroll costs and costs it paid on the Company's behalf.</w:t>
      </w:r>
    </w:p>
    <w:p>
      <w:pPr>
        <w:ind w:left="500" w:hanging="492"/>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September 30, 2019 and December 31, 2018, accrued expenses primarily includes accrued legal and audit expenses, accrued property expenses and deferred finance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obligations consist of the following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2"/>
                <w:szCs w:val="22"/>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100" w:type="dxa"/>
            <w:vAlign w:val="bottom"/>
          </w:tcPr>
          <w:p>
            <w:pPr>
              <w:spacing w:after="0"/>
              <w:rPr>
                <w:sz w:val="22"/>
                <w:szCs w:val="22"/>
                <w:color w:val="auto"/>
              </w:rPr>
            </w:pPr>
          </w:p>
        </w:tc>
        <w:tc>
          <w:tcPr>
            <w:tcW w:w="1940" w:type="dxa"/>
            <w:vAlign w:val="bottom"/>
            <w:gridSpan w:val="2"/>
          </w:tcPr>
          <w:p>
            <w:pPr>
              <w:jc w:val="center"/>
              <w:ind w:right="320"/>
              <w:spacing w:after="0" w:line="264" w:lineRule="exact"/>
              <w:rPr>
                <w:sz w:val="20"/>
                <w:szCs w:val="20"/>
                <w:color w:val="auto"/>
              </w:rPr>
            </w:pPr>
            <w:r>
              <w:rPr>
                <w:rFonts w:ascii="Arial" w:cs="Arial" w:eastAsia="Arial" w:hAnsi="Arial"/>
                <w:sz w:val="18"/>
                <w:szCs w:val="18"/>
                <w:b w:val="1"/>
                <w:bCs w:val="1"/>
                <w:color w:val="auto"/>
                <w:w w:val="84"/>
              </w:rPr>
              <w:t>Rate</w:t>
            </w:r>
            <w:r>
              <w:rPr>
                <w:rFonts w:ascii="Arial" w:cs="Arial" w:eastAsia="Arial" w:hAnsi="Arial"/>
                <w:sz w:val="25"/>
                <w:szCs w:val="25"/>
                <w:b w:val="1"/>
                <w:bCs w:val="1"/>
                <w:color w:val="auto"/>
                <w:w w:val="84"/>
                <w:vertAlign w:val="superscript"/>
              </w:rPr>
              <w:t>(1)</w:t>
            </w:r>
          </w:p>
        </w:tc>
        <w:tc>
          <w:tcPr>
            <w:tcW w:w="1700" w:type="dxa"/>
            <w:vAlign w:val="bottom"/>
          </w:tcPr>
          <w:p>
            <w:pPr>
              <w:jc w:val="center"/>
              <w:spacing w:after="0" w:line="264" w:lineRule="exact"/>
              <w:rPr>
                <w:sz w:val="20"/>
                <w:szCs w:val="20"/>
                <w:color w:val="auto"/>
              </w:rPr>
            </w:pPr>
            <w:r>
              <w:rPr>
                <w:rFonts w:ascii="Arial" w:cs="Arial" w:eastAsia="Arial" w:hAnsi="Arial"/>
                <w:sz w:val="18"/>
                <w:szCs w:val="18"/>
                <w:b w:val="1"/>
                <w:bCs w:val="1"/>
                <w:color w:val="auto"/>
                <w:w w:val="93"/>
              </w:rPr>
              <w:t>Maturity Date</w:t>
            </w:r>
            <w:r>
              <w:rPr>
                <w:rFonts w:ascii="Arial" w:cs="Arial" w:eastAsia="Arial" w:hAnsi="Arial"/>
                <w:sz w:val="25"/>
                <w:szCs w:val="25"/>
                <w:b w:val="1"/>
                <w:bCs w:val="1"/>
                <w:color w:val="auto"/>
                <w:w w:val="93"/>
                <w:vertAlign w:val="superscript"/>
              </w:rPr>
              <w:t>(2)</w:t>
            </w:r>
          </w:p>
        </w:tc>
        <w:tc>
          <w:tcPr>
            <w:tcW w:w="0" w:type="dxa"/>
            <w:vAlign w:val="bottom"/>
          </w:tcPr>
          <w:p>
            <w:pPr>
              <w:spacing w:after="0"/>
              <w:rPr>
                <w:sz w:val="1"/>
                <w:szCs w:val="1"/>
                <w:color w:val="auto"/>
              </w:rPr>
            </w:pPr>
          </w:p>
        </w:tc>
      </w:tr>
      <w:tr>
        <w:trPr>
          <w:trHeight w:val="244"/>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financing:</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April 2027 to August</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Mortgages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652,393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377,193</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4.03%</w:t>
            </w: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2069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One-Month LIBOR</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Revolver</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169,500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plus 1.35%</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2022</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secured credit financing</w:t>
            </w: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702,393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546,693</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546,693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Debt premium, discount and deferred</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financing costs, net</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543,965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-98425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weighted average interest rate and excludes the effect of debt premium, discount and deferred financing costs. As of September 30, 2019, the weighted average cash interest rate for the Company's mortgages was 3.43%.</w:t>
      </w: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extended maturity date for all debt obligations.</w:t>
      </w:r>
    </w:p>
    <w:p>
      <w:pPr>
        <w:spacing w:after="0" w:line="1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Mortgages</w:t>
      </w:r>
      <w:r>
        <w:rPr>
          <w:rFonts w:ascii="Arial" w:cs="Arial" w:eastAsia="Arial" w:hAnsi="Arial"/>
          <w:sz w:val="16"/>
          <w:szCs w:val="16"/>
          <w:color w:val="auto"/>
        </w:rPr>
        <w:t>—Mortgages consist of asset specific non-recourse borrowings that are secured by the Company's Ground Leases. As of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2019, the Company's mortgages are full term interest only, bear interest at a weighted average interest rate of 4.03% and mature from April 2027 to August 2069. In July 2019, the Company refinanced two mortgages on existing Ground Leases and incurred $2.0 million in losses on early extinguishment of debt.</w:t>
      </w:r>
    </w:p>
    <w:p>
      <w:pPr>
        <w:spacing w:after="0" w:line="1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2017 Revolver</w:t>
      </w:r>
      <w:r>
        <w:rPr>
          <w:rFonts w:ascii="Arial" w:cs="Arial" w:eastAsia="Arial" w:hAnsi="Arial"/>
          <w:sz w:val="16"/>
          <w:szCs w:val="16"/>
          <w:color w:val="auto"/>
        </w:rPr>
        <w:t>—In June 2017, the Company entered into a recourse senior secured revolving credit facility with an initial maximum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up to $300.0 million (the "2017 Revolver") that has since been increased to $450.0 million. The 2017 Revolver provides an accordion feature to increase, subject to certain conditions, the maximum availability up to $500.0 million. The 2017 Revolver has an initial maturity of June 2020 with two 12-month extension options exercisable by the Company, subject to certain conditions, and bears interest at an annual rate of applicable LIBOR plus 1.35%. An undrawn credit facility commitment fee ranges from 0.15% to 0.25%, based on utilization each quarter. The 2017 Revolver allows the Company to leverage Ground Leases up to a maximum of 67.0%. As of September 30, 2019, there was $400.0 million of undrawn capacity on the 2017 Revolver and the Company had the ability to draw an additional $152.8 million without pledging any additional assets to the facility.</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Debt Covenants</w:t>
      </w:r>
      <w:r>
        <w:rPr>
          <w:rFonts w:ascii="Arial" w:cs="Arial" w:eastAsia="Arial" w:hAnsi="Arial"/>
          <w:sz w:val="17"/>
          <w:szCs w:val="17"/>
          <w:color w:val="auto"/>
        </w:rPr>
        <w:t>—The Company is subject to financial covenants under the 2017 Revolver, including maintaining: (i) a limitation on total</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leverage of not more than 70%, or 75% for no more than 180 days, of the Company's total consolidated assets; (ii) a consolidated fixed charge coverage ratio of at least 1.45x; (iii) a consolidated tangible net worth of at least 75% of the Company's tangible net worth at the date of the 2017 Revolver plus 75% of future issuances of net equity; (iv) a consolidated secured leverage ratio of not more than 70%, or 75% for no more than 180 days, of the Company's total consolidated assets; and (v) a secured recourse debt ratio of not more than 5.0% of the Company's total consolidated assets (exclusive of amounts drawn on this facility). Additionally, the 2017 Revolver restricts the Company's ability to pay distributions to its shareholders. The Company will be permitted to make annual distributions up to an amount equal to 110% of the Company's adjusted funds from operations, as calculated in accordance with the 2017 Revolver. In addition, the Company may make distributions to the extent necessary to maintain the Company's qualification as a REIT. The Company's other debt obligations contain no significant maintenance or ongoing financial covenants. As of September 30, 2019, the Company was in compliance with all of its financial covenants.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September 30, 2019, future scheduled maturities of outstanding debt obligations, assuming all extensions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can be exercised at the Company's option, are as follows ($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Thereafter</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652,393</w:t>
            </w: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702,393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Debt premium, discount and deferred financing costs, net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691,567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w w:val="97"/>
              </w:rPr>
              <w:t>______________________________________________________________________________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2019, the Company's weighted average maturity for its mortgages was 22.9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—In October 2017, the Company entered into a purchase agreement to acquire land subject to a Ground Lease on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luxury multi-family project is currently being constructed in San Jose, California. Pursuant to the purchase agreement, the Company will acquire the Ground Lease on November 1, 2020 from iStar for $34.0 million. iStar committed to provide a $80.5 million construction loan to the ground lessee. The Ground Lease expires in 2116. This transaction was approved by the Company’s independent directors in accordance with the Company's policy with respect to transactions in which iStar is also a participant.</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August 2018, the Company entered into an aggregate $30.0 million commitment to acquire land for $12.5 million and provide a $17.5 million leasehold improvement allowance for the Ground Lease tenant's construction of a multi-family property in Washington, DC. The Company acquired the land in June 2019 and will fund the leasehold improvement allowance upon the completion of certain conditions.</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January 2019, the Company acquired land for $13.0 million and simultaneously structured and entered into a Ground Lease as part of the Ground Lease tenant's acquisition of an existing office building located in Washington, DC that is to be converted into a multi-family building. The Company committed to provide the Ground Lease tenant a $10.5 million leasehold improvement allowance that will be funded upon the completion of certain conditions.</w:t>
      </w:r>
    </w:p>
    <w:p>
      <w:pPr>
        <w:spacing w:after="0" w:line="1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June 2019, the Company acquired land for $8.1 million and simultaneously structured and entered into a Ground Lease as part of the Ground Lease tenant's development of a to-be-built multi-family community located outside of Orlando, FL. The Company committed to provide the Ground Lease tenant a $21.4 million leasehold improvement allowance that will be funded upon the completion of certain conditions.</w:t>
      </w:r>
    </w:p>
    <w:p>
      <w:pPr>
        <w:spacing w:after="0" w:line="9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evaluates developments in legal proceedings that could require a liability to be accrued and/or disclosed.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its ongoing business operations, the Company encounters credit risk. Credit risk is the risk of default on the Company’s leases that result from a tenant’s inability or unwillingness to make contractually required payments.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Risk concentrations</w:t>
      </w:r>
      <w:r>
        <w:rPr>
          <w:rFonts w:ascii="Arial" w:cs="Arial" w:eastAsia="Arial" w:hAnsi="Arial"/>
          <w:sz w:val="16"/>
          <w:szCs w:val="16"/>
          <w:color w:val="auto"/>
        </w:rPr>
        <w:t>—Concentrations of credit risks arise when the Company has multiple leases with a particular tenant or credit party, or a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tenants are engaged in similar business activities, or activities in the same geographic region, or have similar economic features, such that their ability to meet contractual obligations, including those to the Company, could be similarly affected by changes in economic conditions.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the Company’s Ground Leases are geographically diverse and the tenants operate in a variety of industries and property types, to the extent the Company has a significant concentration of operating lease income from any tenant, the inability of that tenant to make its payment could have a material adverse effect on the Company. During the nine months ended September 30, 2019, the Company’s two largest tenants accounted for approximately 19.0% and 17.8%, respectively, of the Company’s revenues.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gross carrying value of five hotels leased by the Company under a master lease guaranteed by Park Intermediate Holdings LLC represented 13.5% of the Company’s total assets as of September 30, 2019. Park Intermediate Holdings LLC is a subsidiary of Park Hotels &amp; Resorts Inc., which is a public reporting company. According to Park Hotels &amp; Resorts Inc.’s public Securities and Exchange Commission filings, Park Hotels &amp; Resorts Inc. conducts substantially all of its business and holds substantially all of its assets through Park Intermediate Holdings LLC. For detailed financial information regarding Park Hotels &amp; Resorts Inc., please refer to its financial statements, which are publicly available on the website of the Securities and Exchange Commission at http://www.sec.gov.</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Derivative instruments and hedging activity</w:t>
      </w:r>
      <w:r>
        <w:rPr>
          <w:rFonts w:ascii="Arial" w:cs="Arial" w:eastAsia="Arial" w:hAnsi="Arial"/>
          <w:sz w:val="18"/>
          <w:szCs w:val="18"/>
          <w:color w:val="auto"/>
        </w:rPr>
        <w:t>—The Company's use of derivative financial instruments is associated with debt issuances and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utilization of interest rate swaps, interest rate caps or other instruments to manage interest rate risk exposure. The Company does not enter into derivatives for trading purposes.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derivatives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Company's derivatives designated and qualifying as cash flow hedges, changes in the fair value of the derivatives are reported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The Company is hedging its exposure to the variability in future cash flows for forecasted transactions over a maximum period of 30 months (excluding forecasted transactions related to the payment of variable interest on existing financial instruments).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table below presents the Company's derivatives as well as their classification on the Company's consolidated balance sheets as of September 30, 2019 and December 31, 2018 ($ in thousands):</w:t>
      </w:r>
      <w:r>
        <w:rPr>
          <w:rFonts w:ascii="Arial" w:cs="Arial" w:eastAsia="Arial" w:hAnsi="Arial"/>
          <w:sz w:val="25"/>
          <w:szCs w:val="25"/>
          <w:color w:val="auto"/>
          <w:vertAlign w:val="superscript"/>
        </w:rPr>
        <w:t>(1)</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2019</w:t>
            </w:r>
          </w:p>
        </w:tc>
        <w:tc>
          <w:tcPr>
            <w:tcW w:w="1920" w:type="dxa"/>
            <w:vAlign w:val="bottom"/>
          </w:tcPr>
          <w:p>
            <w:pPr>
              <w:ind w:left="220"/>
              <w:spacing w:after="0"/>
              <w:rPr>
                <w:sz w:val="20"/>
                <w:szCs w:val="20"/>
                <w:color w:val="auto"/>
              </w:rPr>
            </w:pPr>
            <w:r>
              <w:rPr>
                <w:rFonts w:ascii="Arial" w:cs="Arial" w:eastAsia="Arial" w:hAnsi="Arial"/>
                <w:sz w:val="18"/>
                <w:szCs w:val="18"/>
                <w:b w:val="1"/>
                <w:bCs w:val="1"/>
                <w:color w:val="auto"/>
              </w:rPr>
              <w:t>December 31, 2018</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540" w:type="dxa"/>
            <w:vAlign w:val="bottom"/>
            <w:vMerge w:val="restart"/>
          </w:tcPr>
          <w:p>
            <w:pPr>
              <w:jc w:val="center"/>
              <w:ind w:left="137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340"/>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0"/>
                <w:szCs w:val="20"/>
                <w:color w:val="auto"/>
              </w:rPr>
            </w:pPr>
            <w:r>
              <w:rPr>
                <w:rFonts w:ascii="Arial" w:cs="Arial" w:eastAsia="Arial" w:hAnsi="Arial"/>
                <w:sz w:val="18"/>
                <w:szCs w:val="18"/>
                <w:b w:val="1"/>
                <w:bCs w:val="1"/>
                <w:color w:val="auto"/>
              </w:rPr>
              <w:t>Derivative Type</w:t>
            </w:r>
          </w:p>
        </w:tc>
        <w:tc>
          <w:tcPr>
            <w:tcW w:w="4160" w:type="dxa"/>
            <w:vAlign w:val="bottom"/>
            <w:gridSpan w:val="3"/>
          </w:tcPr>
          <w:p>
            <w:pPr>
              <w:ind w:left="16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5"/>
                <w:szCs w:val="25"/>
                <w:b w:val="1"/>
                <w:bCs w:val="1"/>
                <w:color w:val="auto"/>
                <w:vertAlign w:val="superscript"/>
              </w:rPr>
              <w:t>(2)</w:t>
            </w:r>
          </w:p>
        </w:tc>
        <w:tc>
          <w:tcPr>
            <w:tcW w:w="254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Location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38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3804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048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Interest rate cap</w:t>
            </w:r>
            <w:r>
              <w:rPr>
                <w:rFonts w:ascii="Arial" w:cs="Arial" w:eastAsia="Arial" w:hAnsi="Arial"/>
                <w:sz w:val="25"/>
                <w:szCs w:val="25"/>
                <w:color w:val="auto"/>
                <w:vertAlign w:val="superscript"/>
              </w:rPr>
              <w:t>(3)</w:t>
            </w: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96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17145</wp:posOffset>
            </wp:positionV>
            <wp:extent cx="1346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34290</wp:posOffset>
            </wp:positionV>
            <wp:extent cx="1346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2,987</w:t>
        <w:tab/>
        <w:t>Deferred expenses and other assets, net</w:t>
      </w:r>
    </w:p>
    <w:p>
      <w:pPr>
        <w:spacing w:after="0" w:line="63" w:lineRule="exact"/>
        <w:rPr>
          <w:sz w:val="20"/>
          <w:szCs w:val="20"/>
          <w:color w:val="auto"/>
        </w:rPr>
      </w:pPr>
    </w:p>
    <w:p>
      <w:pPr>
        <w:ind w:left="720" w:hanging="31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expenses and other assets, net</w:t>
      </w:r>
    </w:p>
    <w:p>
      <w:pPr>
        <w:spacing w:after="0" w:line="76"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229235</wp:posOffset>
            </wp:positionV>
            <wp:extent cx="63804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0480" cy="30861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-147320</wp:posOffset>
            </wp:positionV>
            <wp:extent cx="638048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0480" cy="205740"/>
                    </a:xfrm>
                    <a:prstGeom prst="rect">
                      <a:avLst/>
                    </a:prstGeom>
                    <a:noFill/>
                  </pic:spPr>
                </pic:pic>
              </a:graphicData>
            </a:graphic>
          </wp:anchor>
        </w:drawing>
      </w:r>
    </w:p>
    <w:p>
      <w:pPr>
        <w:spacing w:after="0" w:line="354" w:lineRule="exact"/>
        <w:rPr>
          <w:sz w:val="20"/>
          <w:szCs w:val="20"/>
          <w:color w:val="auto"/>
        </w:rPr>
      </w:pPr>
    </w:p>
    <w:p>
      <w:pPr>
        <w:ind w:right="1780" w:firstLine="724"/>
        <w:spacing w:after="0" w:line="277" w:lineRule="auto"/>
        <w:rPr>
          <w:sz w:val="20"/>
          <w:szCs w:val="20"/>
          <w:color w:val="auto"/>
        </w:rPr>
      </w:pPr>
      <w:r>
        <w:rPr>
          <w:rFonts w:ascii="Arial" w:cs="Arial" w:eastAsia="Arial" w:hAnsi="Arial"/>
          <w:sz w:val="18"/>
          <w:szCs w:val="18"/>
          <w:color w:val="auto"/>
        </w:rPr>
        <w:t>Accounts payable, accrued expenses and other 10,092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-1905</wp:posOffset>
            </wp:positionV>
            <wp:extent cx="1217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31750</wp:posOffset>
            </wp:positionV>
            <wp:extent cx="1217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48895</wp:posOffset>
            </wp:positionV>
            <wp:extent cx="1217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4840" w:space="720"/>
            <w:col w:w="5860"/>
          </w:cols>
          <w:pgMar w:left="240" w:top="121"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8" w:lineRule="exact"/>
        <w:rPr>
          <w:sz w:val="20"/>
          <w:szCs w:val="20"/>
          <w:color w:val="auto"/>
        </w:rPr>
      </w:pPr>
    </w:p>
    <w:p>
      <w:pPr>
        <w:jc w:val="both"/>
        <w:ind w:left="500" w:hanging="492"/>
        <w:spacing w:after="0" w:line="24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three months ended September 30, 2019 and 2018, the Company recorded $(9.1) million and $3.0 million, respectively, of unrealized gains (losses) in accumulated other comprehensive income (loss). For the nine months ended September 30, 2019 and 2018, the Company recorded $(32.4) million and $9.0 million, respectively, of unrealized gains (losses) in accumulated other comprehensive income (loss).</w:t>
      </w:r>
    </w:p>
    <w:p>
      <w:pPr>
        <w:spacing w:after="0" w:line="1"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within the fair value hierarchy. Over the next 12 months, the Company expects that $1.1 million related to cash flow hedges will be reclassified from "Accumulated other comprehensive income (loss)" as an increase to interest expense.</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derivative is not designated in a hedging relationship.</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Credit Risk-Related Contingent Features</w:t>
      </w:r>
      <w:r>
        <w:rPr>
          <w:rFonts w:ascii="Arial" w:cs="Arial" w:eastAsia="Arial" w:hAnsi="Arial"/>
          <w:sz w:val="18"/>
          <w:szCs w:val="18"/>
          <w:color w:val="auto"/>
        </w:rPr>
        <w:t>—The Company reports derivative instruments on a gross basis in its consolidated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agreements with each of its derivative counterparties that contain a provision whereby if the Company either defaults or is capable of being declared in default on any of its indebtedness, then the Company could also be declared in default on its derivative obligations. In connection with its interest rate derivatives which were in a liability position as of September 30, 2019 and December 31, 2018, the Company posted cash collateral of $21.8 million and $8.0 million, respectively, which is included in "Restricted cash" on the Company's consolidated balance sheets. As of September 30, 2019 and December 31, 2018, the Company would not have been required to post any additional collateral to settle these contracts had the Company been declared in default on its derivative obligations.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present the effect of the Company's derivative financial instruments in the consolidated statements of operations and the consolidated statements of comprehensive income (loss) for the three and nine months ended September 30, 2019 and 2018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Amount of Gain (Loss)</w:t>
            </w:r>
          </w:p>
        </w:tc>
      </w:t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Amount of Gain (Loss)</w:t>
            </w:r>
          </w:p>
        </w:tc>
        <w:tc>
          <w:tcPr>
            <w:tcW w:w="160" w:type="dxa"/>
            <w:vAlign w:val="bottom"/>
          </w:tcPr>
          <w:p>
            <w:pPr>
              <w:spacing w:after="0"/>
              <w:rPr>
                <w:sz w:val="17"/>
                <w:szCs w:val="17"/>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Reclassified from</w:t>
            </w:r>
          </w:p>
        </w:tc>
      </w:t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Recognized in</w:t>
            </w:r>
          </w:p>
        </w:tc>
        <w:tc>
          <w:tcPr>
            <w:tcW w:w="160" w:type="dxa"/>
            <w:vAlign w:val="bottom"/>
          </w:tcPr>
          <w:p>
            <w:pPr>
              <w:spacing w:after="0"/>
              <w:rPr>
                <w:sz w:val="17"/>
                <w:szCs w:val="17"/>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gridSpan w:val="3"/>
          </w:tcPr>
          <w:p>
            <w:pPr>
              <w:ind w:left="280"/>
              <w:spacing w:after="0"/>
              <w:rPr>
                <w:sz w:val="20"/>
                <w:szCs w:val="20"/>
                <w:color w:val="auto"/>
              </w:rPr>
            </w:pPr>
            <w:r>
              <w:rPr>
                <w:rFonts w:ascii="Arial" w:cs="Arial" w:eastAsia="Arial" w:hAnsi="Arial"/>
                <w:sz w:val="16"/>
                <w:szCs w:val="16"/>
                <w:b w:val="1"/>
                <w:bCs w:val="1"/>
                <w:color w:val="auto"/>
              </w:rPr>
              <w:t>Location of Gain (Loss)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Accumulated Other</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 Income</w:t>
            </w:r>
          </w:p>
        </w:tc>
      </w:tr>
      <w:tr>
        <w:trPr>
          <w:trHeight w:val="210"/>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in Hedging Relationships</w:t>
            </w:r>
          </w:p>
        </w:tc>
        <w:tc>
          <w:tcPr>
            <w:tcW w:w="40" w:type="dxa"/>
            <w:vAlign w:val="bottom"/>
          </w:tcPr>
          <w:p>
            <w:pPr>
              <w:spacing w:after="0"/>
              <w:rPr>
                <w:sz w:val="18"/>
                <w:szCs w:val="18"/>
                <w:color w:val="auto"/>
              </w:rPr>
            </w:pPr>
          </w:p>
        </w:tc>
        <w:tc>
          <w:tcPr>
            <w:tcW w:w="2340" w:type="dxa"/>
            <w:vAlign w:val="bottom"/>
            <w:gridSpan w:val="3"/>
          </w:tcPr>
          <w:p>
            <w:pPr>
              <w:ind w:left="100"/>
              <w:spacing w:after="0"/>
              <w:rPr>
                <w:sz w:val="20"/>
                <w:szCs w:val="20"/>
                <w:color w:val="auto"/>
              </w:rPr>
            </w:pPr>
            <w:r>
              <w:rPr>
                <w:rFonts w:ascii="Arial" w:cs="Arial" w:eastAsia="Arial" w:hAnsi="Arial"/>
                <w:sz w:val="16"/>
                <w:szCs w:val="16"/>
                <w:b w:val="1"/>
                <w:bCs w:val="1"/>
                <w:color w:val="auto"/>
              </w:rPr>
              <w:t>When Recognized in Income</w:t>
            </w:r>
          </w:p>
        </w:tc>
        <w:tc>
          <w:tcPr>
            <w:tcW w:w="4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Comprehensive Income</w:t>
            </w:r>
          </w:p>
        </w:tc>
        <w:tc>
          <w:tcPr>
            <w:tcW w:w="160" w:type="dxa"/>
            <w:vAlign w:val="bottom"/>
          </w:tcPr>
          <w:p>
            <w:pPr>
              <w:spacing w:after="0"/>
              <w:rPr>
                <w:sz w:val="18"/>
                <w:szCs w:val="18"/>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into Earnings</w:t>
            </w:r>
          </w:p>
        </w:tc>
      </w:tr>
      <w:tr>
        <w:trPr>
          <w:trHeight w:val="33"/>
        </w:trPr>
        <w:tc>
          <w:tcPr>
            <w:tcW w:w="4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September 30, 2019</w:t>
            </w:r>
          </w:p>
        </w:tc>
        <w:tc>
          <w:tcPr>
            <w:tcW w:w="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Interest rate swaps</w:t>
            </w:r>
          </w:p>
        </w:tc>
        <w:tc>
          <w:tcPr>
            <w:tcW w:w="2380" w:type="dxa"/>
            <w:vAlign w:val="bottom"/>
            <w:gridSpan w:val="4"/>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(9,132)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33"/>
        </w:trPr>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4"/>
        </w:trPr>
        <w:tc>
          <w:tcPr>
            <w:tcW w:w="4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 the Three Months Ended September 30, 2018</w:t>
            </w: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84"/>
        </w:trPr>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Nine Months Ended September 30, 2019</w:t>
            </w:r>
          </w:p>
        </w:tc>
        <w:tc>
          <w:tcPr>
            <w:tcW w:w="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Interest rate swaps</w:t>
            </w:r>
          </w:p>
        </w:tc>
        <w:tc>
          <w:tcPr>
            <w:tcW w:w="2380" w:type="dxa"/>
            <w:vAlign w:val="bottom"/>
            <w:gridSpan w:val="4"/>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(32,362)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4"/>
        </w:trPr>
        <w:tc>
          <w:tcPr>
            <w:tcW w:w="4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 the Nine Months Ended September 30, 2018</w:t>
            </w: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351"/>
        </w:trPr>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Location of Gain or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(Loss) When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 of Gain or</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Recognized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Recognized in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in Hedging Relationships</w:t>
            </w:r>
          </w:p>
        </w:tc>
        <w:tc>
          <w:tcPr>
            <w:tcW w:w="40" w:type="dxa"/>
            <w:vAlign w:val="bottom"/>
          </w:tcPr>
          <w:p>
            <w:pPr>
              <w:spacing w:after="0"/>
              <w:rPr>
                <w:sz w:val="18"/>
                <w:szCs w:val="18"/>
                <w:color w:val="auto"/>
              </w:rPr>
            </w:pPr>
          </w:p>
        </w:tc>
        <w:tc>
          <w:tcPr>
            <w:tcW w:w="2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4"/>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September 30, 2019</w:t>
            </w:r>
          </w:p>
        </w:tc>
        <w:tc>
          <w:tcPr>
            <w:tcW w:w="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Interest rate cap</w:t>
            </w:r>
          </w:p>
        </w:tc>
        <w:tc>
          <w:tcPr>
            <w:tcW w:w="40" w:type="dxa"/>
            <w:vAlign w:val="bottom"/>
          </w:tcPr>
          <w:p>
            <w:pPr>
              <w:spacing w:after="0"/>
              <w:rPr>
                <w:sz w:val="20"/>
                <w:szCs w:val="20"/>
                <w:color w:val="auto"/>
              </w:rPr>
            </w:pP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4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tcBorders>
              <w:right w:val="single" w:sz="8" w:color="CCEEFF"/>
            </w:tcBorders>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 the Three Months Ended September 30, 2018</w:t>
            </w: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rate cap</w:t>
            </w:r>
          </w:p>
        </w:tc>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324"/>
        </w:trPr>
        <w:tc>
          <w:tcPr>
            <w:tcW w:w="45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For the Nine Months Ended September 30, 2019</w:t>
            </w:r>
          </w:p>
        </w:tc>
        <w:tc>
          <w:tcPr>
            <w:tcW w:w="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Interest rate cap</w:t>
            </w:r>
          </w:p>
        </w:tc>
        <w:tc>
          <w:tcPr>
            <w:tcW w:w="40" w:type="dxa"/>
            <w:vAlign w:val="bottom"/>
          </w:tcPr>
          <w:p>
            <w:pPr>
              <w:spacing w:after="0"/>
              <w:rPr>
                <w:sz w:val="20"/>
                <w:szCs w:val="20"/>
                <w:color w:val="auto"/>
              </w:rPr>
            </w:pP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45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tcBorders>
              <w:right w:val="single" w:sz="8" w:color="CCEEFF"/>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 the Nine Months Ended September 30, 2018</w:t>
            </w: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rate cap</w:t>
            </w:r>
          </w:p>
        </w:tc>
        <w:tc>
          <w:tcPr>
            <w:tcW w:w="4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tcBorders>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—On April 14, 2017, two institutional investors acquired 2,875,000 shares of the Company's common stock for $57.5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iStar acquired 2,775,000 shares of the Company's common stock for $55.5 million.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27, 2017, the Company sold 10,250,000 shares of its common stock in its initial public offering for proceeds of $205.0 million. Concurrently with the initial public offering, the Company sold $45.0 million in shares, or 2,250,000 shares, of its common stock to iStar in a private placement and issued a total of 40,000 fully-vested shares to its directors who are not employees of the Manager or iStar in consideration for their annual services as directors. On each of June 28, 2018 and May 9, 2019, the Company issued 40,000 fully-vested shares to its directors who are not employees of the Manager or iStar in consideration for their annual services as directors.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January 2, 2019, the Company received $250.0 million of proceeds from iStar for its purchase of 12,500,000 newly designated limited partnership units ("Investor Units") in the Operating Partnership at a purchase price of $20.00 per unit. In May 2019, after approval of the Company's shareholders, the Investor Units were exchanged for shares of the Company's common</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 on a one-for-one basis. Following the exchange, the Investor Units were retired. Each Investor Unit received distributions equivalent to distributions declared and paid on one share of the Company's common stock. The Investor Units had no voting rights. They had limited protective consent rights over certain matters such as amendments to the terms of the Investor Units that would adversely affect the Investor Units.</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On August 12, 2019, the Company sold 3,450,000 shares of its common stock in a public offering for gross proceeds of $96.6 million. Concurrently with the public offering, the Company sold $168.0 million in shares, or 6,000,000 shares, of its common stock to iStar in a private placement. The Company incurred approximately $4.4 million of offering costs in connection with these transactions which were recorded as a reduction to additional paid-in capital.</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September 30, 2019, iStar purchased 3.3 million shares of the Company's common stock for $68.6 million, for an average cost of $21.07 per share, pursuant to 10b5-1 plans (the “10b5-1 Plans") in accordance with Rules 10b5-1 and 10b-18 under the Securities and Exchange Act of 1934, as amended, under which it could buy shares of the Company's common stock in the open market. In addition, iStar purchased an additional 133,524 shares of the Company's common stock in private and open market transactions for $2.2 million, for an average cost of $16.39 per share. As of September 30, 2019, iStar owned 67.1% of the Company's common stock; however, its discretionary voting power is limited to 41.9% as a result of limitations on its voting power contained in a stockholder's agreement entered into in connection with its purchase of the Investor Units.</w:t>
      </w:r>
    </w:p>
    <w:p>
      <w:pPr>
        <w:spacing w:after="0" w:line="1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Equity Plans</w:t>
      </w:r>
      <w:r>
        <w:rPr>
          <w:rFonts w:ascii="Arial" w:cs="Arial" w:eastAsia="Arial" w:hAnsi="Arial"/>
          <w:sz w:val="17"/>
          <w:szCs w:val="17"/>
          <w:color w:val="auto"/>
        </w:rPr>
        <w:t>—During the third quarter 2018, the Company adopted an equity incentive plan providing for grants of interests (called "CARET</w:t>
      </w:r>
      <w:r>
        <w:rPr>
          <w:rFonts w:ascii="Arial" w:cs="Arial" w:eastAsia="Arial" w:hAnsi="Arial"/>
          <w:sz w:val="17"/>
          <w:szCs w:val="17"/>
          <w:b w:val="1"/>
          <w:bCs w:val="1"/>
          <w:color w:val="auto"/>
        </w:rPr>
        <w:t xml:space="preserve"> </w:t>
      </w:r>
      <w:r>
        <w:rPr>
          <w:rFonts w:ascii="Arial" w:cs="Arial" w:eastAsia="Arial" w:hAnsi="Arial"/>
          <w:sz w:val="17"/>
          <w:szCs w:val="17"/>
          <w:color w:val="auto"/>
        </w:rPr>
        <w:t>Units") in a subsidiary of the Operating Partnership intended to constitute profits interests within the meaning of relevant Internal Revenue Service guidance. The Company's shareholders approved the plan in the second quarter of 2019. Grants under the plan are subject to graduated vesting based on time and hurdles of the Company's common stock price ranging from $25.00 to $35.00. Once a particular stock price hurdle is met, a portion of the awards become vested, but remain subject to being forfeited, in part, if additional time-based service conditions are not satisfied. The awards generally entitle plan participants to cash distributions of up to 15%, in the aggregate, of the capital appreciation above the Company's investment basis on its Ground Lease assets received upon the sale of a Ground Lease, the sale of a combined property and certain non-recourse mortgage debt refinancings of a Ground Lease. The Company owns the remaining 85% of the CARET Units. If one or more stock price hurdles are not achieved in three years, the portion of the awards attributable to those hurdles automatically terminate. As of September 30, 2019, three stock price hurdles ($25.00, $27.50 and $30.00) were achieved, resulting in 50% of each outstanding award becoming vested; provided, however, that 75% of such awards remain subject to forfeiture based on continuing service conditions. Awards with an aggregate fair value of $1.5 million are available to be granted under this plan, of which $1.4 million was granted to the Company's independent directors and employees of the Manager in 2018, which will be recognized over a period of four years. During the three and nine months ended September 30, 2019, the Company recognized $0.1 million and $0.3 million, respectively, in expense from the equity plan and it is recorded in "General and administrative" in the Company's consolidated statements of operations and "Noncontrolling interests" on the Company's consolidated balance sheet.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adopted an equity incentive plan to provide equity incentive opportunities to members of the Manager's management team and employees who perform services for the Company, the Company's independent directors, advisers, consultants and other personnel (the "2017 Equity Incentive Plan"). The 2017 Equity Incentive Plan provides for grants of stock options, shares of restricted common stock, phantom shares, dividend equivalent rights and other equity-based awards, including long-term incentive plan units. In the first quarter 2019, the Company granted 25,000 restricted stock units with a fair value of $0.5 million under the 2017 Equity Incentive Plan to an employee of the Manager, representing the right to receive 25,000 shares of the Company's common stock on January 5, 2022, if the employee is employed by the Manager on that date. Grants under the 2017 Equity Incentive Plan are recognized as compensation costs ratably over the applicable vesting period and recorded in "General and administrative" in the Company's consolidated statements of operations. Dividends will accrue as and when dividends are declared by the Company on shares of its common stock, but will not be paid unless and until the restricted stock units vest and are settled. As of September 30, 2019, there was $0.4 million of total unrecognized compensation cost related to the unvested restricted stock units. As of September 30, 2019, an aggregate of 762,500 shares remain available for issuance pursuant to future awards under the Company's 2017 Equity Incentive Plan.</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consists of net unrealized gains (losses)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derivative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Noncontrolling Interests</w:t>
      </w:r>
      <w:r>
        <w:rPr>
          <w:rFonts w:ascii="Arial" w:cs="Arial" w:eastAsia="Arial" w:hAnsi="Arial"/>
          <w:sz w:val="18"/>
          <w:szCs w:val="18"/>
          <w:color w:val="auto"/>
        </w:rPr>
        <w:t>—Noncontrolling interests includes unrelated third-party equity interests in ventures that are consolidated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—The Company elected to be taxed as a REIT beginning with its taxable year ended December 31, 2017. To qualify as a REIT,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must annually distribute, at a 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nine months ended September 30, 2019, the Company declared cash dividends on its common stock of $13.9 million, or $0.462 per share. In addition, during the nine months ended September 30, 2019, the Company declared cash distributions to iStar for its Investor Units of $1.9 million, or $0.15 per Investor Unit. During the nine months ended September 30, 2018, the Company declared cash dividends on its common stock of $8.2 million, or $0.45 per share.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2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Earnings per share ("EPS") is calculated by dividing net income attributable to common shareholders by the weighted average number of shares outstanding for the period. The following tables present a reconciliation of net income used in the basic and diluted EPS calculations ($ in thousands, except</w:t>
      </w: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for per share data):</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Net income allocable to noncontrolling interests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income allocable to Safehold Inc. common shareholders for basic</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18"/>
                <w:szCs w:val="18"/>
                <w:color w:val="auto"/>
              </w:rPr>
            </w:pPr>
          </w:p>
        </w:tc>
        <w:tc>
          <w:tcPr>
            <w:tcW w:w="1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16,574</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7"/>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Net income allocable to Safehold Inc. common shareholders - basic</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5,432</w:t>
            </w:r>
          </w:p>
        </w:tc>
        <w:tc>
          <w:tcPr>
            <w:tcW w:w="5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3"/>
              </w:rPr>
              <w:t>Net income allocable to Safehold Inc. common shareholders - 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5,432</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16,574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Weighted average common shares outstanding for basic earnings per</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w w:val="90"/>
              </w:rPr>
              <w:t>Weighted average common shares outstanding for diluted earnings per</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color w:val="auto"/>
              </w:rPr>
              <w:t>36,111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18,230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26,748</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120" w:type="dxa"/>
            <w:vAlign w:val="bottom"/>
            <w:tcBorders>
              <w:bottom w:val="single" w:sz="8" w:color="CCEEFF"/>
            </w:tcBorders>
          </w:tcPr>
          <w:p>
            <w:pPr>
              <w:ind w:left="180"/>
              <w:spacing w:after="0" w:line="244" w:lineRule="exact"/>
              <w:rPr>
                <w:sz w:val="20"/>
                <w:szCs w:val="20"/>
                <w:color w:val="auto"/>
              </w:rPr>
            </w:pPr>
            <w:r>
              <w:rPr>
                <w:rFonts w:ascii="Arial" w:cs="Arial" w:eastAsia="Arial" w:hAnsi="Arial"/>
                <w:sz w:val="18"/>
                <w:szCs w:val="18"/>
                <w:color w:val="auto"/>
              </w:rPr>
              <w:t>common share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Basic and diluted earnings per common share: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Net income allocable to Safehold Inc. common shareholders - basic</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5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w w:val="93"/>
              </w:rPr>
              <w:t>Net income allocable to Safehold Inc. common shareholders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5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During the nine months ended September 30, 2019, 5,860,806 of Investor Units (refer to Note 11) were anti-dilutive.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externally managed by an affiliate of iStar, the Company's largest shareholder. iStar has been an active real estate investor for over 20 years and has executed transactions with an aggregate value of over $40.0 billion. iStar has an extensive network for sourcing investments, which includes relationships with brokers, corporate tenants and developers that it has established over its long operating history. As of June 30, 2019, iStar had total assets of approximately $4.8 billion and 157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terms of the management agreement is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Manager</w:t>
            </w:r>
          </w:p>
        </w:tc>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SFTY Manager, LLC, a wholly-owned subsidiary of iStar Inc.</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Management Fee</w:t>
            </w:r>
          </w:p>
        </w:tc>
        <w:tc>
          <w:tcPr>
            <w:tcW w:w="8200" w:type="dxa"/>
            <w:vAlign w:val="bottom"/>
          </w:tcPr>
          <w:p>
            <w:pPr>
              <w:ind w:left="440"/>
              <w:spacing w:after="0"/>
              <w:rPr>
                <w:sz w:val="20"/>
                <w:szCs w:val="20"/>
                <w:color w:val="auto"/>
              </w:rPr>
            </w:pPr>
            <w:r>
              <w:rPr>
                <w:rFonts w:ascii="Arial" w:cs="Arial" w:eastAsia="Arial" w:hAnsi="Arial"/>
                <w:sz w:val="18"/>
                <w:szCs w:val="18"/>
                <w:color w:val="auto"/>
              </w:rPr>
              <w:t>Annual fee of 1.0% of total equity (up to $1.5 billion)</w:t>
            </w:r>
          </w:p>
        </w:tc>
      </w:tr>
      <w:tr>
        <w:trPr>
          <w:trHeight w:val="432"/>
        </w:trPr>
        <w:tc>
          <w:tcPr>
            <w:tcW w:w="2940" w:type="dxa"/>
            <w:vAlign w:val="bottom"/>
          </w:tcPr>
          <w:p>
            <w:pPr>
              <w:spacing w:after="0"/>
              <w:rPr>
                <w:sz w:val="24"/>
                <w:szCs w:val="24"/>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rPr>
              <w:t>Annual fee of 1.25% of total equity (for incremental equity of $1.5 billion to $3.0 billion)</w:t>
            </w:r>
          </w:p>
        </w:tc>
      </w:tr>
      <w:tr>
        <w:trPr>
          <w:trHeight w:val="432"/>
        </w:trPr>
        <w:tc>
          <w:tcPr>
            <w:tcW w:w="2940" w:type="dxa"/>
            <w:vAlign w:val="bottom"/>
          </w:tcPr>
          <w:p>
            <w:pPr>
              <w:spacing w:after="0"/>
              <w:rPr>
                <w:sz w:val="24"/>
                <w:szCs w:val="24"/>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rPr>
              <w:t>Annual fee of 1.375% of total equity (for incremental equity of $3.0 billion to $5.0 billion) and</w:t>
            </w:r>
          </w:p>
        </w:tc>
      </w:tr>
      <w:tr>
        <w:trPr>
          <w:trHeight w:val="432"/>
        </w:trPr>
        <w:tc>
          <w:tcPr>
            <w:tcW w:w="2940" w:type="dxa"/>
            <w:vAlign w:val="bottom"/>
          </w:tcPr>
          <w:p>
            <w:pPr>
              <w:spacing w:after="0"/>
              <w:rPr>
                <w:sz w:val="24"/>
                <w:szCs w:val="24"/>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rPr>
              <w:t>Annual fee of 1.5% of total equity (for incremental equity over $5.0 billion)</w:t>
            </w:r>
          </w:p>
        </w:tc>
      </w:tr>
      <w:tr>
        <w:trPr>
          <w:trHeight w:val="27"/>
        </w:trPr>
        <w:tc>
          <w:tcPr>
            <w:tcW w:w="294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Management Fee Consideration</w:t>
            </w:r>
          </w:p>
        </w:tc>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At the discretion of the Company's independent directors, payment will be made in cash or in shares of the</w:t>
            </w:r>
          </w:p>
        </w:tc>
      </w:tr>
      <w:tr>
        <w:trPr>
          <w:trHeight w:val="216"/>
        </w:trPr>
        <w:tc>
          <w:tcPr>
            <w:tcW w:w="2940" w:type="dxa"/>
            <w:vAlign w:val="bottom"/>
            <w:shd w:val="clear" w:color="auto" w:fill="CCEEFF"/>
          </w:tcPr>
          <w:p>
            <w:pPr>
              <w:spacing w:after="0"/>
              <w:rPr>
                <w:sz w:val="18"/>
                <w:szCs w:val="18"/>
                <w:color w:val="auto"/>
              </w:rPr>
            </w:pPr>
          </w:p>
        </w:tc>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Company's common stock (valued at the greater of: (i) the volume weighted average market price during</w:t>
            </w:r>
          </w:p>
        </w:tc>
      </w:tr>
      <w:tr>
        <w:trPr>
          <w:trHeight w:val="237"/>
        </w:trPr>
        <w:tc>
          <w:tcPr>
            <w:tcW w:w="29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the quarter for which the fee is being paid; or (ii) the initial public offering price of $20.00 per share)</w:t>
            </w:r>
          </w:p>
        </w:tc>
      </w:tr>
      <w:tr>
        <w:trPr>
          <w:trHeight w:val="22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Lock-up</w:t>
            </w:r>
          </w:p>
        </w:tc>
        <w:tc>
          <w:tcPr>
            <w:tcW w:w="8200" w:type="dxa"/>
            <w:vAlign w:val="bottom"/>
          </w:tcPr>
          <w:p>
            <w:pPr>
              <w:ind w:left="440"/>
              <w:spacing w:after="0"/>
              <w:rPr>
                <w:sz w:val="20"/>
                <w:szCs w:val="20"/>
                <w:color w:val="auto"/>
              </w:rPr>
            </w:pPr>
            <w:r>
              <w:rPr>
                <w:rFonts w:ascii="Arial" w:cs="Arial" w:eastAsia="Arial" w:hAnsi="Arial"/>
                <w:sz w:val="18"/>
                <w:szCs w:val="18"/>
                <w:color w:val="auto"/>
                <w:w w:val="92"/>
              </w:rPr>
              <w:t>Restriction from selling common stock received for management fees for two years from the date of such</w:t>
            </w:r>
          </w:p>
        </w:tc>
      </w:tr>
      <w:tr>
        <w:trPr>
          <w:trHeight w:val="216"/>
        </w:trPr>
        <w:tc>
          <w:tcPr>
            <w:tcW w:w="2940" w:type="dxa"/>
            <w:vAlign w:val="bottom"/>
          </w:tcPr>
          <w:p>
            <w:pPr>
              <w:spacing w:after="0"/>
              <w:rPr>
                <w:sz w:val="18"/>
                <w:szCs w:val="18"/>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w w:val="94"/>
              </w:rPr>
              <w:t>issuance (restriction will terminate in the event of and effective with the termination of the management</w:t>
            </w:r>
          </w:p>
        </w:tc>
      </w:tr>
      <w:tr>
        <w:trPr>
          <w:trHeight w:val="230"/>
        </w:trPr>
        <w:tc>
          <w:tcPr>
            <w:tcW w:w="2940" w:type="dxa"/>
            <w:vAlign w:val="bottom"/>
          </w:tcPr>
          <w:p>
            <w:pPr>
              <w:spacing w:after="0"/>
              <w:rPr>
                <w:sz w:val="20"/>
                <w:szCs w:val="20"/>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rPr>
              <w:t>agreement)</w:t>
            </w:r>
          </w:p>
        </w:tc>
      </w:tr>
      <w:tr>
        <w:trPr>
          <w:trHeight w:val="27"/>
        </w:trPr>
        <w:tc>
          <w:tcPr>
            <w:tcW w:w="294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Management Fee Waiver</w:t>
            </w:r>
          </w:p>
        </w:tc>
        <w:tc>
          <w:tcPr>
            <w:tcW w:w="8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 management fee was paid to the Manager during the first year (through June 30, 2018)</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Incentive Fee</w:t>
            </w:r>
          </w:p>
        </w:tc>
        <w:tc>
          <w:tcPr>
            <w:tcW w:w="820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7"/>
        </w:trPr>
        <w:tc>
          <w:tcPr>
            <w:tcW w:w="294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Term</w:t>
            </w:r>
          </w:p>
        </w:tc>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 term from January 1, 2019 - June 30, 2022; non-terminable except for cause.</w:t>
            </w:r>
          </w:p>
        </w:tc>
      </w:tr>
      <w:tr>
        <w:trPr>
          <w:trHeight w:val="364"/>
        </w:trPr>
        <w:tc>
          <w:tcPr>
            <w:tcW w:w="2940" w:type="dxa"/>
            <w:vAlign w:val="bottom"/>
            <w:shd w:val="clear" w:color="auto" w:fill="CCEEFF"/>
          </w:tcPr>
          <w:p>
            <w:pPr>
              <w:spacing w:after="0"/>
              <w:rPr>
                <w:sz w:val="24"/>
                <w:szCs w:val="24"/>
                <w:color w:val="auto"/>
              </w:rPr>
            </w:pPr>
          </w:p>
        </w:tc>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Automatic annual renewals thereafter, subject to non-renewal upon certain findings by the Company's</w:t>
            </w:r>
          </w:p>
        </w:tc>
      </w:tr>
      <w:tr>
        <w:trPr>
          <w:trHeight w:val="237"/>
        </w:trPr>
        <w:tc>
          <w:tcPr>
            <w:tcW w:w="29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independent directors and payment of termination fee.</w:t>
            </w:r>
          </w:p>
        </w:tc>
      </w:tr>
      <w:tr>
        <w:trPr>
          <w:trHeight w:val="22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Termination Fee</w:t>
            </w:r>
          </w:p>
        </w:tc>
        <w:tc>
          <w:tcPr>
            <w:tcW w:w="8200" w:type="dxa"/>
            <w:vAlign w:val="bottom"/>
          </w:tcPr>
          <w:p>
            <w:pPr>
              <w:ind w:left="440"/>
              <w:spacing w:after="0"/>
              <w:rPr>
                <w:sz w:val="20"/>
                <w:szCs w:val="20"/>
                <w:color w:val="auto"/>
              </w:rPr>
            </w:pPr>
            <w:r>
              <w:rPr>
                <w:rFonts w:ascii="Arial" w:cs="Arial" w:eastAsia="Arial" w:hAnsi="Arial"/>
                <w:sz w:val="18"/>
                <w:szCs w:val="18"/>
                <w:color w:val="auto"/>
                <w:w w:val="93"/>
              </w:rPr>
              <w:t>3x prior year's management fee, subject to the Company having raised $820 million of total equity since</w:t>
            </w:r>
          </w:p>
        </w:tc>
      </w:tr>
      <w:tr>
        <w:trPr>
          <w:trHeight w:val="230"/>
        </w:trPr>
        <w:tc>
          <w:tcPr>
            <w:tcW w:w="2940" w:type="dxa"/>
            <w:vAlign w:val="bottom"/>
          </w:tcPr>
          <w:p>
            <w:pPr>
              <w:spacing w:after="0"/>
              <w:rPr>
                <w:sz w:val="20"/>
                <w:szCs w:val="20"/>
                <w:color w:val="auto"/>
              </w:rPr>
            </w:pPr>
          </w:p>
        </w:tc>
        <w:tc>
          <w:tcPr>
            <w:tcW w:w="8200" w:type="dxa"/>
            <w:vAlign w:val="bottom"/>
          </w:tcPr>
          <w:p>
            <w:pPr>
              <w:ind w:left="440"/>
              <w:spacing w:after="0"/>
              <w:rPr>
                <w:sz w:val="20"/>
                <w:szCs w:val="20"/>
                <w:color w:val="auto"/>
              </w:rPr>
            </w:pPr>
            <w:r>
              <w:rPr>
                <w:rFonts w:ascii="Arial" w:cs="Arial" w:eastAsia="Arial" w:hAnsi="Arial"/>
                <w:sz w:val="18"/>
                <w:szCs w:val="18"/>
                <w:color w:val="auto"/>
              </w:rPr>
              <w:t>inception</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months ended September 30, 2019 and 2018, the Company recorded $1.9 million and $0.9 million, respectively, in management fees to the Manager. For the nine months ended September 30, 2019 and 2018, the Company recorded $5.0 million and $2.7 million, respectively, in management fees to the Manager. These management fees are recorded in "General and administrative" in the Company's consolidated statements of operations. Prior to June 30, 2018, no management fees were paid to the Manager because such fees were waived during the first year of the agreement. The fees were accounted for as a non-cash capital contribution from iStar despite iStar not receiving any compensation for its services during the first year of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Reimbursements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pays, or reimburses the Manager for, all of the Company's operating expenses, except those specifically required to be borne by the Manager under the management agreement. In addition, because the Manager’s personnel perform certain legal, accounting, due diligence tasks and other services that third-party professionals or consultants otherwise would perform, the Manager is reimbursed, in cash or in shares of the Company's common stock, for the documented cost of performing such tasks.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September 30, 2019 and 2018, the Company was allocated $0.5 million and $0.4 million, respectively, in expenses from the Manager. For the nine months ended September 30, 2019 and 2018, the Company was allocated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Safehold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$1.6 million and $1.1 million, respectively, in expenses from the Manager. These expenses are recorded in "General and administrative" in the Company's consolidated statements of operations. Prior to June 30, 2018, in accordance with the provisions of the management agreement, the reimbursement of expenses was waived by the Manager and, accordingly, these expenses were accounted for as a non-cash capital contribution from iStar despite iStar not receiving any reimbursement for these allocated expenses during the first year of the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iStar has participated in certain of the Company's investment transactions, as the Company's tenant or either as a seller of land or by providing financing to the Company's Ground Lease tenants. Following is a list of transactions in which the Company and iStar have participated for the periods presented. These transactions were approved by the Company’s independent directors in accordance with the Company's policy with respect to transactions in which iStar is also a participant.</w:t>
      </w:r>
    </w:p>
    <w:p>
      <w:pPr>
        <w:spacing w:after="0" w:line="1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August 2019, the Company and iStar closed on the acquisition of a 310,000 square foot Class-A office building located in Austin, TX. iStar acquired the leasehold interest and the Company simultaneously acquired the fee interest and entered into a new 99-year Ground Lease with iStar.</w:t>
      </w:r>
    </w:p>
    <w:p>
      <w:pPr>
        <w:spacing w:after="0" w:line="14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February 2019, the Company and iStar closed on the acquisition of a 420,000 square foot office building located in Jersey City, NJ. iStar acquired the leasehold interest and the Company simultaneously acquired the fee interest and entered into a new 98-year Ground Lease with iStar.</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January 2019, the Company acquired land and simultaneously structured and entered into a Ground Lease as part of the Ground Lease tenant's acquisition of an existing office building located in Washington, DC that is to be converted into a multi-family building. The Ground Lease has a term of 99 years. The Company also committed to provide the Ground Lease tenant a $10.5 million leasehold improvement allowance that will be funded upon the completion of certain conditions. In addition, iStar provided a $13.3 million loan to the ground lessee with an initial term of 21 months for the acquisition of the property.</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2017, the Company acquired land and simultaneously structured and entered into a Ground Lease in Atlanta, GA and accounted for the transaction as an asset acquisition. The Ground Lease has a term of 99 years. In addition, the ground lessee will construct a 185-space parking deck adjacent to the building scheduled to be completed in 2019, which will be engineered to accommodate future development of the site. The Company has a right of first refusal to provide funding for up to 30.0% of the construction cost of an additional 160,000 square feet of development on terms consistent with the Ground Lease. iStar committed to provide a $24.0 million construction loan to the ground lessee for the renovation of the property. The loan was repaid in August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Safehold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the Risk Factors section in our Annual Report on Form 10-K, all of which could affect our future results of operations, financial condition and liquidity. For purposes of Management's Discussion and Analysis of Financial Condition and Results of Operations, the terms "we," "our" and "us" refer to Safehold Inc. and its consolidated subsidiaries, unless the context indicates otherwise.</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discussion below should be read in conjunction with our consolidated financial statements and related notes in this quarterly report on Form 10-Q and our Annual Report on Form 10-K. These historical financial statements may not be indicative of our future performance. We have reclassified certain items in our consolidated financial statements of prior periods to conform to our current financial statements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a publicly-traded company that originates and acquires Ground Leases in order to generate attractive long-term risk-adjusted returns from our investments. We believe that our business has characteristics comparable to a high-grade fixed income investment business, but with certain unique advantages. Relative to alternative fixed income investments generally, our Ground Leases typically benefit from built-in growth derived from contractual rent increases, and the opportunity to realize value from residual rights to acquire the buildings and other improvements on our land at no additional cost to us. We believe that these features offer us the opportunity to realize superior risk-adjusted total returns when compared to certain alternative highly-rated investments.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elected to be taxed as a real estate investment trust ("REIT") for U.S. federal income tax purposes, commencing with the tax year ended December 31, 2017. We conduct all of our business and own all of our properties through our subsidiary partnership, Safehold Operating Partnership LP (the "Operating Partnership").</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High Quality Long-Term Cash Flow</w:t>
      </w:r>
      <w:r>
        <w:rPr>
          <w:rFonts w:ascii="Arial" w:cs="Arial" w:eastAsia="Arial" w:hAnsi="Arial"/>
          <w:sz w:val="18"/>
          <w:szCs w:val="18"/>
          <w:color w:val="auto"/>
        </w:rPr>
        <w:t>: We believe that a Ground Lease represents a safe position in a property's capital structure. This safety is derived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typical structure of a Ground Lease under which the landlord has a residual right to regain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possession of its land and take ownership of the buildings and improvements thereon upon a tenant default. The landlord's residual right provides a strong incentive for a Ground Lease tenant or its leasehold lender to make the required Ground Lease rent payments. Additionally, as discussed further below, the combined property value subject to a Ground Lease typically significantly exceeds the Ground Lease landlord's investment in the Ground Lease; therefore, even if the landlord takes over the property following a tenant default or upon expiration of the Ground Lease, the landlord is reasonably likely to recover substantially all of its Ground Lease investment, and possibly amounts in excess of its investment, depending upon prevailing market conditions.</w:t>
      </w:r>
    </w:p>
    <w:p>
      <w:pPr>
        <w:spacing w:after="0" w:line="21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Income Growth</w:t>
      </w:r>
      <w:r>
        <w:rPr>
          <w:rFonts w:ascii="Arial" w:cs="Arial" w:eastAsia="Arial" w:hAnsi="Arial"/>
          <w:sz w:val="17"/>
          <w:szCs w:val="17"/>
          <w:color w:val="auto"/>
        </w:rPr>
        <w:t>: Ground Leases typically provide growing income streams through contractual base rent escalators that may compound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duration of the lease. These rent escalators may be based on fixed increases, a Consumer Price Index ("CPI") or a combination thereof, and may also include a participation in the gross revenues of the underlying property. We believe that this growth in the lease rate over time can mitigate the effects of inflation and capture for anticipated increases in land values over time, as well as serving as a basis for growing our dividend.</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Opportunity for Capital Appreciation: </w:t>
      </w:r>
      <w:r>
        <w:rPr>
          <w:rFonts w:ascii="Arial" w:cs="Arial" w:eastAsia="Arial" w:hAnsi="Arial"/>
          <w:sz w:val="18"/>
          <w:szCs w:val="18"/>
          <w:color w:val="auto"/>
        </w:rPr>
        <w:t>The opportunity for capital appreciation comes in two forms. First, as the ground rent grows over time, the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Ground Lease should grow under market conditions in which capitalization rates remain flat. Second, our residual right to regain possession of the land underlying the Ground Lease and take title to the buildings and other improvements thereon for no additional consideration creates additional potential value to our shareholders.</w:t>
      </w:r>
    </w:p>
    <w:p>
      <w:pPr>
        <w:spacing w:after="0" w:line="2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generally target Ground Lease investments in which the initial cost of the Ground Lease represents 30% to 45% of the combined value of the land and buildings and improvements thereon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the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in our Annual Report on Form 10-K and this Report for a discussion of these tenant rights.</w:t>
      </w:r>
    </w:p>
    <w:p>
      <w:pPr>
        <w:spacing w:after="0" w:line="22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Owned Residual Portfolio</w:t>
      </w:r>
      <w:r>
        <w:rPr>
          <w:rFonts w:ascii="Arial" w:cs="Arial" w:eastAsia="Arial" w:hAnsi="Arial"/>
          <w:sz w:val="18"/>
          <w:szCs w:val="18"/>
          <w:color w:val="auto"/>
        </w:rPr>
        <w:t>: We believe that the residual right is a unique feature distinguishing Ground Leases from other fixed income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types. We track the unrealized appreciation in the value of the residual portfolio over our basis because we believe it provides relevant information with regard to the three key investment characteristics of our Ground Leases: (1) the quality of the long-term cash flows generated by rent that increases over time; (2) the safety of our position in a tenant's capital structure; and (3) increases and decreases in the Combined Property Value of the portfolio that reverts to us pursuant to such residual rights.</w:t>
      </w:r>
    </w:p>
    <w:p>
      <w:pPr>
        <w:spacing w:after="0" w:line="24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believe that, similar to a loan to value metric, tracking changes in the value of the residual portfolio is useful as an indicator of the quality of our cash flows and the safety of our position in a tenant's capital structure, which, in turn, support the Company's objective to pay and grow dividends over time. Observing changes in the residual portfolio value also helps us monitor changes in the value of the real estate portfolio that reverts to us under the terms of the leases, either at the expiration or earlier termination of the lease. The value may be realized by us at the relevant time by entering into a new lease on then current market terms, selling the combined property or operating the property directly and leasing the spaces to tenants at prevailing market rates.</w:t>
      </w:r>
    </w:p>
    <w:p>
      <w:pPr>
        <w:spacing w:after="0" w:line="2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engaged an independent valuation firm to prepare: (a) initial reports of the Combined Property Value associated with our Ground Lease portfolio; and (b) periodic updates of such reports, which we use, in part, to determine the current estimated value of the residual portfolio. We calculate this estimated value by subtracting our original aggregate cost basis in the Ground Leases from the aggregate Combined Property Value determined by the valuation firm.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The table below shows the current estimated unrealized capital appreciation in our owned residual portfolio as of September 30, 2019 and December 31, 2018 ($ in millions):</w:t>
      </w:r>
      <w:r>
        <w:rPr>
          <w:rFonts w:ascii="Arial" w:cs="Arial" w:eastAsia="Arial" w:hAnsi="Arial"/>
          <w:sz w:val="25"/>
          <w:szCs w:val="25"/>
          <w:color w:val="auto"/>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tcPr>
          <w:p>
            <w:pPr>
              <w:spacing w:after="0"/>
              <w:rPr>
                <w:sz w:val="20"/>
                <w:szCs w:val="20"/>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47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Combined Property Value</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83"/>
        </w:trPr>
        <w:tc>
          <w:tcPr>
            <w:tcW w:w="4720" w:type="dxa"/>
            <w:vAlign w:val="bottom"/>
          </w:tcPr>
          <w:p>
            <w:pPr>
              <w:ind w:left="40"/>
              <w:spacing w:after="0" w:line="283" w:lineRule="exact"/>
              <w:rPr>
                <w:sz w:val="20"/>
                <w:szCs w:val="20"/>
                <w:color w:val="auto"/>
              </w:rPr>
            </w:pPr>
            <w:r>
              <w:rPr>
                <w:rFonts w:ascii="Arial" w:cs="Arial" w:eastAsia="Arial" w:hAnsi="Arial"/>
                <w:sz w:val="18"/>
                <w:szCs w:val="18"/>
                <w:color w:val="auto"/>
              </w:rPr>
              <w:t>Ground Lease Cost</w:t>
            </w:r>
            <w:r>
              <w:rPr>
                <w:rFonts w:ascii="Arial" w:cs="Arial" w:eastAsia="Arial" w:hAnsi="Arial"/>
                <w:sz w:val="25"/>
                <w:szCs w:val="25"/>
                <w:color w:val="auto"/>
                <w:vertAlign w:val="superscript"/>
              </w:rPr>
              <w:t>(2)</w:t>
            </w: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16"/>
        </w:trPr>
        <w:tc>
          <w:tcPr>
            <w:tcW w:w="4720" w:type="dxa"/>
            <w:vAlign w:val="bottom"/>
          </w:tcPr>
          <w:p>
            <w:pPr>
              <w:ind w:left="40"/>
              <w:spacing w:after="0"/>
              <w:rPr>
                <w:sz w:val="20"/>
                <w:szCs w:val="20"/>
                <w:color w:val="auto"/>
              </w:rPr>
            </w:pPr>
            <w:r>
              <w:rPr>
                <w:rFonts w:ascii="Arial" w:cs="Arial" w:eastAsia="Arial" w:hAnsi="Arial"/>
                <w:sz w:val="18"/>
                <w:szCs w:val="18"/>
                <w:color w:val="auto"/>
              </w:rPr>
              <w:t>Unrealized Capital Appreciation in Our Owned Residual</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4720" w:type="dxa"/>
            <w:vAlign w:val="bottom"/>
          </w:tcPr>
          <w:p>
            <w:pPr>
              <w:ind w:left="40"/>
              <w:spacing w:after="0"/>
              <w:rPr>
                <w:sz w:val="20"/>
                <w:szCs w:val="20"/>
                <w:color w:val="auto"/>
              </w:rPr>
            </w:pPr>
            <w:r>
              <w:rPr>
                <w:rFonts w:ascii="Arial" w:cs="Arial" w:eastAsia="Arial" w:hAnsi="Arial"/>
                <w:sz w:val="18"/>
                <w:szCs w:val="18"/>
                <w:color w:val="auto"/>
              </w:rPr>
              <w:t>Portfolio</w:t>
            </w: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590867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08675"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500" w:hanging="492"/>
        <w:spacing w:after="0" w:line="241"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Please review our Current Report on Form 8-K filed on October 24, 2019 for a discussion of the valuation methodology used and important limitations and qualifications of the calculation of Unrealized Capital Appreciation in Our Owned Residual Portfolio. See "Risk Factors" in our Annual Report on Form 10-K for a discussion of certain tenant rights that may limit our ability to realize value from the unrealized capital appreciation, including tenant rights to purchase our land in certain circumstances and the right of one tenant to demolish improvements prior to the expiration of the lease. See also Item 1A. herein Risk Factors - "There can be no assurance that we will realize any incremental value from the "Unrealized Capital Appreciation in Our Owned Residual Portfolio" or that the market price of our common stock will reflect any value attributable thereto" and "The tenants under many of our Ground Leases have certain preemptive rights should we decide to sell the properties."</w:t>
      </w:r>
    </w:p>
    <w:p>
      <w:pPr>
        <w:spacing w:after="0" w:line="2" w:lineRule="exact"/>
        <w:rPr>
          <w:rFonts w:ascii="Arial" w:cs="Arial" w:eastAsia="Arial" w:hAnsi="Arial"/>
          <w:sz w:val="14"/>
          <w:szCs w:val="14"/>
          <w:color w:val="auto"/>
        </w:rPr>
      </w:pPr>
    </w:p>
    <w:p>
      <w:pPr>
        <w:jc w:val="both"/>
        <w:ind w:left="500" w:hanging="492"/>
        <w:spacing w:after="0" w:line="248"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Combined Property Value includes $416.0 million and $254.9 million related to transactions with remaining unfunded commitments as of September 30, 2019 and December 31, 2018, respectively. Ground Lease Cost includes $83.4 million and $64.0 million of unfunded commitments as of September 30, 2019 and December 31, 2018, respectively. As of September 30, 2019, our gross book value as a percentage of combined property value was 36%.</w:t>
      </w:r>
    </w:p>
    <w:p>
      <w:pPr>
        <w:spacing w:after="0" w:line="11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Market Opportunity</w:t>
      </w:r>
      <w:r>
        <w:rPr>
          <w:rFonts w:ascii="Arial" w:cs="Arial" w:eastAsia="Arial" w:hAnsi="Arial"/>
          <w:sz w:val="17"/>
          <w:szCs w:val="17"/>
          <w:color w:val="auto"/>
        </w:rPr>
        <w:t>: We believe that there is a significant market opportunity for a dedicated provider of Ground Lease capital like us. We believe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for existing Ground Leases is fragmented with ownership comprised primarily of high net 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 We draw on the extensive investment origination and sourcing platform of iStar, the parent company of our Manager, to actively promote the benefits of the Ground Lease structure to prospective Ground Lease tenants.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acquire, manage and capitalize Ground Leases and report our business as a single reportable segment. We believe owning a portfolio of Ground Leases affords our investors the opportunity for safe, growing income. Safety is derived from a Ground Lease's super senior position in the commercial real estate capital structure. Growth is realized through long-term leases with contractual periodic increases in rent. Capital appreciation is realized though growth in the value of the land over time and when, at the end of the lease, the commercial real estate property reverts to us, as landlord, and we are able to realize the value of the leasehold, which may be substantial. Our Ground Leases share similarities with triple net leases because typically we are not responsible for any operating or capital expenses over the life of the lease, making the management of our portfolio relatively simple, with limited working capital needs.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diverse portfolio of properties located in major metropolitan areas. All of the properties in our portfolio are subject to long-term leases consisting of 38 Ground Leases and one master lease (covering five properties) that provide for contractual periodic rental escalations or percentage rent participations in gross revenues generated at the relevant properties.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Ground Lease originations/acquisitions since inception ($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0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Originated</w:t>
            </w:r>
            <w:r>
              <w:rPr>
                <w:rFonts w:ascii="Arial" w:cs="Arial" w:eastAsia="Arial" w:hAnsi="Arial"/>
                <w:sz w:val="25"/>
                <w:szCs w:val="25"/>
                <w:b w:val="1"/>
                <w:bCs w:val="1"/>
                <w:color w:val="auto"/>
                <w:w w:val="95"/>
                <w:vertAlign w:val="superscript"/>
              </w:rPr>
              <w:t>(1)</w:t>
            </w:r>
          </w:p>
        </w:tc>
      </w:tr>
      <w:tr>
        <w:trPr>
          <w:trHeight w:val="244"/>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to IPO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Period from June 27, 2017 to December 31, 2017</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Year Ended December 31, 2018</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70"/>
        </w:trPr>
        <w:tc>
          <w:tcPr>
            <w:tcW w:w="51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Nine Months Ended September 30, 2019</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57"/>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since inception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-98425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500" w:hanging="492"/>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are net of noncontrolling interests.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Funded includes $10.2 million from the origination of a sales-type lease funded through the assumption of a mortgage.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a portfolio of properties that are diversified by region and property type. Our portfolio is comprised of 38 Ground Leases and a master lease (relating to five hotel assets that we refer to as our "Park Hotels Portfolio") that has many of the characteristics of a Ground Lease, including length of lease term, percentage rent participations, triple net terms and strong Ground Rent Coverage (which was 4.2x as of September 30, 2019).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an overview of our portfolio as of September 30, 2019:</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280" w:type="dxa"/>
            <w:vAlign w:val="bottom"/>
            <w:gridSpan w:val="2"/>
          </w:tcPr>
          <w:p>
            <w:pPr>
              <w:ind w:left="1300"/>
              <w:spacing w:after="0"/>
              <w:rPr>
                <w:sz w:val="20"/>
                <w:szCs w:val="20"/>
                <w:color w:val="auto"/>
              </w:rPr>
            </w:pPr>
            <w:r>
              <w:rPr>
                <w:rFonts w:ascii="Arial" w:cs="Arial" w:eastAsia="Arial" w:hAnsi="Arial"/>
                <w:sz w:val="14"/>
                <w:szCs w:val="14"/>
                <w:b w:val="1"/>
                <w:bCs w:val="1"/>
                <w:color w:val="auto"/>
              </w:rPr>
              <w:t>Property</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Property Type</w:t>
            </w:r>
          </w:p>
        </w:tc>
        <w:tc>
          <w:tcPr>
            <w:tcW w:w="10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vMerge w:val="restart"/>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Lease Expiration /</w:t>
            </w:r>
          </w:p>
        </w:tc>
        <w:tc>
          <w:tcPr>
            <w:tcW w:w="12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Rent Escalation Structure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As Extended</w:t>
            </w: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Hollywood Blvd - North</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Los Angeles,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2104</w:t>
            </w:r>
          </w:p>
        </w:tc>
        <w:tc>
          <w:tcPr>
            <w:tcW w:w="120" w:type="dxa"/>
            <w:vAlign w:val="bottom"/>
            <w:shd w:val="clear" w:color="auto" w:fill="CCEEFF"/>
          </w:tcPr>
          <w:p>
            <w:pPr>
              <w:spacing w:after="0"/>
              <w:rPr>
                <w:sz w:val="22"/>
                <w:szCs w:val="22"/>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Inflation-Linked</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Hollywood Blvd - South</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Los Angeles, CA</w:t>
            </w:r>
          </w:p>
        </w:tc>
        <w:tc>
          <w:tcPr>
            <w:tcW w:w="640" w:type="dxa"/>
            <w:vAlign w:val="bottom"/>
          </w:tcPr>
          <w:p>
            <w:pPr>
              <w:jc w:val="right"/>
              <w:spacing w:after="0"/>
              <w:rPr>
                <w:sz w:val="20"/>
                <w:szCs w:val="20"/>
                <w:color w:val="auto"/>
              </w:rPr>
            </w:pPr>
            <w:r>
              <w:rPr>
                <w:rFonts w:ascii="Arial" w:cs="Arial" w:eastAsia="Arial" w:hAnsi="Arial"/>
                <w:sz w:val="14"/>
                <w:szCs w:val="14"/>
                <w:color w:val="auto"/>
              </w:rPr>
              <w:t>2104</w:t>
            </w:r>
          </w:p>
        </w:tc>
        <w:tc>
          <w:tcPr>
            <w:tcW w:w="720" w:type="dxa"/>
            <w:vAlign w:val="bottom"/>
          </w:tcPr>
          <w:p>
            <w:pPr>
              <w:ind w:left="20"/>
              <w:spacing w:after="0"/>
              <w:rPr>
                <w:sz w:val="20"/>
                <w:szCs w:val="20"/>
                <w:color w:val="auto"/>
              </w:rPr>
            </w:pPr>
            <w:r>
              <w:rPr>
                <w:rFonts w:ascii="Arial" w:cs="Arial" w:eastAsia="Arial" w:hAnsi="Arial"/>
                <w:sz w:val="14"/>
                <w:szCs w:val="14"/>
                <w:color w:val="auto"/>
              </w:rPr>
              <w:t>/ 2104</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8"/>
              </w:rPr>
              <w:t>Inflation-Linked</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Onyx on First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The Buckler Apartments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Milwaukee, WI</w:t>
            </w:r>
          </w:p>
        </w:tc>
        <w:tc>
          <w:tcPr>
            <w:tcW w:w="640" w:type="dxa"/>
            <w:vAlign w:val="bottom"/>
          </w:tcPr>
          <w:p>
            <w:pPr>
              <w:jc w:val="right"/>
              <w:spacing w:after="0"/>
              <w:rPr>
                <w:sz w:val="20"/>
                <w:szCs w:val="20"/>
                <w:color w:val="auto"/>
              </w:rPr>
            </w:pPr>
            <w:r>
              <w:rPr>
                <w:rFonts w:ascii="Arial" w:cs="Arial" w:eastAsia="Arial" w:hAnsi="Arial"/>
                <w:sz w:val="14"/>
                <w:szCs w:val="14"/>
                <w:color w:val="auto"/>
              </w:rPr>
              <w:t>2112</w:t>
            </w:r>
          </w:p>
        </w:tc>
        <w:tc>
          <w:tcPr>
            <w:tcW w:w="720" w:type="dxa"/>
            <w:vAlign w:val="bottom"/>
          </w:tcPr>
          <w:p>
            <w:pPr>
              <w:ind w:left="20"/>
              <w:spacing w:after="0"/>
              <w:rPr>
                <w:sz w:val="20"/>
                <w:szCs w:val="20"/>
                <w:color w:val="auto"/>
              </w:rPr>
            </w:pPr>
            <w:r>
              <w:rPr>
                <w:rFonts w:ascii="Arial" w:cs="Arial" w:eastAsia="Arial" w:hAnsi="Arial"/>
                <w:sz w:val="14"/>
                <w:szCs w:val="14"/>
                <w:color w:val="auto"/>
              </w:rPr>
              <w:t>/ 2112</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Promenade Crossing</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Orlando, FL</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Novel Music Row</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Nashville, TN</w:t>
            </w:r>
          </w:p>
        </w:tc>
        <w:tc>
          <w:tcPr>
            <w:tcW w:w="640" w:type="dxa"/>
            <w:vAlign w:val="bottom"/>
          </w:tcPr>
          <w:p>
            <w:pPr>
              <w:jc w:val="right"/>
              <w:spacing w:after="0"/>
              <w:rPr>
                <w:sz w:val="20"/>
                <w:szCs w:val="20"/>
                <w:color w:val="auto"/>
              </w:rPr>
            </w:pPr>
            <w:r>
              <w:rPr>
                <w:rFonts w:ascii="Arial" w:cs="Arial" w:eastAsia="Arial" w:hAnsi="Arial"/>
                <w:sz w:val="14"/>
                <w:szCs w:val="14"/>
                <w:color w:val="auto"/>
              </w:rPr>
              <w:t>2117</w:t>
            </w:r>
          </w:p>
        </w:tc>
        <w:tc>
          <w:tcPr>
            <w:tcW w:w="720" w:type="dxa"/>
            <w:vAlign w:val="bottom"/>
          </w:tcPr>
          <w:p>
            <w:pPr>
              <w:ind w:left="20"/>
              <w:spacing w:after="0"/>
              <w:rPr>
                <w:sz w:val="20"/>
                <w:szCs w:val="20"/>
                <w:color w:val="auto"/>
              </w:rPr>
            </w:pPr>
            <w:r>
              <w:rPr>
                <w:rFonts w:ascii="Arial" w:cs="Arial" w:eastAsia="Arial" w:hAnsi="Arial"/>
                <w:sz w:val="14"/>
                <w:szCs w:val="14"/>
                <w:color w:val="auto"/>
              </w:rPr>
              <w:t>/ 2117</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515 22nd Street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r>
              <w:rPr>
                <w:rFonts w:ascii="Arial" w:cs="Arial" w:eastAsia="Arial" w:hAnsi="Arial"/>
                <w:sz w:val="8"/>
                <w:szCs w:val="8"/>
                <w:color w:val="auto"/>
              </w:rPr>
              <w:t>(1)</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2118</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West Vue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Orlando, FL</w:t>
            </w:r>
          </w:p>
        </w:tc>
        <w:tc>
          <w:tcPr>
            <w:tcW w:w="640" w:type="dxa"/>
            <w:vAlign w:val="bottom"/>
          </w:tcPr>
          <w:p>
            <w:pPr>
              <w:jc w:val="right"/>
              <w:spacing w:after="0"/>
              <w:rPr>
                <w:sz w:val="20"/>
                <w:szCs w:val="20"/>
                <w:color w:val="auto"/>
              </w:rPr>
            </w:pPr>
            <w:r>
              <w:rPr>
                <w:rFonts w:ascii="Arial" w:cs="Arial" w:eastAsia="Arial" w:hAnsi="Arial"/>
                <w:sz w:val="14"/>
                <w:szCs w:val="14"/>
                <w:color w:val="auto"/>
              </w:rPr>
              <w:t>2118</w:t>
            </w:r>
          </w:p>
        </w:tc>
        <w:tc>
          <w:tcPr>
            <w:tcW w:w="720" w:type="dxa"/>
            <w:vAlign w:val="bottom"/>
          </w:tcPr>
          <w:p>
            <w:pPr>
              <w:ind w:left="20"/>
              <w:spacing w:after="0"/>
              <w:rPr>
                <w:sz w:val="20"/>
                <w:szCs w:val="20"/>
                <w:color w:val="auto"/>
              </w:rPr>
            </w:pPr>
            <w:r>
              <w:rPr>
                <w:rFonts w:ascii="Arial" w:cs="Arial" w:eastAsia="Arial" w:hAnsi="Arial"/>
                <w:sz w:val="14"/>
                <w:szCs w:val="14"/>
                <w:color w:val="auto"/>
              </w:rPr>
              <w:t>/ 2118</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Kiley</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20 Hawley</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Binghamton, NY</w:t>
            </w:r>
          </w:p>
        </w:tc>
        <w:tc>
          <w:tcPr>
            <w:tcW w:w="640" w:type="dxa"/>
            <w:vAlign w:val="bottom"/>
          </w:tcPr>
          <w:p>
            <w:pPr>
              <w:jc w:val="right"/>
              <w:spacing w:after="0"/>
              <w:rPr>
                <w:sz w:val="20"/>
                <w:szCs w:val="20"/>
                <w:color w:val="auto"/>
              </w:rPr>
            </w:pPr>
            <w:r>
              <w:rPr>
                <w:rFonts w:ascii="Arial" w:cs="Arial" w:eastAsia="Arial" w:hAnsi="Arial"/>
                <w:sz w:val="14"/>
                <w:szCs w:val="14"/>
                <w:color w:val="auto"/>
              </w:rPr>
              <w:t>2118</w:t>
            </w:r>
          </w:p>
        </w:tc>
        <w:tc>
          <w:tcPr>
            <w:tcW w:w="720" w:type="dxa"/>
            <w:vAlign w:val="bottom"/>
          </w:tcPr>
          <w:p>
            <w:pPr>
              <w:ind w:left="20"/>
              <w:spacing w:after="0"/>
              <w:rPr>
                <w:sz w:val="20"/>
                <w:szCs w:val="20"/>
                <w:color w:val="auto"/>
              </w:rPr>
            </w:pPr>
            <w:r>
              <w:rPr>
                <w:rFonts w:ascii="Arial" w:cs="Arial" w:eastAsia="Arial" w:hAnsi="Arial"/>
                <w:sz w:val="14"/>
                <w:szCs w:val="14"/>
                <w:color w:val="auto"/>
              </w:rPr>
              <w:t>/ 2118</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Sterling 920</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Tempe, AZ</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2118</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Grandmarc</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Multi-family</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Riverside, CA</w:t>
            </w:r>
          </w:p>
        </w:tc>
        <w:tc>
          <w:tcPr>
            <w:tcW w:w="640" w:type="dxa"/>
            <w:vAlign w:val="bottom"/>
          </w:tcPr>
          <w:p>
            <w:pPr>
              <w:jc w:val="right"/>
              <w:spacing w:after="0"/>
              <w:rPr>
                <w:sz w:val="20"/>
                <w:szCs w:val="20"/>
                <w:color w:val="auto"/>
              </w:rPr>
            </w:pPr>
            <w:r>
              <w:rPr>
                <w:rFonts w:ascii="Arial" w:cs="Arial" w:eastAsia="Arial" w:hAnsi="Arial"/>
                <w:sz w:val="14"/>
                <w:szCs w:val="14"/>
                <w:color w:val="auto"/>
              </w:rPr>
              <w:t>2051</w:t>
            </w:r>
          </w:p>
        </w:tc>
        <w:tc>
          <w:tcPr>
            <w:tcW w:w="720" w:type="dxa"/>
            <w:vAlign w:val="bottom"/>
          </w:tcPr>
          <w:p>
            <w:pPr>
              <w:ind w:left="20"/>
              <w:spacing w:after="0"/>
              <w:rPr>
                <w:sz w:val="20"/>
                <w:szCs w:val="20"/>
                <w:color w:val="auto"/>
              </w:rPr>
            </w:pPr>
            <w:r>
              <w:rPr>
                <w:rFonts w:ascii="Arial" w:cs="Arial" w:eastAsia="Arial" w:hAnsi="Arial"/>
                <w:sz w:val="14"/>
                <w:szCs w:val="14"/>
                <w:color w:val="auto"/>
              </w:rPr>
              <w:t>/ 2061</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3333 LifeHope</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Atlanta, GA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2176</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Fixed</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Northside Forsyth Medical Center</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Atlanta, GA</w:t>
            </w:r>
          </w:p>
        </w:tc>
        <w:tc>
          <w:tcPr>
            <w:tcW w:w="640" w:type="dxa"/>
            <w:vAlign w:val="bottom"/>
          </w:tcPr>
          <w:p>
            <w:pPr>
              <w:jc w:val="right"/>
              <w:spacing w:after="0"/>
              <w:rPr>
                <w:sz w:val="20"/>
                <w:szCs w:val="20"/>
                <w:color w:val="auto"/>
              </w:rPr>
            </w:pPr>
            <w:r>
              <w:rPr>
                <w:rFonts w:ascii="Arial" w:cs="Arial" w:eastAsia="Arial" w:hAnsi="Arial"/>
                <w:sz w:val="14"/>
                <w:szCs w:val="14"/>
                <w:color w:val="auto"/>
              </w:rPr>
              <w:t>2115</w:t>
            </w:r>
          </w:p>
        </w:tc>
        <w:tc>
          <w:tcPr>
            <w:tcW w:w="720" w:type="dxa"/>
            <w:vAlign w:val="bottom"/>
          </w:tcPr>
          <w:p>
            <w:pPr>
              <w:ind w:left="20"/>
              <w:spacing w:after="0"/>
              <w:rPr>
                <w:sz w:val="20"/>
                <w:szCs w:val="20"/>
                <w:color w:val="auto"/>
              </w:rPr>
            </w:pPr>
            <w:r>
              <w:rPr>
                <w:rFonts w:ascii="Arial" w:cs="Arial" w:eastAsia="Arial" w:hAnsi="Arial"/>
                <w:sz w:val="14"/>
                <w:szCs w:val="14"/>
                <w:color w:val="auto"/>
              </w:rPr>
              <w:t>/ 2175</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1111 Pennsylvania Avenue</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One Ally Center</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Detroit, MI</w:t>
            </w:r>
          </w:p>
        </w:tc>
        <w:tc>
          <w:tcPr>
            <w:tcW w:w="640" w:type="dxa"/>
            <w:vAlign w:val="bottom"/>
          </w:tcPr>
          <w:p>
            <w:pPr>
              <w:jc w:val="right"/>
              <w:spacing w:after="0"/>
              <w:rPr>
                <w:sz w:val="20"/>
                <w:szCs w:val="20"/>
                <w:color w:val="auto"/>
              </w:rPr>
            </w:pPr>
            <w:r>
              <w:rPr>
                <w:rFonts w:ascii="Arial" w:cs="Arial" w:eastAsia="Arial" w:hAnsi="Arial"/>
                <w:sz w:val="14"/>
                <w:szCs w:val="14"/>
                <w:color w:val="auto"/>
              </w:rPr>
              <w:t>2114</w:t>
            </w:r>
          </w:p>
        </w:tc>
        <w:tc>
          <w:tcPr>
            <w:tcW w:w="720" w:type="dxa"/>
            <w:vAlign w:val="bottom"/>
          </w:tcPr>
          <w:p>
            <w:pPr>
              <w:ind w:left="20"/>
              <w:spacing w:after="0"/>
              <w:rPr>
                <w:sz w:val="20"/>
                <w:szCs w:val="20"/>
                <w:color w:val="auto"/>
              </w:rPr>
            </w:pPr>
            <w:r>
              <w:rPr>
                <w:rFonts w:ascii="Arial" w:cs="Arial" w:eastAsia="Arial" w:hAnsi="Arial"/>
                <w:sz w:val="14"/>
                <w:szCs w:val="14"/>
                <w:color w:val="auto"/>
              </w:rPr>
              <w:t>/ 2174</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NASA/JPSS Headquarters</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2105</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Fixed</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Pershing Point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Atlanta, GA</w:t>
            </w:r>
          </w:p>
        </w:tc>
        <w:tc>
          <w:tcPr>
            <w:tcW w:w="640" w:type="dxa"/>
            <w:vAlign w:val="bottom"/>
          </w:tcPr>
          <w:p>
            <w:pPr>
              <w:jc w:val="right"/>
              <w:spacing w:after="0"/>
              <w:rPr>
                <w:sz w:val="20"/>
                <w:szCs w:val="20"/>
                <w:color w:val="auto"/>
              </w:rPr>
            </w:pPr>
            <w:r>
              <w:rPr>
                <w:rFonts w:ascii="Arial" w:cs="Arial" w:eastAsia="Arial" w:hAnsi="Arial"/>
                <w:sz w:val="14"/>
                <w:szCs w:val="14"/>
                <w:color w:val="auto"/>
              </w:rPr>
              <w:t>2117</w:t>
            </w:r>
          </w:p>
        </w:tc>
        <w:tc>
          <w:tcPr>
            <w:tcW w:w="720" w:type="dxa"/>
            <w:vAlign w:val="bottom"/>
          </w:tcPr>
          <w:p>
            <w:pPr>
              <w:ind w:left="20"/>
              <w:spacing w:after="0"/>
              <w:rPr>
                <w:sz w:val="20"/>
                <w:szCs w:val="20"/>
                <w:color w:val="auto"/>
              </w:rPr>
            </w:pPr>
            <w:r>
              <w:rPr>
                <w:rFonts w:ascii="Arial" w:cs="Arial" w:eastAsia="Arial" w:hAnsi="Arial"/>
                <w:sz w:val="14"/>
                <w:szCs w:val="14"/>
                <w:color w:val="auto"/>
              </w:rPr>
              <w:t>/ 2124</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Regency Lakeview</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Raleigh-Durham, NC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2122</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Glenridge Point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Atlanta, GA</w:t>
            </w:r>
          </w:p>
        </w:tc>
        <w:tc>
          <w:tcPr>
            <w:tcW w:w="640" w:type="dxa"/>
            <w:vAlign w:val="bottom"/>
          </w:tcPr>
          <w:p>
            <w:pPr>
              <w:jc w:val="right"/>
              <w:spacing w:after="0"/>
              <w:rPr>
                <w:sz w:val="20"/>
                <w:szCs w:val="20"/>
                <w:color w:val="auto"/>
              </w:rPr>
            </w:pPr>
            <w:r>
              <w:rPr>
                <w:rFonts w:ascii="Arial" w:cs="Arial" w:eastAsia="Arial" w:hAnsi="Arial"/>
                <w:sz w:val="14"/>
                <w:szCs w:val="14"/>
                <w:color w:val="auto"/>
              </w:rPr>
              <w:t>2117</w:t>
            </w:r>
          </w:p>
        </w:tc>
        <w:tc>
          <w:tcPr>
            <w:tcW w:w="720" w:type="dxa"/>
            <w:vAlign w:val="bottom"/>
          </w:tcPr>
          <w:p>
            <w:pPr>
              <w:ind w:left="20"/>
              <w:spacing w:after="0"/>
              <w:rPr>
                <w:sz w:val="20"/>
                <w:szCs w:val="20"/>
                <w:color w:val="auto"/>
              </w:rPr>
            </w:pPr>
            <w:r>
              <w:rPr>
                <w:rFonts w:ascii="Arial" w:cs="Arial" w:eastAsia="Arial" w:hAnsi="Arial"/>
                <w:sz w:val="14"/>
                <w:szCs w:val="14"/>
                <w:color w:val="auto"/>
              </w:rPr>
              <w:t>/ 2117</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Balboa Executive Center</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San Diego,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The Jefferson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tcPr>
          <w:p>
            <w:pPr>
              <w:jc w:val="right"/>
              <w:spacing w:after="0"/>
              <w:rPr>
                <w:sz w:val="20"/>
                <w:szCs w:val="20"/>
                <w:color w:val="auto"/>
              </w:rPr>
            </w:pPr>
            <w:r>
              <w:rPr>
                <w:rFonts w:ascii="Arial" w:cs="Arial" w:eastAsia="Arial" w:hAnsi="Arial"/>
                <w:sz w:val="14"/>
                <w:szCs w:val="14"/>
                <w:color w:val="auto"/>
              </w:rPr>
              <w:t>2117</w:t>
            </w:r>
          </w:p>
        </w:tc>
        <w:tc>
          <w:tcPr>
            <w:tcW w:w="720" w:type="dxa"/>
            <w:vAlign w:val="bottom"/>
          </w:tcPr>
          <w:p>
            <w:pPr>
              <w:ind w:left="20"/>
              <w:spacing w:after="0"/>
              <w:rPr>
                <w:sz w:val="20"/>
                <w:szCs w:val="20"/>
                <w:color w:val="auto"/>
              </w:rPr>
            </w:pPr>
            <w:r>
              <w:rPr>
                <w:rFonts w:ascii="Arial" w:cs="Arial" w:eastAsia="Arial" w:hAnsi="Arial"/>
                <w:sz w:val="14"/>
                <w:szCs w:val="14"/>
                <w:color w:val="auto"/>
              </w:rPr>
              <w:t>/ 2117</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Madison</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Phoenix, AZ</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Parkwood Place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Plano, TX</w:t>
            </w:r>
          </w:p>
        </w:tc>
        <w:tc>
          <w:tcPr>
            <w:tcW w:w="640" w:type="dxa"/>
            <w:vAlign w:val="bottom"/>
          </w:tcPr>
          <w:p>
            <w:pPr>
              <w:jc w:val="right"/>
              <w:spacing w:after="0"/>
              <w:rPr>
                <w:sz w:val="20"/>
                <w:szCs w:val="20"/>
                <w:color w:val="auto"/>
              </w:rPr>
            </w:pPr>
            <w:r>
              <w:rPr>
                <w:rFonts w:ascii="Arial" w:cs="Arial" w:eastAsia="Arial" w:hAnsi="Arial"/>
                <w:sz w:val="14"/>
                <w:szCs w:val="14"/>
                <w:color w:val="auto"/>
              </w:rPr>
              <w:t>2118</w:t>
            </w:r>
          </w:p>
        </w:tc>
        <w:tc>
          <w:tcPr>
            <w:tcW w:w="720" w:type="dxa"/>
            <w:vAlign w:val="bottom"/>
          </w:tcPr>
          <w:p>
            <w:pPr>
              <w:ind w:left="20"/>
              <w:spacing w:after="0"/>
              <w:rPr>
                <w:sz w:val="20"/>
                <w:szCs w:val="20"/>
                <w:color w:val="auto"/>
              </w:rPr>
            </w:pPr>
            <w:r>
              <w:rPr>
                <w:rFonts w:ascii="Arial" w:cs="Arial" w:eastAsia="Arial" w:hAnsi="Arial"/>
                <w:sz w:val="14"/>
                <w:szCs w:val="14"/>
                <w:color w:val="auto"/>
              </w:rPr>
              <w:t>/ 2118</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Duke Bridges III</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Frisco,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2118</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Valley Forge Park Place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King of Prussia, PA</w:t>
            </w:r>
          </w:p>
        </w:tc>
        <w:tc>
          <w:tcPr>
            <w:tcW w:w="640" w:type="dxa"/>
            <w:vAlign w:val="bottom"/>
          </w:tcPr>
          <w:p>
            <w:pPr>
              <w:jc w:val="right"/>
              <w:spacing w:after="0"/>
              <w:rPr>
                <w:sz w:val="20"/>
                <w:szCs w:val="20"/>
                <w:color w:val="auto"/>
              </w:rPr>
            </w:pPr>
            <w:r>
              <w:rPr>
                <w:rFonts w:ascii="Arial" w:cs="Arial" w:eastAsia="Arial" w:hAnsi="Arial"/>
                <w:sz w:val="14"/>
                <w:szCs w:val="14"/>
                <w:color w:val="auto"/>
              </w:rPr>
              <w:t>2118</w:t>
            </w:r>
          </w:p>
        </w:tc>
        <w:tc>
          <w:tcPr>
            <w:tcW w:w="720" w:type="dxa"/>
            <w:vAlign w:val="bottom"/>
          </w:tcPr>
          <w:p>
            <w:pPr>
              <w:ind w:left="20"/>
              <w:spacing w:after="0"/>
              <w:rPr>
                <w:sz w:val="20"/>
                <w:szCs w:val="20"/>
                <w:color w:val="auto"/>
              </w:rPr>
            </w:pPr>
            <w:r>
              <w:rPr>
                <w:rFonts w:ascii="Arial" w:cs="Arial" w:eastAsia="Arial" w:hAnsi="Arial"/>
                <w:sz w:val="14"/>
                <w:szCs w:val="14"/>
                <w:color w:val="auto"/>
              </w:rPr>
              <w:t>/ 2118</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570 Washington Blvd.</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Jersey City, NJ</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BankNote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New York, NY</w:t>
            </w:r>
          </w:p>
        </w:tc>
        <w:tc>
          <w:tcPr>
            <w:tcW w:w="640" w:type="dxa"/>
            <w:vAlign w:val="bottom"/>
          </w:tcPr>
          <w:p>
            <w:pPr>
              <w:jc w:val="right"/>
              <w:spacing w:after="0"/>
              <w:rPr>
                <w:sz w:val="20"/>
                <w:szCs w:val="20"/>
                <w:color w:val="auto"/>
              </w:rPr>
            </w:pPr>
            <w:r>
              <w:rPr>
                <w:rFonts w:ascii="Arial" w:cs="Arial" w:eastAsia="Arial" w:hAnsi="Arial"/>
                <w:sz w:val="14"/>
                <w:szCs w:val="14"/>
                <w:color w:val="auto"/>
              </w:rPr>
              <w:t>2118</w:t>
            </w:r>
          </w:p>
        </w:tc>
        <w:tc>
          <w:tcPr>
            <w:tcW w:w="720" w:type="dxa"/>
            <w:vAlign w:val="bottom"/>
          </w:tcPr>
          <w:p>
            <w:pPr>
              <w:ind w:left="20"/>
              <w:spacing w:after="0"/>
              <w:rPr>
                <w:sz w:val="20"/>
                <w:szCs w:val="20"/>
                <w:color w:val="auto"/>
              </w:rPr>
            </w:pPr>
            <w:r>
              <w:rPr>
                <w:rFonts w:ascii="Arial" w:cs="Arial" w:eastAsia="Arial" w:hAnsi="Arial"/>
                <w:sz w:val="14"/>
                <w:szCs w:val="14"/>
                <w:color w:val="auto"/>
              </w:rPr>
              <w:t>/ 2118</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Domain Tower</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Office</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Austin,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2118</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Hyatt Centric</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640" w:type="dxa"/>
            <w:vAlign w:val="bottom"/>
          </w:tcPr>
          <w:p>
            <w:pPr>
              <w:jc w:val="right"/>
              <w:spacing w:after="0"/>
              <w:rPr>
                <w:sz w:val="20"/>
                <w:szCs w:val="20"/>
                <w:color w:val="auto"/>
              </w:rPr>
            </w:pPr>
            <w:r>
              <w:rPr>
                <w:rFonts w:ascii="Arial" w:cs="Arial" w:eastAsia="Arial" w:hAnsi="Arial"/>
                <w:sz w:val="14"/>
                <w:szCs w:val="14"/>
                <w:color w:val="auto"/>
              </w:rPr>
              <w:t>2035</w:t>
            </w:r>
          </w:p>
        </w:tc>
        <w:tc>
          <w:tcPr>
            <w:tcW w:w="720" w:type="dxa"/>
            <w:vAlign w:val="bottom"/>
          </w:tcPr>
          <w:p>
            <w:pPr>
              <w:ind w:left="20"/>
              <w:spacing w:after="0"/>
              <w:rPr>
                <w:sz w:val="20"/>
                <w:szCs w:val="20"/>
                <w:color w:val="auto"/>
              </w:rPr>
            </w:pPr>
            <w:r>
              <w:rPr>
                <w:rFonts w:ascii="Arial" w:cs="Arial" w:eastAsia="Arial" w:hAnsi="Arial"/>
                <w:sz w:val="14"/>
                <w:szCs w:val="14"/>
                <w:color w:val="auto"/>
              </w:rPr>
              <w:t>/ 2075</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Doubletree Seattle Airport</w:t>
            </w:r>
            <w:r>
              <w:rPr>
                <w:rFonts w:ascii="Arial" w:cs="Arial" w:eastAsia="Arial" w:hAnsi="Arial"/>
                <w:sz w:val="8"/>
                <w:szCs w:val="8"/>
                <w:color w:val="auto"/>
              </w:rPr>
              <w:t>(2)(3)</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Seattle, WA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2035</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Hilton Salt Lake</w:t>
            </w:r>
            <w:r>
              <w:rPr>
                <w:rFonts w:ascii="Arial" w:cs="Arial" w:eastAsia="Arial" w:hAnsi="Arial"/>
                <w:sz w:val="8"/>
                <w:szCs w:val="8"/>
                <w:color w:val="auto"/>
              </w:rPr>
              <w:t>(2)</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Salt Lake City, UT</w:t>
            </w:r>
          </w:p>
        </w:tc>
        <w:tc>
          <w:tcPr>
            <w:tcW w:w="640" w:type="dxa"/>
            <w:vAlign w:val="bottom"/>
          </w:tcPr>
          <w:p>
            <w:pPr>
              <w:jc w:val="right"/>
              <w:spacing w:after="0"/>
              <w:rPr>
                <w:sz w:val="20"/>
                <w:szCs w:val="20"/>
                <w:color w:val="auto"/>
              </w:rPr>
            </w:pPr>
            <w:r>
              <w:rPr>
                <w:rFonts w:ascii="Arial" w:cs="Arial" w:eastAsia="Arial" w:hAnsi="Arial"/>
                <w:sz w:val="14"/>
                <w:szCs w:val="14"/>
                <w:color w:val="auto"/>
              </w:rPr>
              <w:t>2025</w:t>
            </w:r>
          </w:p>
        </w:tc>
        <w:tc>
          <w:tcPr>
            <w:tcW w:w="720" w:type="dxa"/>
            <w:vAlign w:val="bottom"/>
          </w:tcPr>
          <w:p>
            <w:pPr>
              <w:ind w:left="20"/>
              <w:spacing w:after="0"/>
              <w:rPr>
                <w:sz w:val="20"/>
                <w:szCs w:val="20"/>
                <w:color w:val="auto"/>
              </w:rPr>
            </w:pPr>
            <w:r>
              <w:rPr>
                <w:rFonts w:ascii="Arial" w:cs="Arial" w:eastAsia="Arial" w:hAnsi="Arial"/>
                <w:sz w:val="14"/>
                <w:szCs w:val="14"/>
                <w:color w:val="auto"/>
              </w:rPr>
              <w:t>/ 2035</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Doubletree Mission Valley</w:t>
            </w:r>
            <w:r>
              <w:rPr>
                <w:rFonts w:ascii="Arial" w:cs="Arial" w:eastAsia="Arial" w:hAnsi="Arial"/>
                <w:sz w:val="8"/>
                <w:szCs w:val="8"/>
                <w:color w:val="auto"/>
              </w:rPr>
              <w:t>(2)</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San Diego,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2035</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Doubletree Durango</w:t>
            </w:r>
            <w:r>
              <w:rPr>
                <w:rFonts w:ascii="Arial" w:cs="Arial" w:eastAsia="Arial" w:hAnsi="Arial"/>
                <w:sz w:val="8"/>
                <w:szCs w:val="8"/>
                <w:color w:val="auto"/>
              </w:rPr>
              <w:t>(2)</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Durango, CO</w:t>
            </w:r>
          </w:p>
        </w:tc>
        <w:tc>
          <w:tcPr>
            <w:tcW w:w="640" w:type="dxa"/>
            <w:vAlign w:val="bottom"/>
          </w:tcPr>
          <w:p>
            <w:pPr>
              <w:jc w:val="right"/>
              <w:spacing w:after="0"/>
              <w:rPr>
                <w:sz w:val="20"/>
                <w:szCs w:val="20"/>
                <w:color w:val="auto"/>
              </w:rPr>
            </w:pPr>
            <w:r>
              <w:rPr>
                <w:rFonts w:ascii="Arial" w:cs="Arial" w:eastAsia="Arial" w:hAnsi="Arial"/>
                <w:sz w:val="14"/>
                <w:szCs w:val="14"/>
                <w:color w:val="auto"/>
              </w:rPr>
              <w:t>2025</w:t>
            </w:r>
          </w:p>
        </w:tc>
        <w:tc>
          <w:tcPr>
            <w:tcW w:w="720" w:type="dxa"/>
            <w:vAlign w:val="bottom"/>
          </w:tcPr>
          <w:p>
            <w:pPr>
              <w:ind w:left="20"/>
              <w:spacing w:after="0"/>
              <w:rPr>
                <w:sz w:val="20"/>
                <w:szCs w:val="20"/>
                <w:color w:val="auto"/>
              </w:rPr>
            </w:pPr>
            <w:r>
              <w:rPr>
                <w:rFonts w:ascii="Arial" w:cs="Arial" w:eastAsia="Arial" w:hAnsi="Arial"/>
                <w:sz w:val="14"/>
                <w:szCs w:val="14"/>
                <w:color w:val="auto"/>
              </w:rPr>
              <w:t>/ 2035</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Doubletree Sonoma</w:t>
            </w:r>
            <w:r>
              <w:rPr>
                <w:rFonts w:ascii="Arial" w:cs="Arial" w:eastAsia="Arial" w:hAnsi="Arial"/>
                <w:sz w:val="8"/>
                <w:szCs w:val="8"/>
                <w:color w:val="auto"/>
              </w:rPr>
              <w:t>(2)</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2035</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Dallas Market Center - Sheraton Suites</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Dallas, TX</w:t>
            </w:r>
          </w:p>
        </w:tc>
        <w:tc>
          <w:tcPr>
            <w:tcW w:w="640" w:type="dxa"/>
            <w:vAlign w:val="bottom"/>
          </w:tcPr>
          <w:p>
            <w:pPr>
              <w:jc w:val="right"/>
              <w:spacing w:after="0"/>
              <w:rPr>
                <w:sz w:val="20"/>
                <w:szCs w:val="20"/>
                <w:color w:val="auto"/>
              </w:rPr>
            </w:pPr>
            <w:r>
              <w:rPr>
                <w:rFonts w:ascii="Arial" w:cs="Arial" w:eastAsia="Arial" w:hAnsi="Arial"/>
                <w:sz w:val="14"/>
                <w:szCs w:val="14"/>
                <w:color w:val="auto"/>
              </w:rPr>
              <w:t>2114</w:t>
            </w:r>
          </w:p>
        </w:tc>
        <w:tc>
          <w:tcPr>
            <w:tcW w:w="720" w:type="dxa"/>
            <w:vAlign w:val="bottom"/>
          </w:tcPr>
          <w:p>
            <w:pPr>
              <w:ind w:left="20"/>
              <w:spacing w:after="0"/>
              <w:rPr>
                <w:sz w:val="20"/>
                <w:szCs w:val="20"/>
                <w:color w:val="auto"/>
              </w:rPr>
            </w:pPr>
            <w:r>
              <w:rPr>
                <w:rFonts w:ascii="Arial" w:cs="Arial" w:eastAsia="Arial" w:hAnsi="Arial"/>
                <w:sz w:val="14"/>
                <w:szCs w:val="14"/>
                <w:color w:val="auto"/>
              </w:rPr>
              <w:t>/ 2114</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Dallas Market Center - Marriott Courtyard</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Dallas, TX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2066</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 Rent</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Valencia</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San Antonio, TX</w:t>
            </w: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94"/>
              </w:rPr>
              <w:t>2101/ 2101</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5"/>
              </w:rPr>
              <w:t>Fixed with % Rent</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Alohilani</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Hotel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Honolulu, HI</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2118</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Lock Up Self Storage Facility</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Industrial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Minneapolis, MN</w:t>
            </w:r>
          </w:p>
        </w:tc>
        <w:tc>
          <w:tcPr>
            <w:tcW w:w="640" w:type="dxa"/>
            <w:vAlign w:val="bottom"/>
          </w:tcPr>
          <w:p>
            <w:pPr>
              <w:jc w:val="right"/>
              <w:spacing w:after="0"/>
              <w:rPr>
                <w:sz w:val="20"/>
                <w:szCs w:val="20"/>
                <w:color w:val="auto"/>
              </w:rPr>
            </w:pPr>
            <w:r>
              <w:rPr>
                <w:rFonts w:ascii="Arial" w:cs="Arial" w:eastAsia="Arial" w:hAnsi="Arial"/>
                <w:sz w:val="14"/>
                <w:szCs w:val="14"/>
                <w:color w:val="auto"/>
              </w:rPr>
              <w:t>2037</w:t>
            </w:r>
          </w:p>
        </w:tc>
        <w:tc>
          <w:tcPr>
            <w:tcW w:w="720" w:type="dxa"/>
            <w:vAlign w:val="bottom"/>
          </w:tcPr>
          <w:p>
            <w:pPr>
              <w:ind w:left="20"/>
              <w:spacing w:after="0"/>
              <w:rPr>
                <w:sz w:val="20"/>
                <w:szCs w:val="20"/>
                <w:color w:val="auto"/>
              </w:rPr>
            </w:pPr>
            <w:r>
              <w:rPr>
                <w:rFonts w:ascii="Arial" w:cs="Arial" w:eastAsia="Arial" w:hAnsi="Arial"/>
                <w:sz w:val="14"/>
                <w:szCs w:val="14"/>
                <w:color w:val="auto"/>
              </w:rPr>
              <w:t>/ 2037</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Miami Airport I</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Industrial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Miami, FL</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2117</w:t>
            </w:r>
          </w:p>
        </w:tc>
        <w:tc>
          <w:tcPr>
            <w:tcW w:w="120" w:type="dxa"/>
            <w:vAlign w:val="bottom"/>
            <w:shd w:val="clear" w:color="auto" w:fill="CCEEFF"/>
          </w:tcPr>
          <w:p>
            <w:pPr>
              <w:spacing w:after="0"/>
              <w:rPr>
                <w:sz w:val="24"/>
                <w:szCs w:val="24"/>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Miami Airport II</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Industrial</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color w:val="auto"/>
              </w:rPr>
              <w:t>Miami, FL</w:t>
            </w:r>
          </w:p>
        </w:tc>
        <w:tc>
          <w:tcPr>
            <w:tcW w:w="640" w:type="dxa"/>
            <w:vAlign w:val="bottom"/>
          </w:tcPr>
          <w:p>
            <w:pPr>
              <w:jc w:val="right"/>
              <w:spacing w:after="0"/>
              <w:rPr>
                <w:sz w:val="20"/>
                <w:szCs w:val="20"/>
                <w:color w:val="auto"/>
              </w:rPr>
            </w:pPr>
            <w:r>
              <w:rPr>
                <w:rFonts w:ascii="Arial" w:cs="Arial" w:eastAsia="Arial" w:hAnsi="Arial"/>
                <w:sz w:val="14"/>
                <w:szCs w:val="14"/>
                <w:color w:val="auto"/>
              </w:rPr>
              <w:t>2117</w:t>
            </w:r>
          </w:p>
        </w:tc>
        <w:tc>
          <w:tcPr>
            <w:tcW w:w="720" w:type="dxa"/>
            <w:vAlign w:val="bottom"/>
          </w:tcPr>
          <w:p>
            <w:pPr>
              <w:ind w:left="20"/>
              <w:spacing w:after="0"/>
              <w:rPr>
                <w:sz w:val="20"/>
                <w:szCs w:val="20"/>
                <w:color w:val="auto"/>
              </w:rPr>
            </w:pPr>
            <w:r>
              <w:rPr>
                <w:rFonts w:ascii="Arial" w:cs="Arial" w:eastAsia="Arial" w:hAnsi="Arial"/>
                <w:sz w:val="14"/>
                <w:szCs w:val="14"/>
                <w:color w:val="auto"/>
              </w:rPr>
              <w:t>/ 2117</w:t>
            </w:r>
          </w:p>
        </w:tc>
        <w:tc>
          <w:tcPr>
            <w:tcW w:w="120" w:type="dxa"/>
            <w:vAlign w:val="bottom"/>
          </w:tcPr>
          <w:p>
            <w:pPr>
              <w:spacing w:after="0"/>
              <w:rPr>
                <w:sz w:val="22"/>
                <w:szCs w:val="22"/>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7"/>
              </w:rPr>
              <w:t>Fixed with Inflation Adjustments</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PDX</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Industrial</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Portland, OR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2055</w:t>
            </w:r>
          </w:p>
        </w:tc>
        <w:tc>
          <w:tcPr>
            <w:tcW w:w="120" w:type="dxa"/>
            <w:vAlign w:val="bottom"/>
            <w:shd w:val="clear" w:color="auto" w:fill="CCEEFF"/>
          </w:tcPr>
          <w:p>
            <w:pPr>
              <w:spacing w:after="0"/>
              <w:rPr>
                <w:sz w:val="23"/>
                <w:szCs w:val="23"/>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Inflation-Linked</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Weighted average lease term remaining</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w:t>
            </w:r>
          </w:p>
        </w:tc>
        <w:tc>
          <w:tcPr>
            <w:tcW w:w="720" w:type="dxa"/>
            <w:vAlign w:val="bottom"/>
          </w:tcPr>
          <w:p>
            <w:pPr>
              <w:ind w:left="20"/>
              <w:spacing w:after="0"/>
              <w:rPr>
                <w:sz w:val="20"/>
                <w:szCs w:val="20"/>
                <w:color w:val="auto"/>
              </w:rPr>
            </w:pPr>
            <w:r>
              <w:rPr>
                <w:rFonts w:ascii="Arial" w:cs="Arial" w:eastAsia="Arial" w:hAnsi="Arial"/>
                <w:sz w:val="14"/>
                <w:szCs w:val="14"/>
                <w:color w:val="auto"/>
              </w:rPr>
              <w:t>/ 86</w:t>
            </w:r>
          </w:p>
        </w:tc>
        <w:tc>
          <w:tcPr>
            <w:tcW w:w="1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-98425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Property is currently being converted into a multi-family property.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Property is part of the Park Hotels Portfolio and is subject to a single master lease.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majority of the land underlying this property is owned by a third party and is ground leased to us through 2044 subject to changes in the CPI; however, our tenant at the property pays this cost directly to the third party.</w:t>
      </w:r>
    </w:p>
    <w:p>
      <w:pPr>
        <w:sectPr>
          <w:pgSz w:w="11900" w:h="16838" w:orient="portrait"/>
          <w:cols w:equalWidth="0" w:num="1">
            <w:col w:w="11420"/>
          </w:cols>
          <w:pgMar w:left="240" w:top="121"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charts show certain statistics of our portfolio as of September 30, 2019, excluding unfunded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29210</wp:posOffset>
            </wp:positionV>
            <wp:extent cx="5111115" cy="7426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11115" cy="742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122" w:right="1440"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166370</wp:posOffset>
            </wp:positionV>
            <wp:extent cx="4802505" cy="7220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2505"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1" w:right="1440"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and Pending Acquisitions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2017, we entered into a commitment to acquire land subject to a Ground Lease on which a luxury multi-family project is currently being constructed in San Jose, California. Pursuant to the purchase agreement, we will acquire the Ground Lease on November 1, 2020 from iStar for $34.0 million. iStar committed to provide a $80.5 million construction loan to the ground lessee.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2018, we entered into an aggregate $30.0 million commitment to acquire land for $12.5 million and provide a $17.5 million leasehold improvement allowance for the Ground Lease tenant's construction of a multi-family property in Washington, DC. We acquired the land in June 2019 and will fund the leasehold improvement allowance upon the completion of certain conditions.</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January 2019, we acquired land for $13.0 million and simultaneously structured and entered into a Ground Lease as part of the Ground Lease tenant's acquisition of an existing office building located in Washington, DC that is to be converted into a multi-family building. We committed to provide the Ground Lease tenant a $10.5 million leasehold improvement allowance that will be funded upon the completion of certain conditions.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2019, we acquired land for $8.1 million and simultaneously structured and entered into a Ground Lease as part of the Ground Lease tenant's development of a to-be-built multi-family community located outside of Orlando, FL. We committed to provide the Ground Lease tenant a $21.4 million leasehold improvement allowance that will be funded upon the completion of certain conditions.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we had entered into definitive agreements to acquire or originate $918.8 million of Ground Leases that remain pending, subject to the satisfaction of closing conditions, including our proportionate share ($338.8 million) of the purchase price for the Ground Lease at 425 Park Avenue in New York City. We currently expect these transactions to close in the fourth quarter of 2019, but there can be no assurance that any of these transactions will be completed.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Months Ended September 30, 2019 compared to the Three Months Ended September 30,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3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1"/>
              </w:rPr>
              <w:t>For the Three Months Ended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0" w:type="dxa"/>
            <w:vAlign w:val="bottom"/>
            <w:gridSpan w:val="5"/>
          </w:tcPr>
          <w:p>
            <w:pPr>
              <w:jc w:val="center"/>
              <w:ind w:right="10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6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6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Interest income from sales-type leases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4,032</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22,310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10,666</w:t>
            </w: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3,961</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14,059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4,484</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Earnings (losses) from equity method investments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3,412</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Operating lease income increased to $17.1 million during the three months ended September 30, 2019 from $11.6 million for the same period in 2018. The increase was primarily due to the origination of new Ground Leases.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from sales-type leases (refer to Note 3) was $4.0 million for the three months ended September 30, 2019. On January 1, 2019, we adopted new accounting standards (refer to Note 3) and classify certain of our Ground Leases as sales-type leases. Under sales-type leases, we accrue interest income under the effective interest method as opposed to recognition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income under the straight-line rent method for our Ground Leases that do not qualify as sales-type leases. We expect a majority of our newly originated Ground Leases will be classified as sales-type leases.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for the three months ended September 30, 2019 consists primarily of $1.0 million of interest income earned on our cash balances. In addition, during the three months ended September 30, 2019, we also recorded $0.1 million of other income relating to a Ground Lease in which we are the lessee but our tenant at the property pays this expense directly under the terms of a master lease (refer to Note 3). Other income for the three months ended September 30, 2018 consists primarily of interest income earned on our cash balances.</w:t>
      </w:r>
    </w:p>
    <w:p>
      <w:pPr>
        <w:spacing w:after="0" w:line="14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three months ended September 30, 2019 and 2018, we incurred interest expense from our secured financings of $7.7 million and $3.7 million, respectively. The increase in 2019 was primarily the result of additional borrowings to fund our growing investment portfolio.</w:t>
      </w:r>
    </w:p>
    <w:p>
      <w:pPr>
        <w:spacing w:after="0" w:line="1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Real estate expense was $0.6 million and $0.5 million during the three months ended September 30, 2019 and 2018, respectively, which consisted primarily of the amortization of an operating lease right-of-use asset in 2019 and a below market lease asset in 2018 at one of our hotel properties, and property appraisal fees and insurance expense in both periods. In addition, during the three months ended September 30, 2019, we also recorded $0.1 million of real estate expense relating to a Ground Lease in which we are the lessee but our tenant at the property pays this expense directly under the terms of a master lease (refer to Note 3).</w:t>
      </w:r>
    </w:p>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was $2.3 million during the three months ended September 30, 2019 and 2018 and primarily relates to our ownership of the Park Hotels Portfolio and our ownership of the Buckler multi-family property.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includes management fees (which our Manager waived during the first year of the management agreement), stock-based compensation, costs of operating as a public company and an allocation of expenses to us from our Manager (which our Manager waived during the first year of the management agreement). Although we paid no management fee or expense reimbursements to our Manager through June 30, 2018, GAAP requires us to record expenses and a non-cash capital contribution from iStar despite iStar not receiving any compensation or reimbursement for its services. The following table presents our general and administrative expenses for the three months ended September 30, 2019 and 2018 ($ in thousands):</w:t>
      </w:r>
    </w:p>
    <w:p>
      <w:pPr>
        <w:spacing w:after="0" w:line="105" w:lineRule="exact"/>
        <w:rPr>
          <w:sz w:val="20"/>
          <w:szCs w:val="20"/>
          <w:color w:val="auto"/>
        </w:rPr>
      </w:pPr>
    </w:p>
    <w:tbl>
      <w:tblPr>
        <w:tblLayout w:type="fixed"/>
        <w:tblInd w:w="218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7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For the Three Months Ended</w:t>
            </w:r>
          </w:p>
        </w:tc>
        <w:tc>
          <w:tcPr>
            <w:tcW w:w="52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Management fees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Public company and other costs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528</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1,491</w:t>
            </w:r>
          </w:p>
        </w:tc>
      </w:tr>
      <w:tr>
        <w:trPr>
          <w:trHeight w:val="33"/>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 reimbursements to the Manager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r>
      <w:tr>
        <w:trPr>
          <w:trHeight w:val="20"/>
        </w:trPr>
        <w:tc>
          <w:tcPr>
            <w:tcW w:w="3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September 30, 2019, other expense consists primarily of investment pursuit costs and fees related to our derivative transactions. During the three months ended September 30, 2018, other expense consists primarily of investment pursuit costs.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September 30, 2019, loss on early extinguishment of debt resulted from the refinancing of two mortgages on existing Ground Leases.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September 30, 2019, losses from equity method investments resulted from costs attributable to transaction structuring activities for a venture that we entered into with an existing shareholder to acquire the existing ground lease at 425 Park Avenue in New York City (refer to Note 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Results of Operations for the </w:t>
      </w:r>
      <w:r>
        <w:rPr>
          <w:rFonts w:ascii="Arial" w:cs="Arial" w:eastAsia="Arial" w:hAnsi="Arial"/>
          <w:sz w:val="18"/>
          <w:szCs w:val="18"/>
          <w:b w:val="1"/>
          <w:bCs w:val="1"/>
          <w:color w:val="auto"/>
        </w:rPr>
        <w:t>Nine Months</w:t>
      </w:r>
      <w:r>
        <w:rPr>
          <w:rFonts w:ascii="Arial" w:cs="Arial" w:eastAsia="Arial" w:hAnsi="Arial"/>
          <w:sz w:val="17"/>
          <w:szCs w:val="17"/>
          <w:b w:val="1"/>
          <w:bCs w:val="1"/>
          <w:color w:val="auto"/>
        </w:rPr>
        <w:t xml:space="preserve"> Ended September 30, 2019 compared to the </w:t>
      </w:r>
      <w:r>
        <w:rPr>
          <w:rFonts w:ascii="Arial" w:cs="Arial" w:eastAsia="Arial" w:hAnsi="Arial"/>
          <w:sz w:val="18"/>
          <w:szCs w:val="18"/>
          <w:b w:val="1"/>
          <w:bCs w:val="1"/>
          <w:color w:val="auto"/>
        </w:rPr>
        <w:t>Nine Months</w:t>
      </w:r>
      <w:r>
        <w:rPr>
          <w:rFonts w:ascii="Arial" w:cs="Arial" w:eastAsia="Arial" w:hAnsi="Arial"/>
          <w:sz w:val="17"/>
          <w:szCs w:val="17"/>
          <w:b w:val="1"/>
          <w:bCs w:val="1"/>
          <w:color w:val="auto"/>
        </w:rPr>
        <w:t xml:space="preserve">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3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2"/>
              </w:rPr>
              <w:t>For the Nine Months Ended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0" w:type="dxa"/>
            <w:vAlign w:val="bottom"/>
            <w:gridSpan w:val="5"/>
          </w:tcPr>
          <w:p>
            <w:pPr>
              <w:jc w:val="center"/>
              <w:ind w:right="10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6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6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54,844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Interest income from sales-type leases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6,834</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63,810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28,899</w:t>
            </w: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874</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10,552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2,449</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38,480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11,143</w:t>
            </w:r>
          </w:p>
        </w:tc>
      </w:tr>
      <w:tr>
        <w:trPr>
          <w:trHeight w:val="27"/>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Earnings (losses) from equity method investments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6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14,986</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lease income increased to $54.8 million during the nine months ended September 30, 2019 from $32.7 million for the same period in 2018. The increase was primarily due to the origination of new Ground Leases.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income from sales-type leases (refer to Note 3) was $6.8 million for the nine months ended September 30, 2019. On January 1, 2019, we adopted new accounting standards (refer to Note 3) and classify certain of our Ground Leases as sales-type leases. Under sales-type leases, we accrue interest income under the effective interest method as opposed to recognition of operating lease income under the straight-line rent method for our Ground Leases that do not qualify as sales-type leases. We expect a majority of our newly originated Ground Leases will be classified as sales-type leases.</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for the nine months ended September 30, 2019 consists primarily of $1.8 million of interest income earned on our cash balances. In addition, during the nine months ended September 30, 2019, we also recorded $0.3 million of other income relating to a Ground Lease in which we are the lessee but our tenant at the property pays this expense directly under the terms of a master lease (refer to Note 3). Other income for the nine months ended September 30, 2018 consists primarily of a $1.5 million termination fee received by us in connection with the termination of a purchase contract for the purchase of the leased fee interest in a property due to the exercise by another entity of a pre-existing pre-emptive right to acquire such property and $0.7 million of interest income earned on our cash balances.</w:t>
      </w:r>
    </w:p>
    <w:p>
      <w:pPr>
        <w:spacing w:after="0" w:line="15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nine months ended September 30, 2019 and 2018, we incurred interest expense from our secured financings of $18.2 million and $10.4 million, respectively. The increase in 2019 was primarily the result of additional borrowings to fund our growing investment portfolio.</w:t>
      </w:r>
    </w:p>
    <w:p>
      <w:pPr>
        <w:spacing w:after="0" w:line="1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Real estate expense was $2.1 million and $1.2 million during the nine months ended September 30, 2019 and 2018, respectively, which consisted primarily of the amortization of an operating lease right-of-use asset in 2019 and a below market lease asset in 2018 at one of our hotel properties, and property appraisal fees and insurance expense in both periods. The increase in 2019 was primarily the result of growth in our portfolio through the origination of new Ground Leases. In addition, during the nine months ended September 30, 2019, we also recorded $0.3 million of real estate expense relating to a Ground Lease in which we are the lessee but our tenant at the property pays this expense directly under the terms of a master lease (refer to Note 3).</w:t>
      </w:r>
    </w:p>
    <w:p>
      <w:pPr>
        <w:spacing w:after="0" w:line="1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was $7.0 million and $6.8 million during the nine months ended September 30, 2019 and 2018, respectively, and primarily relates to our ownership of the Park Hotels Portfolio and our ownership of the Buckler multi-family property.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includes management fees (which our Manager waived during the first year of the management agreement), stock-based compensation, costs of operating as a public company and an allocation of expenses to us from our Manager (which our Manager waived during the first year of the management agreement). Although we paid no management fee or expense reimbursements to our Manager through June 30, 2018, GAAP requires us to record expenses and a non-cash capital contribution from iStar despite iStar not receiving any compensation or reimbursement for its services. The following table presents our general and administrative expenses for the nine months ended September 30, 2019 and 2018 ($ in thousands):</w:t>
      </w:r>
    </w:p>
    <w:p>
      <w:pPr>
        <w:spacing w:after="0" w:line="105" w:lineRule="exact"/>
        <w:rPr>
          <w:sz w:val="20"/>
          <w:szCs w:val="20"/>
          <w:color w:val="auto"/>
        </w:rPr>
      </w:pPr>
    </w:p>
    <w:tbl>
      <w:tblPr>
        <w:tblLayout w:type="fixed"/>
        <w:tblInd w:w="218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7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For the Nine Months Ended</w:t>
            </w:r>
          </w:p>
        </w:tc>
        <w:tc>
          <w:tcPr>
            <w:tcW w:w="52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Public company and other costs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2,544</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3,469</w:t>
            </w:r>
          </w:p>
        </w:tc>
      </w:tr>
      <w:tr>
        <w:trPr>
          <w:trHeight w:val="33"/>
        </w:trPr>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reimbursements to the Manager</w:t>
            </w:r>
            <w:r>
              <w:rPr>
                <w:rFonts w:ascii="Arial" w:cs="Arial" w:eastAsia="Arial" w:hAnsi="Arial"/>
                <w:sz w:val="21"/>
                <w:szCs w:val="21"/>
                <w:color w:val="auto"/>
                <w:vertAlign w:val="superscript"/>
              </w:rPr>
              <w:t>(1)</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33"/>
        </w:trPr>
        <w:tc>
          <w:tcPr>
            <w:tcW w:w="37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10,552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8,103</w:t>
            </w:r>
          </w:p>
        </w:tc>
      </w:tr>
    </w:tbl>
    <w:p>
      <w:pPr>
        <w:spacing w:after="0" w:line="8"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-98425</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2280" w:hanging="570"/>
        <w:spacing w:after="0"/>
        <w:tabs>
          <w:tab w:leader="none" w:pos="2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Waived through June 30, 2018.</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the nine months ended September 30, 2019, other expense consists primarily of investment pursuit costs, fees related to our derivative transactions and state and local taxes. During the nine months ended September 30, 2018, other expense consists primarily of costs related to an unsuccessful acquisition (but for which we received a $1.5 million termination fee), investment pursuit costs and fees related to our derivative transactions.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2019, loss on early extinguishment of debt resulted from the refinancing of two mortgages on existing Ground Leases.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2019, losses from equity method investments resulted from costs attributable to transaction structuring activities for a venture that we entered into with an existing shareholder to acquire the existing ground lease at 425 Park Avenue in New York City (refer to Note 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Liquidity is a measure of our ability to meet potential cash requirements, including to pay interest and repay borrowings, fund and maintain our assets and operations, complete acquisitions and originations of investments, make distributions to our shareholders and meet other general business needs. In order to qualify as a REIT, we are required under the Internal Revenue Code of 1986 to distribute to our shareholders, on an annual basis, at least 90% of our REIT taxable income, determined without regard to the deduction for dividends paid and excluding net capital gains. We expect to make quarterly cash distributions to our shareholders sufficient to meet REIT qualification requirements.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September 30, 2019, we had $13.5 million of unrestricted cash, $400.0 million of undrawn capacity and the ability to borrow an additional $152.8 million on our 2017 Revolver, subject to the conditions set forth in the applicable loan agreement (refer to Note 8 for more information on our 2017 Revolver), without pledging any additional assets to the facility. We refer to this $166.3 million of unrestricted cash and additional borrowing capacity as our "equity" liquidity which can be used for general corporate purposes or leveraged (a maximum of 2:1 in the case of our 2017 Revolver) to acquire new Ground Lease assets. Our primary sources of cash to date have been proceeds from equity offerings and private placements (refer to Note 11), proceeds from iStar's purchase of Investor Units in our Operating Partnership (refer to Note 11), proceeds from our initial capitalization by iStar and two institutional investors (refer to Note 11) and borrowings from our debt facilities. Our primary uses of cash to date have been the acquisition of the initial portfolio from iStar, the acquisition/origination of Ground Leases, repayments on our debt facilities and distributions to our shareholders.</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our future liquidity requirements to include debt service, distributions to our shareholders, working capital, acquisitions and originations of Ground Lease investments, including in respect of the unfunded commitments and pending acquisitions described above, and debt maturities. Our primary sources of liquidity going forward will generally consist of cash on hand and cash flows from operations, new financings, unused borrowing capacity under our 2017 Revolver (subject to the conditions set forth in the applicable loan agreement) and common and/or preferred equity issuances.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and certain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as of September 30, 2019 (refer to Note 8 to the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Amounts Due By Period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40"/>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Less Than 1</w:t>
            </w:r>
          </w:p>
        </w:tc>
        <w:tc>
          <w:tcPr>
            <w:tcW w:w="18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1 - 3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5 - 10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After 10</w:t>
            </w:r>
          </w:p>
        </w:tc>
      </w:t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58"/>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Mortgages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652,393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316,193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336,200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Revolver</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Total principal maturities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702,393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336,200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676,124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456,462</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Purchase Commitments</w:t>
            </w:r>
            <w:r>
              <w:rPr>
                <w:rFonts w:ascii="Arial" w:cs="Arial" w:eastAsia="Arial" w:hAnsi="Arial"/>
                <w:sz w:val="25"/>
                <w:szCs w:val="25"/>
                <w:b w:val="1"/>
                <w:bCs w:val="1"/>
                <w:color w:val="auto"/>
                <w:vertAlign w:val="superscript"/>
              </w:rPr>
              <w:t>(3)</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83,359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38,900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44,459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3540" w:type="dxa"/>
            <w:vAlign w:val="bottom"/>
            <w:tcBorders>
              <w:top w:val="single" w:sz="8" w:color="CCEEFF"/>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30"/>
                <w:szCs w:val="30"/>
                <w:b w:val="1"/>
                <w:bCs w:val="1"/>
                <w:color w:val="auto"/>
                <w:vertAlign w:val="subscript"/>
              </w:rPr>
              <w:t>Total</w:t>
            </w:r>
            <w:r>
              <w:rPr>
                <w:rFonts w:ascii="Arial" w:cs="Arial" w:eastAsia="Arial" w:hAnsi="Arial"/>
                <w:sz w:val="12"/>
                <w:szCs w:val="12"/>
                <w:b w:val="1"/>
                <w:bCs w:val="1"/>
                <w:color w:val="auto"/>
              </w:rPr>
              <w:t>(4)(5)</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1,461,876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63,446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414,445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792,662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Assumes the extended final maturity date for all debt obligations.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Variable-rate debt assumes one-month LIBOR of 2.02%. Interest payable does not include payments that may be required under our interest rate derivatives.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Note 9 of the consolidated financial statements.</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are also obligated to pay the third-party owner of a property that is ground leased to us $0.4 million, subject to adjustment for changes in the CPI, per year through 2044; however, our tenant pays this expense directly under the terms of a master lease through 2035.</w:t>
      </w:r>
    </w:p>
    <w:p>
      <w:pPr>
        <w:jc w:val="both"/>
        <w:ind w:left="500" w:hanging="492"/>
        <w:spacing w:after="0" w:line="248"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table above does not reflect the definitive agreements we have entered into in respect of the pending acquisitions described above under "Unfunded Commitments and Pending Acquisitions." These transactions remain subject to closing conditions, and there can be no assurance that any of them will close; however, assuming all closing conditions are satisfied, we currently expect the pending acquisitions to close prior to the end of 2019.</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discussion of our critical accounting policies, refer to Note 3 to the consolidated financial statements and our 2018 Annual Report on Form 10-K.</w:t>
      </w:r>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we had $652.4 million principal amount of fixed-rate debt outstanding and $50.0 million principal amount of floating-rate debt outstanding. In addition, as of September 30, 2019 we were party to derivative contracts to manage our interest rate risk.</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quantifies the potential changes in annual net income should interest rates increase or decrease by 10, 50 or 100 basis points, assuming no change in our interest earning assets, interest bearing liabilities or the shape of the yield curve (i.e., relative interest rates). The base interest rate scenario assumes the one-month LIBOR rate of 2.02% as of September 30, 2019. Actual results could differ significantly from those estimated in the 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ind w:left="560"/>
              <w:spacing w:after="0"/>
              <w:rPr>
                <w:sz w:val="20"/>
                <w:szCs w:val="20"/>
                <w:color w:val="auto"/>
              </w:rPr>
            </w:pPr>
            <w:r>
              <w:rPr>
                <w:rFonts w:ascii="Arial" w:cs="Arial" w:eastAsia="Arial" w:hAnsi="Arial"/>
                <w:sz w:val="18"/>
                <w:szCs w:val="18"/>
                <w:b w:val="1"/>
                <w:bCs w:val="1"/>
                <w:color w:val="auto"/>
              </w:rPr>
              <w:t>Change in Interest Rates</w:t>
            </w:r>
          </w:p>
        </w:tc>
        <w:tc>
          <w:tcPr>
            <w:tcW w:w="30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Net Income (Loss)</w:t>
            </w: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 Basis Points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+ 50 Basis Points</w:t>
            </w:r>
          </w:p>
        </w:tc>
        <w:tc>
          <w:tcPr>
            <w:tcW w:w="3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+100 Basis Points</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its Chief Accounting Officer, who is currently performing the functions of the Company's principal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principal financial officer (whose functions are currently being performed by the Company's Chief Accounting Officer).</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disclosure committee and other members of management, including its Chief Executive Officer and Chief Accounting Officer (performing the functions of principal financial officer), of the effectiveness of the Company's disclosure controls and procedures pursuant to Exchange Act Rule 13a-15(b) or Rule 15d-15. Based upon that evaluation, the Chief Executive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Officer and Chief Accounting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Accounting Officer, as appropriate, to allow timely decisions regarding disclosure.</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From time to time, we may be party, or our properties may be subject to, various claims, lawsuits or other legal proceedings that arise in the ordinary course of our business. We are not currently a party, as plaintiff or defendant, to any legal proceedings which, individually or in the aggregate, would be expected to have a material effect on our business, financial position, liquidity or results of operations if determined adversely to us.</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risk factors previously disclosed in our 2018 Annual Report on Form 10-K have been amended.</w:t>
      </w:r>
    </w:p>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realize any incremental value from the "Unrealized Capital Appreciation in Our Owned Residual Portfolio" or that the market price of our common stock will reflect any value attributable thereto.</w:t>
      </w:r>
    </w:p>
    <w:p>
      <w:pPr>
        <w:spacing w:after="0" w:line="224"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At the end of a Ground Lease, we regain possession of the land, pursuant to the typical terms of a Ground Lease, and generally take title to the building and any improvements thereon, without the payment of any additional consideration by us. Since we target Ground Leases where the initial cost of the Ground Lease represents between 30% and 45% of the Combined Property Value, we regard the difference between the initial Ground Lease cost and the Combined Property Value as Unrealized Capital Appreciation in Our Owned Residual Portfolio that we may realize at the end of the lease through a releasing or sale transaction, or perhaps by operating the property directly. To the extent we choose to operate a property directly after the expiration or other termination of a Ground Lease, we will be subject to additional risks associated with leasing commercial real estate, including responsibility for property operating costs, such as taxes, insurance and maintenance, that previously were paid for by our tenant pursuant the Ground Lease. Additionally, the Unrealized Capital Appreciation in Our Owned Residual Portfolio may grow during the term of the Ground Lease in an amount equal to any appreciation in the Combined Property Value. Though we estimate Combined Property Value using one or more valuation methodologies that we consider appropriate, there can be no assurance that this estimate or the amount of any Unrealized Capital Appreciation in Our Owned Residual Portfolio is accurate at the time we invest in a Ground Lease. Even if we estimate that there is an Unrealized Capital Appreciation in Our Owned Residual Portfolio, we will generally not be able to realize that value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leases are typically long-term (base terms ranging from 30 to 99 years), it is possible that the Unrealized Capital Appreciation in Our Owned Residual Portfolio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Moreover, no assurance can be given that the market price of our common stock will include any value attributable to the Unrealized Capital Appreciation in Our Owned Residual Portfolio. In addition, our ability to recognize value through reversion rights may be limited by the rights of our tenants under some of our Ground Leases, including tenant rights to purchase the properties under certain circumstances and the right of the One Ally Center tenant to demolish the improvements prior to the expiration of the Ground Lease. See the following Risk Factors in our Annual Report on Form 10-K for the year ended December 31, 2018, as the same may be updated in subsequent reports filed with the Securities and Exchange Commission: "—The tenant under our Ground Lease relating to the One Ally Center property has the right to demolish the building before the expiration of the lease." Moreover, the market price of our common stock may not reflect any value ascribed to the Unrealized Capital Appreciation in Our Owned Residual Portfolio, as it is difficult and highly speculative to estimate the value of a commercial real estate portfolio that may be realized at a distant point in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tenants under many of our Ground Leases have certain preemptive rights should we decide to sell the Ground Leases.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Tenants under many of our Ground Leases have a right of first offer or refusal to purchase the land underlying the Ground Lease should we decide to sell the land together with the Ground Lease to a third party. The existence of such preemptive rights could limit third-party offers for the Ground Lease, or adversely affect the timing of any sale of any such Ground Lease and affect our ability to obtain the highest price possible in the event that we decide to market or sell the Ground Lease.</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2019, we issued 56,610 shares of our common stock to our Manager as payment for the management fee for the three months ended June 30, 2019. These shares were not registered under the Securities Act.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22" w:right="1440"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520" w:type="dxa"/>
            <w:vAlign w:val="bottom"/>
            <w:gridSpan w:val="2"/>
          </w:tcPr>
          <w:p>
            <w:pPr>
              <w:ind w:left="348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7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520" w:type="dxa"/>
            <w:vAlign w:val="bottom"/>
            <w:gridSpan w:val="2"/>
          </w:tcPr>
          <w:p>
            <w:pPr>
              <w:ind w:left="388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3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31.0</w:t>
            </w:r>
          </w:p>
        </w:tc>
        <w:tc>
          <w:tcPr>
            <w:tcW w:w="47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Certifications pursuant to Section 302 of the Sarbanes-Oxley Act.</w:t>
              </w:r>
            </w:hyperlink>
          </w:p>
        </w:tc>
        <w:tc>
          <w:tcPr>
            <w:tcW w:w="4780" w:type="dxa"/>
            <w:vAlign w:val="bottom"/>
            <w:tcBorders>
              <w:bottom w:val="single" w:sz="8" w:color="CCEEFF"/>
            </w:tcBorders>
            <w:shd w:val="clear" w:color="auto" w:fill="CCEEFF"/>
          </w:tcPr>
          <w:p>
            <w:pPr>
              <w:spacing w:after="0"/>
              <w:rPr>
                <w:sz w:val="21"/>
                <w:szCs w:val="21"/>
                <w:color w:val="auto"/>
              </w:rPr>
            </w:pPr>
          </w:p>
        </w:tc>
      </w:tr>
      <w:tr>
        <w:trPr>
          <w:trHeight w:val="203"/>
        </w:trPr>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1"/>
              </w:rPr>
              <w:t>32.0</w:t>
            </w:r>
          </w:p>
        </w:tc>
        <w:tc>
          <w:tcPr>
            <w:tcW w:w="4740" w:type="dxa"/>
            <w:vAlign w:val="bottom"/>
            <w:tcBorders>
              <w:bottom w:val="single" w:sz="8" w:color="0000FF"/>
            </w:tcBorders>
          </w:tcPr>
          <w:p>
            <w:pPr>
              <w:spacing w:after="0" w:line="202"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Certifications pursuant to Section 906 of the Sarbanes-Oxley Act.</w:t>
              </w:r>
            </w:hyperlink>
          </w:p>
        </w:tc>
        <w:tc>
          <w:tcPr>
            <w:tcW w:w="4780" w:type="dxa"/>
            <w:vAlign w:val="bottom"/>
          </w:tcPr>
          <w:p>
            <w:pPr>
              <w:spacing w:after="0"/>
              <w:rPr>
                <w:sz w:val="17"/>
                <w:szCs w:val="17"/>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9520" w:type="dxa"/>
            <w:vAlign w:val="bottom"/>
            <w:gridSpan w:val="2"/>
          </w:tcPr>
          <w:p>
            <w:pPr>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period ended September 30, 2019</w:t>
            </w:r>
          </w:p>
        </w:tc>
      </w:tr>
      <w:tr>
        <w:trPr>
          <w:trHeight w:val="230"/>
        </w:trPr>
        <w:tc>
          <w:tcPr>
            <w:tcW w:w="1340" w:type="dxa"/>
            <w:vAlign w:val="bottom"/>
          </w:tcPr>
          <w:p>
            <w:pPr>
              <w:spacing w:after="0"/>
              <w:rPr>
                <w:sz w:val="20"/>
                <w:szCs w:val="20"/>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1"/>
              </w:rPr>
              <w:t>is formatted in iXBRL ("eXtensible Business Reporting Language"): (i) the Consolidated Balance Sheets as of September 30,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6886575" cy="995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6575" cy="995045"/>
                    </a:xfrm>
                    <a:prstGeom prst="rect">
                      <a:avLst/>
                    </a:prstGeom>
                    <a:noFill/>
                  </pic:spPr>
                </pic:pic>
              </a:graphicData>
            </a:graphic>
          </wp:anchor>
        </w:drawing>
      </w:r>
    </w:p>
    <w:p>
      <w:pPr>
        <w:ind w:left="1340" w:right="720"/>
        <w:spacing w:after="0" w:line="291" w:lineRule="auto"/>
        <w:rPr>
          <w:sz w:val="20"/>
          <w:szCs w:val="20"/>
          <w:color w:val="auto"/>
        </w:rPr>
      </w:pPr>
      <w:r>
        <w:rPr>
          <w:rFonts w:ascii="Arial" w:cs="Arial" w:eastAsia="Arial" w:hAnsi="Arial"/>
          <w:sz w:val="16"/>
          <w:szCs w:val="16"/>
          <w:color w:val="auto"/>
        </w:rPr>
        <w:t>(unaudited) and December 31, 2018; (ii) the Consolidated Statements of Operations (unaudited) for the three and nine months ended September 30, 2019 and 2018; (iii) the Consolidated Statements of Comprehensive Income (Loss) (unaudited) for the three and nine months ended September 30, 2019 and 2018; (iv) the Consolidated Statements of Changes in Equity (unaudited) for the three and nine months ended September 30, 2019 and 2018; (v) the Consolidated Statements of Cash Flows (unaudited) for the nine months ended September 30, 2019 and 2018; and (vi) the Notes to the Consolidated Financial Statements (unaudited).</w:t>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312" w:lineRule="auto"/>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Safehold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Safehold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62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7"/>
          <w:szCs w:val="17"/>
          <w:color w:val="auto"/>
        </w:rPr>
        <w:t>/s/ GARETT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Garett Rosenblum</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Safehold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October 24, 2019</w:t>
            </w:r>
          </w:p>
        </w:tc>
        <w:tc>
          <w:tcPr>
            <w:tcW w:w="7600" w:type="dxa"/>
            <w:vAlign w:val="bottom"/>
            <w:gridSpan w:val="3"/>
          </w:tcPr>
          <w:p>
            <w:pPr>
              <w:ind w:left="1940"/>
              <w:spacing w:after="0"/>
              <w:rPr>
                <w:sz w:val="20"/>
                <w:szCs w:val="20"/>
                <w:color w:val="auto"/>
              </w:rPr>
            </w:pPr>
            <w:r>
              <w:rPr>
                <w:rFonts w:ascii="Arial" w:cs="Arial" w:eastAsia="Arial" w:hAnsi="Arial"/>
                <w:sz w:val="18"/>
                <w:szCs w:val="18"/>
                <w:color w:val="auto"/>
              </w:rPr>
              <w:t>By:    /s/ JAY SUGARMAN</w:t>
            </w:r>
          </w:p>
        </w:tc>
      </w:tr>
      <w:tr>
        <w:trPr>
          <w:trHeight w:val="27"/>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Garett Rosenblum, certify that:</w:t>
      </w:r>
    </w:p>
    <w:p>
      <w:pPr>
        <w:spacing w:after="0" w:line="171"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Safehold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October 24, 2019</w:t>
            </w:r>
          </w:p>
        </w:tc>
        <w:tc>
          <w:tcPr>
            <w:tcW w:w="7600" w:type="dxa"/>
            <w:vAlign w:val="bottom"/>
            <w:gridSpan w:val="3"/>
          </w:tcPr>
          <w:p>
            <w:pPr>
              <w:ind w:left="1940"/>
              <w:spacing w:after="0"/>
              <w:rPr>
                <w:sz w:val="20"/>
                <w:szCs w:val="20"/>
                <w:color w:val="auto"/>
              </w:rPr>
            </w:pPr>
            <w:r>
              <w:rPr>
                <w:rFonts w:ascii="Arial" w:cs="Arial" w:eastAsia="Arial" w:hAnsi="Arial"/>
                <w:sz w:val="18"/>
                <w:szCs w:val="18"/>
                <w:color w:val="auto"/>
              </w:rPr>
              <w:t>By:    /s/ GARETT ROSENBLUM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Garett Rosenblum</w:t>
            </w: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Accounting Officer</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Safehold Inc. (the "Company"), hereby certifies on the date hereof, pursuant to 18 U.S.C. 1350, as adopted pursuant to Section 906 of The Sarbanes-Oxley Act of 2002, that the Quarterly Report on Form 10-Q for the quarter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October 24, 2019</w:t>
            </w:r>
          </w:p>
        </w:tc>
        <w:tc>
          <w:tcPr>
            <w:tcW w:w="7600" w:type="dxa"/>
            <w:vAlign w:val="bottom"/>
            <w:gridSpan w:val="3"/>
          </w:tcPr>
          <w:p>
            <w:pPr>
              <w:ind w:left="1940"/>
              <w:spacing w:after="0"/>
              <w:rPr>
                <w:sz w:val="20"/>
                <w:szCs w:val="20"/>
                <w:color w:val="auto"/>
              </w:rPr>
            </w:pPr>
            <w:r>
              <w:rPr>
                <w:rFonts w:ascii="Arial" w:cs="Arial" w:eastAsia="Arial" w:hAnsi="Arial"/>
                <w:sz w:val="18"/>
                <w:szCs w:val="18"/>
                <w:color w:val="auto"/>
              </w:rPr>
              <w:t>By:    /s/ JAY SUGARMAN</w:t>
            </w:r>
          </w:p>
        </w:tc>
      </w:tr>
      <w:tr>
        <w:trPr>
          <w:trHeight w:val="27"/>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principal financial officer of Safehold Inc. (the "Company"), hereby certifies on the date hereof, pursuant to 18 U.S.C. 1350, as adopted pursuant to Section 906 of The Sarbanes-Oxley Act of 2002, that the Quarterly Report on Form 10-Q for the quarter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October 24, 2019</w:t>
            </w:r>
          </w:p>
        </w:tc>
        <w:tc>
          <w:tcPr>
            <w:tcW w:w="7600" w:type="dxa"/>
            <w:vAlign w:val="bottom"/>
            <w:gridSpan w:val="3"/>
          </w:tcPr>
          <w:p>
            <w:pPr>
              <w:ind w:left="1940"/>
              <w:spacing w:after="0"/>
              <w:rPr>
                <w:sz w:val="20"/>
                <w:szCs w:val="20"/>
                <w:color w:val="auto"/>
              </w:rPr>
            </w:pPr>
            <w:r>
              <w:rPr>
                <w:rFonts w:ascii="Arial" w:cs="Arial" w:eastAsia="Arial" w:hAnsi="Arial"/>
                <w:sz w:val="18"/>
                <w:szCs w:val="18"/>
                <w:color w:val="auto"/>
              </w:rPr>
              <w:t>By:    /s/ GARETT ROSENBLUM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Garett Rosenblum</w:t>
            </w: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Accounting Officer</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decimal"/>
      <w:start w:val="6"/>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4"/>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2019-12-28T05:00:58Z</dcterms:created>
  <dcterms:modified xsi:type="dcterms:W3CDTF">2019-12-28T05:00:58Z</dcterms:modified>
</cp:coreProperties>
</file>