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92026_041001.xml.htm"/>
      <w:bookmarkStart w:id="1" w:name="ksform41019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JOSEPHS ROBIN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PENN PLAZA, 51ST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Safehold Inc.</w:t>
              </w:r>
            </w:hyperlink>
            <w:r>
              <w:rPr/>
              <w:t xml:space="preserve"> [ </w:t>
            </w:r>
            <w:r>
              <w:rPr>
                <w:rFonts w:ascii="Times;serif" w:hAnsi="Times;serif"/>
                <w:color w:val="0000FF"/>
                <w:sz w:val="24"/>
                <w:shd w:fill="FFFFFF" w:val="clear"/>
              </w:rPr>
              <w:t>SAFE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20"/>
        <w:gridCol w:w="507"/>
        <w:gridCol w:w="629"/>
        <w:gridCol w:w="1184"/>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w:t>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89,555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3,107</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64,696</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15, 2026, the Reporting Person acquired 487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Lee, as Attorney-in-Fact for Robin Josephs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801" TargetMode="External"/><Relationship Id="rId5" Type="http://schemas.openxmlformats.org/officeDocument/2006/relationships/hyperlink" Target="http://www.sec.gov/cgi-bin/browse-edgar?action=getcompany&amp;CIK=00010956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3567</Characters>
  <CharactersWithSpaces>4159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