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ADLER DEAN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2400 MARKET STREET, SUITE 301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Safehold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SAFE</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05/09/2019</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PHILADELPHIA PA</w:t>
            </w:r>
          </w:p>
        </w:tc>
        <w:tc>
          <w:tcPr>
            <w:tcW w:w="1600" w:type="dxa"/>
            <w:vAlign w:val="bottom"/>
          </w:tcPr>
          <w:p>
            <w:pPr>
              <w:jc w:val="right"/>
              <w:ind w:right="243"/>
              <w:spacing w:after="0"/>
              <w:rPr>
                <w:sz w:val="20"/>
                <w:szCs w:val="20"/>
                <w:color w:val="auto"/>
              </w:rPr>
            </w:pPr>
            <w:r>
              <w:rPr>
                <w:rFonts w:ascii="Arial" w:cs="Arial" w:eastAsia="Arial" w:hAnsi="Arial"/>
                <w:sz w:val="17"/>
                <w:szCs w:val="17"/>
                <w:color w:val="0000FF"/>
              </w:rPr>
              <w:t>19103-3033</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30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20" w:type="dxa"/>
            <w:vAlign w:val="bottom"/>
          </w:tcPr>
          <w:p>
            <w:pPr>
              <w:spacing w:after="0"/>
              <w:rPr>
                <w:sz w:val="20"/>
                <w:szCs w:val="20"/>
                <w:color w:val="auto"/>
              </w:rPr>
            </w:pPr>
            <w:r>
              <w:rPr>
                <w:rFonts w:ascii="Arial" w:cs="Arial" w:eastAsia="Arial" w:hAnsi="Arial"/>
                <w:sz w:val="12"/>
                <w:szCs w:val="12"/>
                <w:b w:val="1"/>
                <w:bCs w:val="1"/>
                <w:color w:val="auto"/>
                <w:w w:val="99"/>
              </w:rPr>
              <w:t>3.</w:t>
            </w:r>
          </w:p>
        </w:tc>
        <w:tc>
          <w:tcPr>
            <w:tcW w:w="62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gridSpan w:val="2"/>
          </w:tcPr>
          <w:p>
            <w:pPr>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300"/>
              <w:spacing w:after="0" w:line="131"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700" w:type="dxa"/>
            <w:vAlign w:val="bottom"/>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420" w:type="dxa"/>
            <w:vAlign w:val="bottom"/>
          </w:tcPr>
          <w:p>
            <w:pPr>
              <w:spacing w:after="0"/>
              <w:rPr>
                <w:sz w:val="11"/>
                <w:szCs w:val="11"/>
                <w:color w:val="auto"/>
              </w:rPr>
            </w:pPr>
          </w:p>
        </w:tc>
        <w:tc>
          <w:tcPr>
            <w:tcW w:w="5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400" w:type="dxa"/>
            <w:vAlign w:val="bottom"/>
          </w:tcPr>
          <w:p>
            <w:pPr>
              <w:spacing w:after="0"/>
              <w:rPr>
                <w:sz w:val="11"/>
                <w:szCs w:val="11"/>
                <w:color w:val="auto"/>
              </w:rPr>
            </w:pP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8)</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11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vMerge w:val="restart"/>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5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6"/>
                <w:szCs w:val="6"/>
                <w:color w:val="auto"/>
              </w:rPr>
            </w:pPr>
          </w:p>
        </w:tc>
        <w:tc>
          <w:tcPr>
            <w:tcW w:w="1100" w:type="dxa"/>
            <w:vAlign w:val="bottom"/>
            <w:gridSpan w:val="5"/>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110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1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1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tcPr>
          <w:p>
            <w:pPr>
              <w:ind w:left="60"/>
              <w:spacing w:after="0"/>
              <w:rPr>
                <w:sz w:val="20"/>
                <w:szCs w:val="20"/>
                <w:color w:val="auto"/>
              </w:rPr>
            </w:pPr>
            <w:r>
              <w:rPr>
                <w:rFonts w:ascii="Arial" w:cs="Arial" w:eastAsia="Arial" w:hAnsi="Arial"/>
                <w:sz w:val="17"/>
                <w:szCs w:val="17"/>
                <w:color w:val="0000FF"/>
                <w:w w:val="94"/>
              </w:rPr>
              <w:t>Common Stock, par value $0.01 per</w:t>
            </w:r>
          </w:p>
        </w:tc>
        <w:tc>
          <w:tcPr>
            <w:tcW w:w="1940" w:type="dxa"/>
            <w:vAlign w:val="bottom"/>
            <w:gridSpan w:val="2"/>
            <w:vMerge w:val="restart"/>
          </w:tcPr>
          <w:p>
            <w:pPr>
              <w:ind w:left="400"/>
              <w:spacing w:after="0"/>
              <w:rPr>
                <w:sz w:val="20"/>
                <w:szCs w:val="20"/>
                <w:color w:val="auto"/>
              </w:rPr>
            </w:pPr>
            <w:r>
              <w:rPr>
                <w:rFonts w:ascii="Arial" w:cs="Arial" w:eastAsia="Arial" w:hAnsi="Arial"/>
                <w:sz w:val="17"/>
                <w:szCs w:val="17"/>
                <w:color w:val="0000FF"/>
              </w:rPr>
              <w:t>05/09/2019</w:t>
            </w: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0000FF"/>
              </w:rPr>
              <w:t>A</w:t>
            </w:r>
          </w:p>
        </w:tc>
        <w:tc>
          <w:tcPr>
            <w:tcW w:w="880" w:type="dxa"/>
            <w:vAlign w:val="bottom"/>
            <w:vMerge w:val="restart"/>
          </w:tcPr>
          <w:p>
            <w:pPr>
              <w:ind w:left="120"/>
              <w:spacing w:after="0"/>
              <w:rPr>
                <w:sz w:val="20"/>
                <w:szCs w:val="20"/>
                <w:color w:val="auto"/>
              </w:rPr>
            </w:pPr>
            <w:r>
              <w:rPr>
                <w:rFonts w:ascii="Arial" w:cs="Arial" w:eastAsia="Arial" w:hAnsi="Arial"/>
                <w:sz w:val="17"/>
                <w:szCs w:val="17"/>
                <w:color w:val="0000FF"/>
              </w:rPr>
              <w:t>10,000</w:t>
            </w:r>
            <w:r>
              <w:rPr>
                <w:rFonts w:ascii="Arial" w:cs="Arial" w:eastAsia="Arial" w:hAnsi="Arial"/>
                <w:sz w:val="22"/>
                <w:szCs w:val="22"/>
                <w:color w:val="008000"/>
                <w:vertAlign w:val="superscript"/>
              </w:rPr>
              <w:t>(1)</w:t>
            </w:r>
          </w:p>
        </w:tc>
        <w:tc>
          <w:tcPr>
            <w:tcW w:w="440" w:type="dxa"/>
            <w:vAlign w:val="bottom"/>
            <w:vMerge w:val="restart"/>
          </w:tcPr>
          <w:p>
            <w:pPr>
              <w:ind w:left="140"/>
              <w:spacing w:after="0"/>
              <w:rPr>
                <w:sz w:val="20"/>
                <w:szCs w:val="20"/>
                <w:color w:val="auto"/>
              </w:rPr>
            </w:pPr>
            <w:r>
              <w:rPr>
                <w:rFonts w:ascii="Arial" w:cs="Arial" w:eastAsia="Arial" w:hAnsi="Arial"/>
                <w:sz w:val="17"/>
                <w:szCs w:val="17"/>
                <w:color w:val="0000FF"/>
              </w:rPr>
              <w:t>A</w:t>
            </w:r>
          </w:p>
        </w:tc>
        <w:tc>
          <w:tcPr>
            <w:tcW w:w="600" w:type="dxa"/>
            <w:vAlign w:val="bottom"/>
            <w:vMerge w:val="restart"/>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0.00</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780,000</w:t>
            </w:r>
            <w:r>
              <w:rPr>
                <w:rFonts w:ascii="Arial" w:cs="Arial" w:eastAsia="Arial" w:hAnsi="Arial"/>
                <w:sz w:val="22"/>
                <w:szCs w:val="22"/>
                <w:color w:val="008000"/>
                <w:vertAlign w:val="superscript"/>
              </w:rPr>
              <w:t>(2)</w:t>
            </w:r>
          </w:p>
        </w:tc>
        <w:tc>
          <w:tcPr>
            <w:tcW w:w="52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400" w:type="dxa"/>
            <w:vAlign w:val="bottom"/>
          </w:tcPr>
          <w:p>
            <w:pPr>
              <w:spacing w:after="0"/>
              <w:rPr>
                <w:sz w:val="22"/>
                <w:szCs w:val="22"/>
                <w:color w:val="auto"/>
              </w:rPr>
            </w:pPr>
          </w:p>
        </w:tc>
        <w:tc>
          <w:tcPr>
            <w:tcW w:w="320" w:type="dxa"/>
            <w:vAlign w:val="bottom"/>
          </w:tcPr>
          <w:p>
            <w:pPr>
              <w:spacing w:after="0"/>
              <w:rPr>
                <w:sz w:val="20"/>
                <w:szCs w:val="20"/>
                <w:color w:val="auto"/>
              </w:rPr>
            </w:pPr>
            <w:r>
              <w:rPr>
                <w:rFonts w:ascii="Arial" w:cs="Arial" w:eastAsia="Arial" w:hAnsi="Arial"/>
                <w:sz w:val="17"/>
                <w:szCs w:val="17"/>
                <w:color w:val="0000FF"/>
                <w:w w:val="99"/>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5"/>
            <w:vMerge w:val="restart"/>
          </w:tcPr>
          <w:p>
            <w:pPr>
              <w:spacing w:after="0"/>
              <w:rPr>
                <w:sz w:val="20"/>
                <w:szCs w:val="20"/>
                <w:color w:val="auto"/>
              </w:rPr>
            </w:pPr>
            <w:r>
              <w:rPr>
                <w:rFonts w:ascii="Arial" w:cs="Arial" w:eastAsia="Arial" w:hAnsi="Arial"/>
                <w:sz w:val="17"/>
                <w:szCs w:val="17"/>
                <w:color w:val="0000FF"/>
              </w:rPr>
              <w:t>footnotes</w:t>
            </w:r>
            <w:r>
              <w:rPr>
                <w:rFonts w:ascii="Arial" w:cs="Arial" w:eastAsia="Arial" w:hAnsi="Arial"/>
                <w:sz w:val="22"/>
                <w:szCs w:val="22"/>
                <w:color w:val="008000"/>
                <w:vertAlign w:val="superscript"/>
              </w:rPr>
              <w:t>(2)(3)</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10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3"/>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32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Form:</w:t>
            </w:r>
          </w:p>
        </w:tc>
        <w:tc>
          <w:tcPr>
            <w:tcW w:w="32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Owned</w:t>
            </w:r>
          </w:p>
        </w:tc>
        <w:tc>
          <w:tcPr>
            <w:tcW w:w="52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80" w:type="dxa"/>
            <w:vAlign w:val="bottom"/>
            <w:gridSpan w:val="2"/>
          </w:tcPr>
          <w:p>
            <w:pPr>
              <w:spacing w:after="0"/>
              <w:rPr>
                <w:sz w:val="4"/>
                <w:szCs w:val="4"/>
                <w:color w:val="auto"/>
              </w:rPr>
            </w:pPr>
          </w:p>
        </w:tc>
        <w:tc>
          <w:tcPr>
            <w:tcW w:w="7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grant of shares issued directly to SFTY VII-B, LLC ("SFTY") for Mr. Dean S. Adler's services as a director of the Issuer. The shares were fully vested on the grant date. Shares owned following the reported transaction gives effect to the transfer from Mr. Adler to SFTY of shares held by Mr. Adler for SFTY's benefit.</w:t>
      </w:r>
    </w:p>
    <w:p>
      <w:pPr>
        <w:spacing w:after="0" w:line="15" w:lineRule="exact"/>
        <w:rPr>
          <w:rFonts w:ascii="Arial" w:cs="Arial" w:eastAsia="Arial" w:hAnsi="Arial"/>
          <w:sz w:val="13"/>
          <w:szCs w:val="13"/>
          <w:color w:val="008000"/>
        </w:rPr>
      </w:pPr>
    </w:p>
    <w:p>
      <w:pPr>
        <w:jc w:val="both"/>
        <w:ind w:left="40" w:right="200" w:firstLine="7"/>
        <w:spacing w:after="0" w:line="245"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shares are held of record by SFTY. SFTY's sole member is Lubert-Adler Real Estate Fund VII-B, L.P. ("L-A RE Fund VII-B"). L-A RE Fund VII-B's general partner is Lubert-Adler Group VII-B, LLC ("L-A Group VII-B LLC"). L-A Group VII-B LLC's sole member is Lubert-Adler Group VII-B Holdings, L.P. ("L-A Holdings VII-B LP"). L-A Holdings VII-B LP's general partner is Lubert-Adler Group VII-B Holdings, LLC ("L-A Holdings VII-B LLC"). Mr. Adler is one of two members of L-A Holdings VII-B LLC. As a result, Mr. Adler may be deemed to share beneficial ownership of the reported shares.</w:t>
      </w:r>
    </w:p>
    <w:p>
      <w:pPr>
        <w:spacing w:after="0" w:line="29"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Mr. Adler expressly disclaims beneficial ownership of the reported shares except to the extent of his pecuniary interest therein.</w:t>
      </w:r>
    </w:p>
    <w:p>
      <w:pPr>
        <w:spacing w:after="0" w:line="4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Exhibit 24.1- Power of Attorney</w:t>
      </w:r>
    </w:p>
    <w:p>
      <w:pPr>
        <w:spacing w:after="0" w:line="77"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R. Eric Emrich,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410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4107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Dean S.</w:t>
      </w:r>
      <w:r>
        <w:rPr>
          <w:sz w:val="20"/>
          <w:szCs w:val="20"/>
          <w:color w:val="auto"/>
        </w:rPr>
        <w:tab/>
      </w:r>
      <w:r>
        <w:rPr>
          <w:rFonts w:ascii="Arial" w:cs="Arial" w:eastAsia="Arial" w:hAnsi="Arial"/>
          <w:sz w:val="15"/>
          <w:szCs w:val="15"/>
          <w:color w:val="0000FF"/>
        </w:rPr>
        <w:t>07/07/2020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Adler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501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25019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jc w:val="right"/>
        <w:ind w:right="1679"/>
        <w:spacing w:after="0"/>
        <w:rPr>
          <w:sz w:val="20"/>
          <w:szCs w:val="20"/>
          <w:color w:val="auto"/>
        </w:rPr>
      </w:pPr>
      <w:r>
        <w:rPr>
          <w:rFonts w:ascii="Courier New" w:cs="Courier New" w:eastAsia="Courier New" w:hAnsi="Courier New"/>
          <w:sz w:val="17"/>
          <w:szCs w:val="17"/>
          <w:color w:val="auto"/>
        </w:rPr>
        <w:t>Exhibit 24.1</w:t>
      </w:r>
    </w:p>
    <w:p>
      <w:pPr>
        <w:spacing w:after="0" w:line="207"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July 2, 2020</w:t>
      </w:r>
    </w:p>
    <w:p>
      <w:pPr>
        <w:spacing w:after="0" w:line="207"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1679" w:firstLine="520"/>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 Eric Emrich, Mark Kripke, Gerald A. Ronon and Michael Trachtenberg, signing singly, the undersigned's true and lawful attorney-in-fact to: (i) execute for and on behalf of the undersigned, in the undersigned's capacity as an officer and/or director and/or owner of greater than 10% of the outstanding Common Stock of Safehold Inc., a Maryland corporation (the "Company"), Forms 3, 4 and 5 (including any amendments, supplements or exhibits thereto) in accordance with Section 16(a) of the Securities Exchange Act of 1934, as amended (the "Exchange Act"), and the rules thereunder, as well as a Schedule 13D or Schedule 13G in accordance with Section 13(d) of the Exchange Act and the rules thereunder and any amendments thereto; (ii) do and perform any and all acts for and on behalf of the undersigned which may be necessary or desirable to complete and execute any such Form 3, 4 or 5 and Schedule 13D or 13G (including any amendments, supplements or exhibits thereto) and timely file such forms with the United States Securities and Exchange Commission and any stock exchange or similar authority, including the New York Stock Exchange; and</w:t>
      </w:r>
    </w:p>
    <w:p>
      <w:pPr>
        <w:spacing w:after="0" w:line="1" w:lineRule="exact"/>
        <w:rPr>
          <w:sz w:val="20"/>
          <w:szCs w:val="20"/>
          <w:color w:val="auto"/>
        </w:rPr>
      </w:pPr>
    </w:p>
    <w:p>
      <w:pPr>
        <w:ind w:left="640" w:hanging="633"/>
        <w:spacing w:after="0"/>
        <w:tabs>
          <w:tab w:leader="none" w:pos="6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w:t>
      </w:r>
    </w:p>
    <w:p>
      <w:pPr>
        <w:spacing w:after="0" w:line="7" w:lineRule="exact"/>
        <w:rPr>
          <w:rFonts w:ascii="Courier New" w:cs="Courier New" w:eastAsia="Courier New" w:hAnsi="Courier New"/>
          <w:sz w:val="17"/>
          <w:szCs w:val="17"/>
          <w:color w:val="auto"/>
        </w:rPr>
      </w:pPr>
    </w:p>
    <w:p>
      <w:pPr>
        <w:ind w:right="167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0" w:lineRule="exact"/>
        <w:rPr>
          <w:sz w:val="20"/>
          <w:szCs w:val="20"/>
          <w:color w:val="auto"/>
        </w:rPr>
      </w:pPr>
    </w:p>
    <w:p>
      <w:pPr>
        <w:ind w:right="1679" w:firstLine="520"/>
        <w:spacing w:after="0" w:line="249"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 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Section 13 of the Exchange Act. This Power of Attorney shall remain in full force and effect until the undersigned is no longer required to file reports or schedules under Section 16 and Section 13(d) of the Exchange Act with respect to the undersigned's holdings of and transactions in securities issued by the Company, unless earlier revoked by the undersigned in a signed writing delivered to the foregoing attorneys-in-fact.</w:t>
      </w:r>
    </w:p>
    <w:p>
      <w:pPr>
        <w:spacing w:after="0" w:line="201" w:lineRule="exact"/>
        <w:rPr>
          <w:sz w:val="20"/>
          <w:szCs w:val="20"/>
          <w:color w:val="auto"/>
        </w:rPr>
      </w:pPr>
    </w:p>
    <w:p>
      <w:pPr>
        <w:ind w:left="1780"/>
        <w:spacing w:after="0"/>
        <w:rPr>
          <w:sz w:val="20"/>
          <w:szCs w:val="20"/>
          <w:color w:val="auto"/>
        </w:rPr>
      </w:pPr>
      <w:r>
        <w:rPr>
          <w:rFonts w:ascii="Courier New" w:cs="Courier New" w:eastAsia="Courier New" w:hAnsi="Courier New"/>
          <w:sz w:val="17"/>
          <w:szCs w:val="17"/>
          <w:color w:val="auto"/>
        </w:rPr>
        <w:t>[Remainder of page intentionally left blank.]</w:t>
      </w:r>
    </w:p>
    <w:p>
      <w:pPr>
        <w:spacing w:after="0" w:line="207" w:lineRule="exact"/>
        <w:rPr>
          <w:sz w:val="20"/>
          <w:szCs w:val="20"/>
          <w:color w:val="auto"/>
        </w:rPr>
      </w:pPr>
    </w:p>
    <w:p>
      <w:pPr>
        <w:ind w:right="1679" w:firstLine="520"/>
        <w:spacing w:after="0" w:line="25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date first written above.</w:t>
      </w:r>
    </w:p>
    <w:p>
      <w:pPr>
        <w:spacing w:after="0" w:line="397"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/s/ Dean S. Adler</w:t>
      </w:r>
    </w:p>
    <w:p>
      <w:pPr>
        <w:spacing w:after="0" w:line="7"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ind w:left="4380"/>
        <w:spacing w:after="0"/>
        <w:rPr>
          <w:sz w:val="20"/>
          <w:szCs w:val="20"/>
          <w:color w:val="auto"/>
        </w:rPr>
      </w:pPr>
      <w:r>
        <w:rPr>
          <w:rFonts w:ascii="Courier New" w:cs="Courier New" w:eastAsia="Courier New" w:hAnsi="Courier New"/>
          <w:sz w:val="17"/>
          <w:szCs w:val="17"/>
          <w:color w:val="auto"/>
        </w:rPr>
        <w:t>Name: Dean S. Adler</w:t>
      </w:r>
    </w:p>
    <w:p>
      <w:pPr>
        <w:sectPr>
          <w:pgSz w:w="11900" w:h="16838" w:orient="portrait"/>
          <w:cols w:equalWidth="0" w:num="1">
            <w:col w:w="9999"/>
          </w:cols>
          <w:pgMar w:left="46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Section 16 Power of Attorney Signature Page</w:t>
      </w:r>
    </w:p>
    <w:sectPr>
      <w:pgSz w:w="11900" w:h="16838" w:orient="portrait"/>
      <w:cols w:equalWidth="0" w:num="1">
        <w:col w:w="9999"/>
      </w:cols>
      <w:pgMar w:left="46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91821" TargetMode="External"/><Relationship Id="rId14" Type="http://schemas.openxmlformats.org/officeDocument/2006/relationships/hyperlink" Target="http://www.sec.gov/cgi-bin/browse-edgar?action=getcompany&amp;CIK=00016888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2020-07-07T18:11:54Z</dcterms:created>
  <dcterms:modified xsi:type="dcterms:W3CDTF">2020-07-07T18:11:54Z</dcterms:modified>
</cp:coreProperties>
</file>