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10300"/>
          </w:cols>
          <w:pgMar w:left="580" w:top="198" w:right="1019" w:bottom="1440" w:gutter="0" w:footer="0" w:header="0"/>
        </w:sectPr>
      </w:pPr>
    </w:p>
    <w:p>
      <w:pPr>
        <w:spacing w:after="0" w:line="200" w:lineRule="exact"/>
        <w:rPr>
          <w:sz w:val="24"/>
          <w:szCs w:val="24"/>
          <w:color w:val="auto"/>
        </w:rPr>
      </w:pPr>
    </w:p>
    <w:p>
      <w:pPr>
        <w:spacing w:after="0" w:line="312" w:lineRule="exact"/>
        <w:rPr>
          <w:sz w:val="24"/>
          <w:szCs w:val="24"/>
          <w:color w:val="auto"/>
        </w:rPr>
      </w:pPr>
    </w:p>
    <w:tbl>
      <w:tblPr>
        <w:tblLayout w:type="fixed"/>
        <w:tblInd w:w="440" w:type="dxa"/>
        <w:tblCellMar>
          <w:top w:w="0" w:type="dxa"/>
          <w:left w:w="0" w:type="dxa"/>
          <w:bottom w:w="0" w:type="dxa"/>
          <w:right w:w="0" w:type="dxa"/>
        </w:tblCellMar>
      </w:tblPr>
      <w:tr>
        <w:trPr>
          <w:trHeight w:val="616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This preliminary prospectus supplement and the accompanying prospectus are not an offer</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where the offer or sale is not permitted solicitation of an offer to buy, the securities in any</w:t>
            </w:r>
          </w:p>
        </w:tc>
      </w:tr>
      <w:tr>
        <w:trPr>
          <w:trHeight w:val="239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 may be changed.</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these securities in any jurisdiction</w:t>
            </w:r>
          </w:p>
        </w:tc>
      </w:tr>
      <w:tr>
        <w:trPr>
          <w:trHeight w:val="414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supplement is</w:t>
            </w:r>
          </w:p>
        </w:tc>
        <w:tc>
          <w:tcPr>
            <w:tcW w:w="300" w:type="dxa"/>
            <w:vAlign w:val="bottom"/>
            <w:textDirection w:val="btLr"/>
          </w:tcPr>
          <w:p>
            <w:pPr>
              <w:ind w:left="174"/>
              <w:spacing w:after="0"/>
              <w:rPr>
                <w:sz w:val="20"/>
                <w:szCs w:val="20"/>
                <w:color w:val="auto"/>
              </w:rPr>
            </w:pPr>
            <w:r>
              <w:rPr>
                <w:rFonts w:ascii="Arial" w:cs="Arial" w:eastAsia="Arial" w:hAnsi="Arial"/>
                <w:sz w:val="11"/>
                <w:szCs w:val="11"/>
                <w:b w:val="1"/>
                <w:bCs w:val="1"/>
                <w:color w:val="FC0014"/>
                <w:w w:val="73"/>
              </w:rPr>
              <w:t>to sell these securities and are not soliciting an offer to buyjurisdictionwheretheofferorsaleisnotpermitted.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8"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 Filed Pursuant to Rule 424B5​</w:t>
      </w:r>
    </w:p>
    <w:p>
      <w:pPr>
        <w:jc w:val="right"/>
        <w:ind w:right="20"/>
        <w:spacing w:after="0"/>
        <w:rPr>
          <w:sz w:val="20"/>
          <w:szCs w:val="20"/>
          <w:color w:val="auto"/>
        </w:rPr>
      </w:pPr>
      <w:r>
        <w:rPr>
          <w:rFonts w:ascii="Arial" w:cs="Arial" w:eastAsia="Arial" w:hAnsi="Arial"/>
          <w:sz w:val="18"/>
          <w:szCs w:val="18"/>
          <w:b w:val="1"/>
          <w:bCs w:val="1"/>
          <w:color w:val="auto"/>
        </w:rPr>
        <w:t> Registration No. 333-271113​</w:t>
      </w:r>
    </w:p>
    <w:p>
      <w:pPr>
        <w:spacing w:after="0" w:line="24" w:lineRule="exact"/>
        <w:rPr>
          <w:sz w:val="24"/>
          <w:szCs w:val="24"/>
          <w:color w:val="auto"/>
        </w:rPr>
      </w:pPr>
    </w:p>
    <w:p>
      <w:pPr>
        <w:jc w:val="center"/>
        <w:ind w:right="60"/>
        <w:spacing w:after="0"/>
        <w:rPr>
          <w:sz w:val="20"/>
          <w:szCs w:val="20"/>
          <w:color w:val="auto"/>
        </w:rPr>
      </w:pPr>
      <w:r>
        <w:rPr>
          <w:rFonts w:ascii="Arial" w:cs="Arial" w:eastAsia="Arial" w:hAnsi="Arial"/>
          <w:sz w:val="17"/>
          <w:szCs w:val="17"/>
          <w:b w:val="1"/>
          <w:bCs w:val="1"/>
          <w:color w:val="FC0014"/>
        </w:rPr>
        <w:t>Subject to completion</w:t>
      </w:r>
    </w:p>
    <w:p>
      <w:pPr>
        <w:jc w:val="center"/>
        <w:ind w:right="60"/>
        <w:spacing w:after="0"/>
        <w:rPr>
          <w:sz w:val="20"/>
          <w:szCs w:val="20"/>
          <w:color w:val="auto"/>
        </w:rPr>
      </w:pPr>
      <w:r>
        <w:rPr>
          <w:rFonts w:ascii="Arial" w:cs="Arial" w:eastAsia="Arial" w:hAnsi="Arial"/>
          <w:sz w:val="17"/>
          <w:szCs w:val="17"/>
          <w:b w:val="1"/>
          <w:bCs w:val="1"/>
          <w:color w:val="FC0014"/>
        </w:rPr>
        <w:t>Preliminary Prospectus Supplement dated August 7, 2023</w:t>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April 4, 2023)</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6,500,000 SHARES</w:t>
      </w:r>
    </w:p>
    <w:p>
      <w:pPr>
        <w:spacing w:after="0" w:line="180"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SAFEHOLD INC.</w:t>
      </w:r>
    </w:p>
    <w:p>
      <w:pPr>
        <w:spacing w:after="0" w:line="204"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106045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5" w:lineRule="exact"/>
        <w:rPr>
          <w:sz w:val="24"/>
          <w:szCs w:val="24"/>
          <w:color w:val="auto"/>
        </w:rPr>
      </w:pPr>
    </w:p>
    <w:p>
      <w:pPr>
        <w:ind w:right="80" w:firstLine="360"/>
        <w:spacing w:after="0" w:line="225" w:lineRule="auto"/>
        <w:rPr>
          <w:sz w:val="20"/>
          <w:szCs w:val="20"/>
          <w:color w:val="auto"/>
        </w:rPr>
      </w:pPr>
      <w:r>
        <w:rPr>
          <w:rFonts w:ascii="Arial" w:cs="Arial" w:eastAsia="Arial" w:hAnsi="Arial"/>
          <w:sz w:val="18"/>
          <w:szCs w:val="18"/>
          <w:color w:val="auto"/>
        </w:rPr>
        <w:t>We are offering 6,500,000 shares of our common stock, $0.01 par value per share (our “common stock”). Our common stock is listed on The New York Stock Exchange, or NYSE, under the symbol “SAFE.” On August 4, 2023, the last sale price of our common stock as reported on the NYSE was $22.78 per share. Concurrently with the completion of this offering, we expect to sell, subject to customary closing conditions, to certain affiliates of MSD Partners, L.P., a Delaware limited partnership (“MSD Partners”), in a private placement, or the concurrent MSD placement, at the offering price a number of shares of common stock equal to approximately 8.5% of the total number of shares of common stock sold in this offering, subject to a cap of 639,656 shares of common stock due to current limitations under NYSE rules and regulations.</w:t>
      </w:r>
    </w:p>
    <w:p>
      <w:pPr>
        <w:spacing w:after="0" w:line="27" w:lineRule="exact"/>
        <w:rPr>
          <w:sz w:val="24"/>
          <w:szCs w:val="24"/>
          <w:color w:val="auto"/>
        </w:rPr>
      </w:pPr>
    </w:p>
    <w:p>
      <w:pPr>
        <w:ind w:right="100" w:firstLine="360"/>
        <w:spacing w:after="0" w:line="227" w:lineRule="auto"/>
        <w:rPr>
          <w:sz w:val="20"/>
          <w:szCs w:val="20"/>
          <w:color w:val="auto"/>
        </w:rPr>
      </w:pPr>
      <w:r>
        <w:rPr>
          <w:rFonts w:ascii="Arial" w:cs="Arial" w:eastAsia="Arial" w:hAnsi="Arial"/>
          <w:sz w:val="18"/>
          <w:szCs w:val="18"/>
          <w:color w:val="auto"/>
        </w:rPr>
        <w:t>We have elected to be taxed as a real estate investment trust, or REIT, for U.S. federal income tax purposes, commencing with our taxable year ended December 31, 1998. Shares of our common stock are, with certain exceptions, subject to a 9.8% ownership limitation to, among other things, assist us in qualifying and maintaining our qualification as a REIT. In addition, our charter contains various other restrictions on the ownership and transfer of shares of our common stock. See “Description of Capital Stock — Common Stock — Restrictions on Ownership and Transfer” in the accompanying prospectus.</w:t>
      </w:r>
    </w:p>
    <w:p>
      <w:pPr>
        <w:spacing w:after="0" w:line="27" w:lineRule="exact"/>
        <w:rPr>
          <w:sz w:val="24"/>
          <w:szCs w:val="24"/>
          <w:color w:val="auto"/>
        </w:rPr>
      </w:pPr>
    </w:p>
    <w:p>
      <w:pPr>
        <w:ind w:right="80" w:firstLine="360"/>
        <w:spacing w:after="0" w:line="225" w:lineRule="auto"/>
        <w:rPr>
          <w:sz w:val="20"/>
          <w:szCs w:val="20"/>
          <w:color w:val="auto"/>
        </w:rPr>
      </w:pPr>
      <w:r>
        <w:rPr>
          <w:rFonts w:ascii="Arial" w:cs="Arial" w:eastAsia="Arial" w:hAnsi="Arial"/>
          <w:sz w:val="18"/>
          <w:szCs w:val="18"/>
          <w:color w:val="auto"/>
        </w:rPr>
        <w:t>Our Chairman and Chief Executive Officer, Jay Sugarman, our President and Chief Investment Officer, Marcos Alvarado, and our Chief Financial Officer, Brett Asnas, have, severally and not jointly, indicated an interest to purchase, in the aggregate, up to $2.04 million of shares of common stock in this offering at the public offering price. Because this indication of interest is not a binding agreement or commitment to purchase, such individuals may decide to purchase more, less or no shares of our common stock, or the underwriters may decide to sell more, less or no shares of our common stock in this offering to such individuals. The underwriters will receive the same underwriting discount from any shares of our common stock sold to such individuals as they will from any other shares of common stock sold to the public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77470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6" w:lineRule="exact"/>
        <w:rPr>
          <w:sz w:val="24"/>
          <w:szCs w:val="24"/>
          <w:color w:val="auto"/>
        </w:rPr>
      </w:pPr>
    </w:p>
    <w:p>
      <w:pPr>
        <w:ind w:right="220" w:firstLine="360"/>
        <w:spacing w:after="0" w:line="236" w:lineRule="auto"/>
        <w:rPr>
          <w:sz w:val="20"/>
          <w:szCs w:val="20"/>
          <w:color w:val="auto"/>
        </w:rPr>
      </w:pPr>
      <w:r>
        <w:rPr>
          <w:rFonts w:ascii="Arial" w:cs="Arial" w:eastAsia="Arial" w:hAnsi="Arial"/>
          <w:sz w:val="18"/>
          <w:szCs w:val="18"/>
          <w:b w:val="1"/>
          <w:bCs w:val="1"/>
          <w:color w:val="auto"/>
        </w:rPr>
        <w:t xml:space="preserve">Investing in our common stock involves a high degree of risk. See “Risk Factors” beginning on page </w:t>
      </w:r>
      <w:r>
        <w:rPr>
          <w:rFonts w:ascii="Arial" w:cs="Arial" w:eastAsia="Arial" w:hAnsi="Arial"/>
          <w:sz w:val="18"/>
          <w:szCs w:val="18"/>
          <w:b w:val="1"/>
          <w:bCs w:val="1"/>
          <w:u w:val="single" w:color="auto"/>
          <w:color w:val="0000EE"/>
        </w:rPr>
        <w:t>S-7</w:t>
      </w:r>
      <w:r>
        <w:rPr>
          <w:rFonts w:ascii="Arial" w:cs="Arial" w:eastAsia="Arial" w:hAnsi="Arial"/>
          <w:sz w:val="18"/>
          <w:szCs w:val="18"/>
          <w:b w:val="1"/>
          <w:bCs w:val="1"/>
          <w:color w:val="auto"/>
        </w:rPr>
        <w:t xml:space="preserve"> of this prospectus supplement and the information set forth in our filings under the Securities Exchange Act of 1934, as amended, that are incorporated herein by reference.</w:t>
      </w:r>
    </w:p>
    <w:p>
      <w:pPr>
        <w:spacing w:after="0" w:line="30" w:lineRule="exact"/>
        <w:rPr>
          <w:sz w:val="24"/>
          <w:szCs w:val="24"/>
          <w:color w:val="auto"/>
        </w:rPr>
      </w:pPr>
    </w:p>
    <w:tbl>
      <w:tblPr>
        <w:tblLayout w:type="fixed"/>
        <w:tblInd w:w="360" w:type="dxa"/>
        <w:tblCellMar>
          <w:top w:w="0" w:type="dxa"/>
          <w:left w:w="0" w:type="dxa"/>
          <w:bottom w:w="0" w:type="dxa"/>
          <w:right w:w="0" w:type="dxa"/>
        </w:tblCellMar>
      </w:tblPr>
      <w:tr>
        <w:trPr>
          <w:trHeight w:val="364"/>
        </w:trPr>
        <w:tc>
          <w:tcPr>
            <w:tcW w:w="4660" w:type="dxa"/>
            <w:vAlign w:val="bottom"/>
          </w:tcPr>
          <w:p>
            <w:pPr>
              <w:spacing w:after="0"/>
              <w:rPr>
                <w:sz w:val="20"/>
                <w:szCs w:val="20"/>
                <w:color w:val="auto"/>
              </w:rPr>
            </w:pPr>
            <w:r>
              <w:rPr>
                <w:rFonts w:ascii="Arial" w:cs="Arial" w:eastAsia="Arial" w:hAnsi="Arial"/>
                <w:sz w:val="14"/>
                <w:szCs w:val="14"/>
                <w:b w:val="1"/>
                <w:bCs w:val="1"/>
                <w:color w:val="auto"/>
              </w:rPr>
              <w:t>​</w:t>
            </w:r>
          </w:p>
        </w:tc>
        <w:tc>
          <w:tcPr>
            <w:tcW w:w="2900" w:type="dxa"/>
            <w:vAlign w:val="bottom"/>
            <w:gridSpan w:val="2"/>
          </w:tcPr>
          <w:p>
            <w:pPr>
              <w:ind w:left="208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Per share</w:t>
            </w:r>
          </w:p>
        </w:tc>
        <w:tc>
          <w:tcPr>
            <w:tcW w:w="34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28"/>
                <w:szCs w:val="28"/>
                <w:b w:val="1"/>
                <w:bCs w:val="1"/>
                <w:color w:val="auto"/>
                <w:vertAlign w:val="subscript"/>
              </w:rPr>
              <w:t>​</w:t>
            </w:r>
          </w:p>
        </w:tc>
      </w:tr>
      <w:tr>
        <w:trPr>
          <w:trHeight w:val="20"/>
        </w:trPr>
        <w:tc>
          <w:tcPr>
            <w:tcW w:w="4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9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Underwriting discount</w:t>
            </w:r>
            <w:r>
              <w:rPr>
                <w:rFonts w:ascii="Arial" w:cs="Arial" w:eastAsia="Arial" w:hAnsi="Arial"/>
                <w:sz w:val="23"/>
                <w:szCs w:val="23"/>
                <w:color w:val="auto"/>
                <w:vertAlign w:val="superscript"/>
              </w:rPr>
              <w:t>(1)</w:t>
            </w:r>
          </w:p>
        </w:tc>
        <w:tc>
          <w:tcPr>
            <w:tcW w:w="2900" w:type="dxa"/>
            <w:vAlign w:val="bottom"/>
            <w:gridSpan w:val="2"/>
          </w:tcPr>
          <w:p>
            <w:pPr>
              <w:ind w:left="2080"/>
              <w:spacing w:after="0"/>
              <w:rPr>
                <w:sz w:val="20"/>
                <w:szCs w:val="20"/>
                <w:color w:val="auto"/>
              </w:rPr>
            </w:pPr>
            <w:r>
              <w:rPr>
                <w:rFonts w:ascii="Arial" w:cs="Arial" w:eastAsia="Arial" w:hAnsi="Arial"/>
                <w:sz w:val="18"/>
                <w:szCs w:val="18"/>
                <w:color w:val="auto"/>
              </w:rPr>
              <w:t>​ ​​$</w:t>
            </w:r>
          </w:p>
        </w:tc>
        <w:tc>
          <w:tcPr>
            <w:tcW w:w="340" w:type="dxa"/>
            <w:vAlign w:val="bottom"/>
            <w:gridSpan w:val="2"/>
          </w:tcPr>
          <w:p>
            <w:pPr>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8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r>
              <w:rPr>
                <w:rFonts w:ascii="Arial" w:cs="Arial" w:eastAsia="Arial" w:hAnsi="Arial"/>
                <w:sz w:val="23"/>
                <w:szCs w:val="23"/>
                <w:color w:val="auto"/>
                <w:vertAlign w:val="superscript"/>
              </w:rPr>
              <w:t>(2)</w:t>
            </w:r>
          </w:p>
        </w:tc>
        <w:tc>
          <w:tcPr>
            <w:tcW w:w="29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-693420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137160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3" w:lineRule="exact"/>
        <w:rPr>
          <w:sz w:val="24"/>
          <w:szCs w:val="24"/>
          <w:color w:val="auto"/>
        </w:rPr>
      </w:pPr>
    </w:p>
    <w:p>
      <w:pPr>
        <w:jc w:val="both"/>
        <w:ind w:left="360" w:right="300" w:hanging="360"/>
        <w:spacing w:after="0" w:line="248"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underwriting discount will be payable with respect to the concurrent MSD placement, however we expect to pay an advisory fee of $    per share, or a total of $     to an affiliate of the purchasers in the concurrent MSD placement. See “Underwriting — Commissions and Discounts.”</w:t>
      </w:r>
    </w:p>
    <w:p>
      <w:pPr>
        <w:spacing w:after="0" w:line="19" w:lineRule="exact"/>
        <w:rPr>
          <w:rFonts w:ascii="Arial" w:cs="Arial" w:eastAsia="Arial" w:hAnsi="Arial"/>
          <w:sz w:val="18"/>
          <w:szCs w:val="18"/>
          <w:color w:val="auto"/>
        </w:rPr>
      </w:pPr>
    </w:p>
    <w:p>
      <w:pPr>
        <w:ind w:left="360" w:right="980" w:hanging="360"/>
        <w:spacing w:after="0" w:line="261"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expenses in connection with this offering. See “Underwriting.”</w:t>
      </w:r>
    </w:p>
    <w:p>
      <w:pPr>
        <w:spacing w:after="0" w:line="22" w:lineRule="exact"/>
        <w:rPr>
          <w:sz w:val="24"/>
          <w:szCs w:val="24"/>
          <w:color w:val="auto"/>
        </w:rPr>
      </w:pPr>
    </w:p>
    <w:p>
      <w:pPr>
        <w:ind w:right="260" w:firstLine="360"/>
        <w:spacing w:after="0" w:line="246" w:lineRule="auto"/>
        <w:rPr>
          <w:sz w:val="20"/>
          <w:szCs w:val="20"/>
          <w:color w:val="auto"/>
        </w:rPr>
      </w:pPr>
      <w:r>
        <w:rPr>
          <w:rFonts w:ascii="Arial" w:cs="Arial" w:eastAsia="Arial" w:hAnsi="Arial"/>
          <w:sz w:val="18"/>
          <w:szCs w:val="18"/>
          <w:color w:val="auto"/>
        </w:rPr>
        <w:t>We have granted the underwriters the option to purchase up to an additional 975,000 shares of our common stock for 30 days after the date of this prospectus supplement.</w:t>
      </w:r>
    </w:p>
    <w:p>
      <w:pPr>
        <w:spacing w:after="0" w:line="17" w:lineRule="exact"/>
        <w:rPr>
          <w:sz w:val="24"/>
          <w:szCs w:val="24"/>
          <w:color w:val="auto"/>
        </w:rPr>
      </w:pPr>
    </w:p>
    <w:p>
      <w:pPr>
        <w:ind w:right="280" w:firstLine="360"/>
        <w:spacing w:after="0" w:line="255" w:lineRule="auto"/>
        <w:rPr>
          <w:sz w:val="20"/>
          <w:szCs w:val="20"/>
          <w:color w:val="auto"/>
        </w:rPr>
      </w:pPr>
      <w:r>
        <w:rPr>
          <w:rFonts w:ascii="Arial" w:cs="Arial" w:eastAsia="Arial" w:hAnsi="Arial"/>
          <w:sz w:val="17"/>
          <w:szCs w:val="17"/>
          <w:b w:val="1"/>
          <w:bCs w:val="1"/>
          <w:color w:val="auto"/>
        </w:rPr>
        <w:t>Neither the Securities and Exchange Commission nor any state or other securities commission has approved or disapproved of these securities or determined if this prospectus supplement or the accompanying prospectus is truthful or complete. Any representation to the contrary is a criminal offense.</w:t>
      </w:r>
    </w:p>
    <w:p>
      <w:pPr>
        <w:spacing w:after="0" w:line="2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underwriters expect to deliver the shares of our common stock on or about August   ,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92075</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8" w:lineRule="exact"/>
        <w:rPr>
          <w:sz w:val="24"/>
          <w:szCs w:val="24"/>
          <w:color w:val="auto"/>
        </w:rPr>
      </w:pPr>
    </w:p>
    <w:p>
      <w:pPr>
        <w:spacing w:after="0"/>
        <w:tabs>
          <w:tab w:leader="none" w:pos="2240" w:val="left"/>
          <w:tab w:leader="none" w:pos="5460" w:val="left"/>
        </w:tabs>
        <w:rPr>
          <w:sz w:val="20"/>
          <w:szCs w:val="20"/>
          <w:color w:val="auto"/>
        </w:rPr>
      </w:pPr>
      <w:r>
        <w:rPr>
          <w:rFonts w:ascii="Arial" w:cs="Arial" w:eastAsia="Arial" w:hAnsi="Arial"/>
          <w:sz w:val="25"/>
          <w:szCs w:val="25"/>
          <w:color w:val="auto"/>
        </w:rPr>
        <w:t>​</w:t>
      </w:r>
      <w:r>
        <w:rPr>
          <w:rFonts w:ascii="Arial" w:cs="Arial" w:eastAsia="Arial" w:hAnsi="Arial"/>
          <w:sz w:val="25"/>
          <w:szCs w:val="25"/>
          <w:b w:val="1"/>
          <w:bCs w:val="1"/>
          <w:color w:val="auto"/>
        </w:rPr>
        <w:t>BofA Securities</w:t>
      </w:r>
      <w:r>
        <w:rPr>
          <w:rFonts w:ascii="Arial" w:cs="Arial" w:eastAsia="Arial" w:hAnsi="Arial"/>
          <w:sz w:val="25"/>
          <w:szCs w:val="25"/>
          <w:color w:val="auto"/>
        </w:rPr>
        <w:t xml:space="preserve">  ​</w:t>
      </w:r>
      <w:r>
        <w:rPr>
          <w:sz w:val="20"/>
          <w:szCs w:val="20"/>
          <w:color w:val="auto"/>
        </w:rPr>
        <w:tab/>
      </w: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4"/>
          <w:szCs w:val="24"/>
          <w:color w:val="auto"/>
        </w:rPr>
        <w:t xml:space="preserve">​ ​ </w:t>
      </w:r>
      <w:r>
        <w:rPr>
          <w:rFonts w:ascii="Arial" w:cs="Arial" w:eastAsia="Arial" w:hAnsi="Arial"/>
          <w:sz w:val="24"/>
          <w:szCs w:val="24"/>
          <w:b w:val="1"/>
          <w:bCs w:val="1"/>
          <w:color w:val="auto"/>
        </w:rPr>
        <w:t>J.P. Morgan</w:t>
      </w:r>
      <w:r>
        <w:rPr>
          <w:rFonts w:ascii="Arial" w:cs="Arial" w:eastAsia="Arial" w:hAnsi="Arial"/>
          <w:sz w:val="24"/>
          <w:szCs w:val="24"/>
          <w:color w:val="auto"/>
        </w:rPr>
        <w:t xml:space="preserve">  ​ ​ </w:t>
      </w:r>
      <w:r>
        <w:rPr>
          <w:rFonts w:ascii="Arial" w:cs="Arial" w:eastAsia="Arial" w:hAnsi="Arial"/>
          <w:sz w:val="24"/>
          <w:szCs w:val="24"/>
          <w:b w:val="1"/>
          <w:bCs w:val="1"/>
          <w:color w:val="auto"/>
        </w:rPr>
        <w:t>Morgan Stanley</w:t>
      </w:r>
      <w:r>
        <w:rPr>
          <w:rFonts w:ascii="Arial" w:cs="Arial" w:eastAsia="Arial" w:hAnsi="Arial"/>
          <w:sz w:val="24"/>
          <w:szCs w:val="24"/>
          <w:color w:val="auto"/>
        </w:rPr>
        <w:t>​</w:t>
      </w:r>
    </w:p>
    <w:p>
      <w:pPr>
        <w:spacing w:after="0" w:line="205" w:lineRule="exact"/>
        <w:rPr>
          <w:sz w:val="24"/>
          <w:szCs w:val="24"/>
          <w:color w:val="auto"/>
        </w:rPr>
      </w:pPr>
    </w:p>
    <w:p>
      <w:pPr>
        <w:sectPr>
          <w:pgSz w:w="11900" w:h="16838" w:orient="portrait"/>
          <w:cols w:equalWidth="0" w:num="2">
            <w:col w:w="900" w:space="240"/>
            <w:col w:w="9160"/>
          </w:cols>
          <w:pgMar w:left="580" w:top="198" w:right="1019" w:bottom="1440" w:gutter="0" w:footer="0" w:header="0"/>
          <w:type w:val="continuous"/>
        </w:sectPr>
      </w:pPr>
    </w:p>
    <w:p>
      <w:pPr>
        <w:spacing w:after="0" w:line="15"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The date of this prospectus supplement is August   ,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67945</wp:posOffset>
            </wp:positionV>
            <wp:extent cx="68065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300"/>
          </w:cols>
          <w:pgMar w:left="580" w:top="198" w:right="10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Table</w:t>
      </w:r>
      <w:r>
        <w:rPr>
          <w:rFonts w:ascii="Arial" w:cs="Arial" w:eastAsia="Arial" w:hAnsi="Arial"/>
          <w:sz w:val="18"/>
          <w:szCs w:val="18"/>
          <w:color w:val="000000"/>
        </w:rPr>
        <w:t>​</w:t>
      </w:r>
      <w:r>
        <w:rPr>
          <w:rFonts w:ascii="Arial" w:cs="Arial" w:eastAsia="Arial" w:hAnsi="Arial"/>
          <w:sz w:val="18"/>
          <w:szCs w:val="18"/>
          <w:color w:val="0000EE"/>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-113030</wp:posOffset>
            </wp:positionV>
            <wp:extent cx="521208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Cautionary</w:t>
      </w:r>
      <w:r>
        <w:rPr>
          <w:rFonts w:ascii="Arial" w:cs="Arial" w:eastAsia="Arial" w:hAnsi="Arial"/>
          <w:sz w:val="18"/>
          <w:szCs w:val="18"/>
          <w:color w:val="000000"/>
        </w:rPr>
        <w:t>​</w:t>
      </w:r>
      <w:r>
        <w:rPr>
          <w:rFonts w:ascii="Arial" w:cs="Arial" w:eastAsia="Arial" w:hAnsi="Arial"/>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Prospectus</w:t>
      </w:r>
      <w:r>
        <w:rPr>
          <w:rFonts w:ascii="Arial" w:cs="Arial" w:eastAsia="Arial" w:hAnsi="Arial"/>
          <w:sz w:val="18"/>
          <w:szCs w:val="18"/>
          <w:color w:val="000000"/>
        </w:rPr>
        <w:t>​</w:t>
      </w:r>
      <w:r>
        <w:rPr>
          <w:rFonts w:ascii="Arial" w:cs="Arial" w:eastAsia="Arial" w:hAnsi="Arial"/>
          <w:sz w:val="18"/>
          <w:szCs w:val="18"/>
          <w:color w:val="0000EE"/>
        </w:rPr>
        <w:t xml:space="preserve"> Supplement Summary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The</w:t>
      </w:r>
      <w:r>
        <w:rPr>
          <w:rFonts w:ascii="Arial" w:cs="Arial" w:eastAsia="Arial" w:hAnsi="Arial"/>
          <w:sz w:val="18"/>
          <w:szCs w:val="18"/>
          <w:color w:val="000000"/>
        </w:rPr>
        <w:t>​</w:t>
      </w:r>
      <w:r>
        <w:rPr>
          <w:rFonts w:ascii="Arial" w:cs="Arial" w:eastAsia="Arial" w:hAnsi="Arial"/>
          <w:sz w:val="18"/>
          <w:szCs w:val="18"/>
          <w:color w:val="0000EE"/>
        </w:rPr>
        <w:t xml:space="preserv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Risk</w:t>
      </w:r>
      <w:r>
        <w:rPr>
          <w:rFonts w:ascii="Arial" w:cs="Arial" w:eastAsia="Arial" w:hAnsi="Arial"/>
          <w:sz w:val="18"/>
          <w:szCs w:val="18"/>
          <w:color w:val="000000"/>
        </w:rPr>
        <w:t>​</w:t>
      </w:r>
      <w:r>
        <w:rPr>
          <w:rFonts w:ascii="Arial" w:cs="Arial" w:eastAsia="Arial" w:hAnsi="Arial"/>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Use</w:t>
      </w:r>
      <w:r>
        <w:rPr>
          <w:rFonts w:ascii="Arial" w:cs="Arial" w:eastAsia="Arial" w:hAnsi="Arial"/>
          <w:sz w:val="18"/>
          <w:szCs w:val="18"/>
          <w:color w:val="000000"/>
        </w:rPr>
        <w:t>​</w:t>
      </w:r>
      <w:r>
        <w:rPr>
          <w:rFonts w:ascii="Arial" w:cs="Arial" w:eastAsia="Arial" w:hAnsi="Arial"/>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Underwriting</w:t>
      </w:r>
      <w:r>
        <w:rPr>
          <w:rFonts w:ascii="Arial" w:cs="Arial" w:eastAsia="Arial" w:hAnsi="Arial"/>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Where</w:t>
      </w:r>
      <w:r>
        <w:rPr>
          <w:rFonts w:ascii="Arial" w:cs="Arial" w:eastAsia="Arial" w:hAnsi="Arial"/>
          <w:sz w:val="18"/>
          <w:szCs w:val="18"/>
          <w:color w:val="000000"/>
        </w:rPr>
        <w:t>​</w:t>
      </w:r>
      <w:r>
        <w:rPr>
          <w:rFonts w:ascii="Arial" w:cs="Arial" w:eastAsia="Arial" w:hAnsi="Arial"/>
          <w:sz w:val="18"/>
          <w:szCs w:val="18"/>
          <w:color w:val="0000EE"/>
        </w:rPr>
        <w:t xml:space="preserve"> You Can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Incorporation</w:t>
      </w:r>
      <w:r>
        <w:rPr>
          <w:rFonts w:ascii="Arial" w:cs="Arial" w:eastAsia="Arial" w:hAnsi="Arial"/>
          <w:sz w:val="18"/>
          <w:szCs w:val="18"/>
          <w:color w:val="000000"/>
        </w:rPr>
        <w:t>​</w:t>
      </w:r>
      <w:r>
        <w:rPr>
          <w:rFonts w:ascii="Arial" w:cs="Arial" w:eastAsia="Arial" w:hAnsi="Arial"/>
          <w:sz w:val="18"/>
          <w:szCs w:val="18"/>
          <w:color w:val="0000EE"/>
        </w:rPr>
        <w:t xml:space="preserve"> of Certain Documents by Reference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Legal</w:t>
      </w:r>
      <w:r>
        <w:rPr>
          <w:rFonts w:ascii="Arial" w:cs="Arial" w:eastAsia="Arial" w:hAnsi="Arial"/>
          <w:sz w:val="18"/>
          <w:szCs w:val="18"/>
          <w:color w:val="000000"/>
        </w:rPr>
        <w:t>​</w:t>
      </w:r>
      <w:r>
        <w:rPr>
          <w:rFonts w:ascii="Arial" w:cs="Arial" w:eastAsia="Arial" w:hAnsi="Arial"/>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r>
        <w:rPr>
          <w:rFonts w:ascii="Arial" w:cs="Arial" w:eastAsia="Arial" w:hAnsi="Arial"/>
          <w:sz w:val="18"/>
          <w:szCs w:val="18"/>
          <w:color w:val="000000"/>
        </w:rPr>
        <w: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ABOUT</w:t>
      </w:r>
      <w:r>
        <w:rPr>
          <w:rFonts w:ascii="Arial" w:cs="Arial" w:eastAsia="Arial" w:hAnsi="Arial"/>
          <w:sz w:val="18"/>
          <w:szCs w:val="18"/>
          <w:color w:val="000000"/>
        </w:rPr>
        <w:t>​</w:t>
      </w:r>
      <w:r>
        <w:rPr>
          <w:rFonts w:ascii="Arial" w:cs="Arial" w:eastAsia="Arial" w:hAnsi="Arial"/>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WHERE</w:t>
      </w:r>
      <w:r>
        <w:rPr>
          <w:rFonts w:ascii="Arial" w:cs="Arial" w:eastAsia="Arial" w:hAnsi="Arial"/>
          <w:sz w:val="18"/>
          <w:szCs w:val="18"/>
          <w:color w:val="000000"/>
        </w:rPr>
        <w:t>​</w:t>
      </w:r>
      <w:r>
        <w:rPr>
          <w:rFonts w:ascii="Arial" w:cs="Arial" w:eastAsia="Arial" w:hAnsi="Arial"/>
          <w:sz w:val="18"/>
          <w:szCs w:val="18"/>
          <w:color w:val="0000EE"/>
        </w:rPr>
        <w:t xml:space="preserve"> YOU CAN FIND MORE INFORMATION; INCORPORATION BY REFERENCE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THE</w:t>
      </w:r>
      <w:r>
        <w:rPr>
          <w:rFonts w:ascii="Arial" w:cs="Arial" w:eastAsia="Arial" w:hAnsi="Arial"/>
          <w:sz w:val="18"/>
          <w:szCs w:val="18"/>
          <w:color w:val="000000"/>
        </w:rPr>
        <w:t>​</w:t>
      </w:r>
      <w:r>
        <w:rPr>
          <w:rFonts w:ascii="Arial" w:cs="Arial" w:eastAsia="Arial" w:hAnsi="Arial"/>
          <w:sz w:val="18"/>
          <w:szCs w:val="18"/>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RISK</w:t>
      </w:r>
      <w:r>
        <w:rPr>
          <w:rFonts w:ascii="Arial" w:cs="Arial" w:eastAsia="Arial" w:hAnsi="Arial"/>
          <w:sz w:val="18"/>
          <w:szCs w:val="18"/>
          <w:color w:val="000000"/>
        </w:rPr>
        <w:t>​</w:t>
      </w:r>
      <w:r>
        <w:rPr>
          <w:rFonts w:ascii="Arial" w:cs="Arial" w:eastAsia="Arial" w:hAnsi="Arial"/>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GUARANTOR</w:t>
      </w:r>
      <w:r>
        <w:rPr>
          <w:rFonts w:ascii="Arial" w:cs="Arial" w:eastAsia="Arial" w:hAnsi="Arial"/>
          <w:sz w:val="18"/>
          <w:szCs w:val="18"/>
          <w:color w:val="000000"/>
        </w:rPr>
        <w:t>​</w:t>
      </w:r>
      <w:r>
        <w:rPr>
          <w:rFonts w:ascii="Arial" w:cs="Arial" w:eastAsia="Arial" w:hAnsi="Arial"/>
          <w:sz w:val="18"/>
          <w:szCs w:val="18"/>
          <w:color w:val="0000EE"/>
        </w:rPr>
        <w:t xml:space="preser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USE</w:t>
      </w:r>
      <w:r>
        <w:rPr>
          <w:rFonts w:ascii="Arial" w:cs="Arial" w:eastAsia="Arial" w:hAnsi="Arial"/>
          <w:sz w:val="18"/>
          <w:szCs w:val="18"/>
          <w:color w:val="000000"/>
        </w:rPr>
        <w:t>​</w:t>
      </w:r>
      <w:r>
        <w:rPr>
          <w:rFonts w:ascii="Arial" w:cs="Arial" w:eastAsia="Arial" w:hAnsi="Arial"/>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DEBT SECURITIES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GLOBAL</w:t>
      </w:r>
      <w:r>
        <w:rPr>
          <w:rFonts w:ascii="Arial" w:cs="Arial" w:eastAsia="Arial" w:hAnsi="Arial"/>
          <w:sz w:val="18"/>
          <w:szCs w:val="18"/>
          <w:color w:val="000000"/>
        </w:rPr>
        <w:t>​</w:t>
      </w:r>
      <w:r>
        <w:rPr>
          <w:rFonts w:ascii="Arial" w:cs="Arial" w:eastAsia="Arial" w:hAnsi="Arial"/>
          <w:sz w:val="18"/>
          <w:szCs w:val="18"/>
          <w:color w:val="0000EE"/>
        </w:rPr>
        <w:t xml:space="preserve"> SECURITIES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SELLING</w:t>
      </w:r>
      <w:r>
        <w:rPr>
          <w:rFonts w:ascii="Arial" w:cs="Arial" w:eastAsia="Arial" w:hAnsi="Arial"/>
          <w:sz w:val="18"/>
          <w:szCs w:val="18"/>
          <w:color w:val="000000"/>
        </w:rPr>
        <w:t>​</w:t>
      </w:r>
      <w:r>
        <w:rPr>
          <w:rFonts w:ascii="Arial" w:cs="Arial" w:eastAsia="Arial" w:hAnsi="Arial"/>
          <w:sz w:val="18"/>
          <w:szCs w:val="18"/>
          <w:color w:val="0000EE"/>
        </w:rPr>
        <w:t xml:space="preserve">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0000EE"/>
        </w:rPr>
        <w:t>MATERIAL</w:t>
      </w:r>
      <w:r>
        <w:rPr>
          <w:rFonts w:ascii="Arial" w:cs="Arial" w:eastAsia="Arial" w:hAnsi="Arial"/>
          <w:sz w:val="18"/>
          <w:szCs w:val="18"/>
          <w:color w:val="000000"/>
        </w:rPr>
        <w:t>​</w:t>
      </w:r>
      <w:r>
        <w:rPr>
          <w:rFonts w:ascii="Arial" w:cs="Arial" w:eastAsia="Arial" w:hAnsi="Arial"/>
          <w:sz w:val="18"/>
          <w:szCs w:val="18"/>
          <w:color w:val="0000EE"/>
        </w:rPr>
        <w:t xml:space="preserve"> PROVISIONS OF MARYLAND LAW AND OF OUR CHARTER AND BYLAWS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FEDERAL</w:t>
      </w:r>
      <w:r>
        <w:rPr>
          <w:rFonts w:ascii="Arial" w:cs="Arial" w:eastAsia="Arial" w:hAnsi="Arial"/>
          <w:sz w:val="18"/>
          <w:szCs w:val="18"/>
          <w:color w:val="000000"/>
        </w:rPr>
        <w:t>​</w:t>
      </w:r>
      <w:r>
        <w:rPr>
          <w:rFonts w:ascii="Arial" w:cs="Arial" w:eastAsia="Arial" w:hAnsi="Arial"/>
          <w:sz w:val="18"/>
          <w:szCs w:val="18"/>
          <w:color w:val="0000EE"/>
        </w:rPr>
        <w:t xml:space="preserve">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PLAN</w:t>
      </w:r>
      <w:r>
        <w:rPr>
          <w:rFonts w:ascii="Arial" w:cs="Arial" w:eastAsia="Arial" w:hAnsi="Arial"/>
          <w:sz w:val="18"/>
          <w:szCs w:val="18"/>
          <w:color w:val="000000"/>
        </w:rPr>
        <w:t>​</w:t>
      </w:r>
      <w:r>
        <w:rPr>
          <w:rFonts w:ascii="Arial" w:cs="Arial" w:eastAsia="Arial" w:hAnsi="Arial"/>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LEGAL</w:t>
      </w:r>
      <w:r>
        <w:rPr>
          <w:rFonts w:ascii="Arial" w:cs="Arial" w:eastAsia="Arial" w:hAnsi="Arial"/>
          <w:sz w:val="18"/>
          <w:szCs w:val="18"/>
          <w:color w:val="000000"/>
        </w:rPr>
        <w:t>​</w:t>
      </w:r>
      <w:r>
        <w:rPr>
          <w:rFonts w:ascii="Arial" w:cs="Arial" w:eastAsia="Arial" w:hAnsi="Arial"/>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160655</wp:posOffset>
            </wp:positionV>
            <wp:extent cx="123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S-i</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S-iii</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S-1</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S-4</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S-7</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color w:val="0000EE"/>
        </w:rPr>
        <w:t>S</w:t>
      </w:r>
      <w:r>
        <w:rPr>
          <w:rFonts w:ascii="Arial" w:cs="Arial" w:eastAsia="Arial" w:hAnsi="Arial"/>
          <w:sz w:val="18"/>
          <w:szCs w:val="18"/>
          <w:b w:val="1"/>
          <w:bCs w:val="1"/>
          <w:color w:val="auto"/>
        </w:rPr>
        <w:t>​</w:t>
      </w:r>
      <w:r>
        <w:rPr>
          <w:rFonts w:ascii="Arial" w:cs="Arial" w:eastAsia="Arial" w:hAnsi="Arial"/>
          <w:sz w:val="18"/>
          <w:szCs w:val="18"/>
          <w:color w:val="0000EE"/>
        </w:rPr>
        <w:t>-14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-10160</wp:posOffset>
            </wp:positionV>
            <wp:extent cx="2247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479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color w:val="0000EE"/>
        </w:rPr>
        <w:t>S</w:t>
      </w:r>
      <w:r>
        <w:rPr>
          <w:rFonts w:ascii="Arial" w:cs="Arial" w:eastAsia="Arial" w:hAnsi="Arial"/>
          <w:sz w:val="18"/>
          <w:szCs w:val="18"/>
          <w:b w:val="1"/>
          <w:bCs w:val="1"/>
          <w:color w:val="auto"/>
        </w:rPr>
        <w:t>​</w:t>
      </w:r>
      <w:r>
        <w:rPr>
          <w:rFonts w:ascii="Arial" w:cs="Arial" w:eastAsia="Arial" w:hAnsi="Arial"/>
          <w:sz w:val="18"/>
          <w:szCs w:val="18"/>
          <w:color w:val="0000EE"/>
        </w:rPr>
        <w:t>-15</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color w:val="0000EE"/>
        </w:rPr>
        <w:t>S</w:t>
      </w:r>
      <w:r>
        <w:rPr>
          <w:rFonts w:ascii="Arial" w:cs="Arial" w:eastAsia="Arial" w:hAnsi="Arial"/>
          <w:sz w:val="18"/>
          <w:szCs w:val="18"/>
          <w:b w:val="1"/>
          <w:bCs w:val="1"/>
          <w:color w:val="auto"/>
        </w:rPr>
        <w:t>​</w:t>
      </w:r>
      <w:r>
        <w:rPr>
          <w:rFonts w:ascii="Arial" w:cs="Arial" w:eastAsia="Arial" w:hAnsi="Arial"/>
          <w:sz w:val="18"/>
          <w:szCs w:val="18"/>
          <w:color w:val="0000EE"/>
        </w:rPr>
        <w:t>-20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-10160</wp:posOffset>
            </wp:positionV>
            <wp:extent cx="2247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479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color w:val="0000EE"/>
        </w:rPr>
        <w:t>S</w:t>
      </w:r>
      <w:r>
        <w:rPr>
          <w:rFonts w:ascii="Arial" w:cs="Arial" w:eastAsia="Arial" w:hAnsi="Arial"/>
          <w:sz w:val="18"/>
          <w:szCs w:val="18"/>
          <w:b w:val="1"/>
          <w:bCs w:val="1"/>
          <w:color w:val="auto"/>
        </w:rPr>
        <w:t>​</w:t>
      </w:r>
      <w:r>
        <w:rPr>
          <w:rFonts w:ascii="Arial" w:cs="Arial" w:eastAsia="Arial" w:hAnsi="Arial"/>
          <w:sz w:val="18"/>
          <w:szCs w:val="18"/>
          <w:color w:val="0000EE"/>
        </w:rPr>
        <w:t>-20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color w:val="0000EE"/>
        </w:rPr>
        <w:t>S</w:t>
      </w:r>
      <w:r>
        <w:rPr>
          <w:rFonts w:ascii="Arial" w:cs="Arial" w:eastAsia="Arial" w:hAnsi="Arial"/>
          <w:sz w:val="18"/>
          <w:szCs w:val="18"/>
          <w:b w:val="1"/>
          <w:bCs w:val="1"/>
          <w:color w:val="auto"/>
        </w:rPr>
        <w:t>​</w:t>
      </w:r>
      <w:r>
        <w:rPr>
          <w:rFonts w:ascii="Arial" w:cs="Arial" w:eastAsia="Arial" w:hAnsi="Arial"/>
          <w:sz w:val="18"/>
          <w:szCs w:val="18"/>
          <w:color w:val="0000EE"/>
        </w:rPr>
        <w:t>-22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-10160</wp:posOffset>
            </wp:positionV>
            <wp:extent cx="2247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79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color w:val="0000EE"/>
        </w:rPr>
        <w:t>S</w:t>
      </w:r>
      <w:r>
        <w:rPr>
          <w:rFonts w:ascii="Arial" w:cs="Arial" w:eastAsia="Arial" w:hAnsi="Arial"/>
          <w:sz w:val="18"/>
          <w:szCs w:val="18"/>
          <w:b w:val="1"/>
          <w:bCs w:val="1"/>
          <w:color w:val="auto"/>
        </w:rPr>
        <w:t>​</w:t>
      </w:r>
      <w:r>
        <w:rPr>
          <w:rFonts w:ascii="Arial" w:cs="Arial" w:eastAsia="Arial" w:hAnsi="Arial"/>
          <w:sz w:val="18"/>
          <w:szCs w:val="18"/>
          <w:color w:val="0000EE"/>
        </w:rPr>
        <w:t>-22</w:t>
      </w:r>
      <w:r>
        <w:rPr>
          <w:rFonts w:ascii="Arial" w:cs="Arial" w:eastAsia="Arial" w:hAnsi="Arial"/>
          <w:sz w:val="18"/>
          <w:szCs w:val="18"/>
          <w:color w:val="auto"/>
        </w:rPr>
        <w:t>​</w:t>
      </w:r>
    </w:p>
    <w:p>
      <w:pPr>
        <w:spacing w:after="0" w:line="225" w:lineRule="exact"/>
        <w:rPr>
          <w:sz w:val="20"/>
          <w:szCs w:val="20"/>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2</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4</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5</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6</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7</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8</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17</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26</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27</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31</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32</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38</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66</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67</w:t>
      </w:r>
    </w:p>
    <w:p>
      <w:pPr>
        <w:spacing w:after="0" w:line="63" w:lineRule="exact"/>
        <w:rPr>
          <w:rFonts w:ascii="Arial" w:cs="Arial" w:eastAsia="Arial" w:hAnsi="Arial"/>
          <w:sz w:val="18"/>
          <w:szCs w:val="18"/>
          <w:color w:val="auto"/>
        </w:rPr>
      </w:pPr>
    </w:p>
    <w:p>
      <w:pPr>
        <w:ind w:left="260" w:hanging="101"/>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67</w:t>
      </w:r>
    </w:p>
    <w:p>
      <w:pPr>
        <w:spacing w:after="0" w:line="200" w:lineRule="exact"/>
        <w:rPr>
          <w:sz w:val="20"/>
          <w:szCs w:val="20"/>
          <w:color w:val="auto"/>
        </w:rPr>
      </w:pPr>
    </w:p>
    <w:p>
      <w:pPr>
        <w:sectPr>
          <w:pgSz w:w="11900" w:h="16838" w:orient="portrait"/>
          <w:cols w:equalWidth="0" w:num="2">
            <w:col w:w="8500" w:space="460"/>
            <w:col w:w="919"/>
          </w:cols>
          <w:pgMar w:left="580" w:top="90" w:right="1440" w:bottom="1440" w:gutter="0" w:footer="0" w:header="0"/>
        </w:sectPr>
      </w:pPr>
    </w:p>
    <w:p>
      <w:pPr>
        <w:spacing w:after="0" w:line="26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In deciding whether to purchase the common stock, you should rely only on the information contained or incorporated by reference in this prospectus supplement, the accompanying prospectus and any related free writing prospectus. Neither we nor the underwriters have authorized anyone to provide you with additional or different information. If anyone provides you with additional or different information, you should not rely on it.</w:t>
      </w:r>
    </w:p>
    <w:p>
      <w:pPr>
        <w:spacing w:after="0" w:line="120"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You should not assume that the information included or incorporated by reference in this prospectus supplement or the accompanying prospectus is accurate as of any date other than the respective dates of the documents in which the information is contained or such other dates as may be specified therein. Our business, financial condition, results of operations, liquidity and prospects could have changed since those dates.</w:t>
      </w:r>
    </w:p>
    <w:p>
      <w:pPr>
        <w:spacing w:after="0" w:line="120"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You should not consider any information included or incorporated by reference in this prospectus supplement or the accompanying prospectus to be legal, tax or investment advice. You should consult your own counsel, accountant and other advisors for legal, tax, business, financial and related advice regarding any purchase of the common stock. Neither we nor any of the underwriters makes any representation regarding the legality of an investment in the common stock by any person under applicable investment or similar laws.</w:t>
      </w:r>
    </w:p>
    <w:p>
      <w:pPr>
        <w:sectPr>
          <w:pgSz w:w="11900" w:h="16838" w:orient="portrait"/>
          <w:cols w:equalWidth="0" w:num="1">
            <w:col w:w="9879"/>
          </w:cols>
          <w:pgMar w:left="580" w:top="90" w:right="1440" w:bottom="1440" w:gutter="0" w:footer="0" w:header="0"/>
          <w:type w:val="continuous"/>
        </w:sectPr>
      </w:pPr>
    </w:p>
    <w:p>
      <w:pPr>
        <w:spacing w:after="0" w:line="368"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Unless otherwise indicated or unless the context requires otherwise, references in this prospectus supplement to: (i) the “Company,” “Safehold Inc.,” “we,” “us,” “our” or “our company” means Safehold Inc., a Maryland corporation formerly known as iStar Inc., together with our consolidated subsidiaries, including Safehold GL Holdings LLC, a Delaware limited liability company, of which we are the managing member and to which we refer in this prospectus supplement as our “operating company”; (ii) “iStar” means iStar Inc., a Maryland corporation, prior to its merger (the “merger”) with Old Safehold (as defined below) and (iii) “Old Safehold” means Safehold Inc., a Maryland corporation, prior to the merger. When we refer to “you,” we mean the potential purchasers of the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ABOUT THIS PROSPECTUS SUPPLEMENT AND THE PROSPECTUS</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and also updates information contained in the accompanying prospectus and the documents incorporated by reference into the prospectus. The second part is the accompanying prospectus, which gives more general information, some of which does not apply to this offering. To the extent there is a conflict between the information contained in this prospectus supplement and the information contained in the accompanying prospectus or in a prior filing that we made with the Securities and Exchange Commission, or the SEC, the information in this prospectus supplement shall control. In addition, any statement in a filing we make with the SEC that is incorporated by reference into this prospectus supplement that adds to, updates or changes information contained herein or in the accompanying prospectus or in any earlier filing we made with the SEC shall be deemed to modify and supersede such information contained herein or therein, as the case may be.</w:t>
      </w:r>
    </w:p>
    <w:p>
      <w:pPr>
        <w:spacing w:after="0" w:line="114" w:lineRule="exact"/>
        <w:rPr>
          <w:sz w:val="20"/>
          <w:szCs w:val="20"/>
          <w:color w:val="auto"/>
        </w:rPr>
      </w:pPr>
    </w:p>
    <w:p>
      <w:pPr>
        <w:ind w:left="1260" w:right="479" w:firstLine="360"/>
        <w:spacing w:after="0" w:line="242" w:lineRule="auto"/>
        <w:rPr>
          <w:sz w:val="20"/>
          <w:szCs w:val="20"/>
          <w:color w:val="auto"/>
        </w:rPr>
      </w:pPr>
      <w:r>
        <w:rPr>
          <w:rFonts w:ascii="Arial" w:cs="Arial" w:eastAsia="Arial" w:hAnsi="Arial"/>
          <w:sz w:val="18"/>
          <w:szCs w:val="18"/>
          <w:color w:val="auto"/>
        </w:rPr>
        <w:t>You should read this prospectus supplement and the accompanying prospectus together with the additional information described under the headings “Where You Can Find More Information” and “Incorporation by Reference” in this prospectus supplement. Neither we nor the underwriters have authorized anyone to provide you with any information other than that contained in this prospectus supplement, the accompanying prospectus, the documents incorporated by reference, any amendment or supplement to this prospectus supplement or the accompanying prospectus or in any free writing prospectus prepared by or on behalf of us or to which we have referred you. We and the underwriters take no responsibility for, and can provide no assurance as to the reliability of, any other information that others may give you. You should assume that the information in this prospectus supplement and the accompanying prospectus, as well as the information we have previously filed, or subsequently file, with the SEC and incorporated by reference in this prospectus supplement, is accurate only as of its date or the dates which are specified in those documents.</w:t>
      </w:r>
    </w:p>
    <w:p>
      <w:pPr>
        <w:spacing w:after="0" w:line="1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This prospectus supplement, the accompanying prospectus and the documents incorporated herein by reference contain forward-looking statements within the meaning of the Private Securities Litigation Reform Act of 1995, Section 27A of the Securities Act of 1933, as amended, or the Securities Act, and Section 21E of the Securities Exchange Act of 1934, as amended, or the Exchange Act. Forward -looking statements are included with respect to, among other things, our current business plan, business strategy, the unrealized capital appreciation in our owned residual portfolio, portfolio management, prospects,liquidity and this offering. These forward- 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do not guarantee that the transactions, events and other developments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67" w:lineRule="exact"/>
        <w:rPr>
          <w:sz w:val="20"/>
          <w:szCs w:val="20"/>
          <w:color w:val="auto"/>
        </w:rPr>
      </w:pPr>
    </w:p>
    <w:p>
      <w:pPr>
        <w:ind w:left="1800" w:right="7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factors included in this prospectus supplement and the documents incorporated herein by reference, including those set forth under the heading “Risk Factors”;</w:t>
      </w:r>
    </w:p>
    <w:p>
      <w:pPr>
        <w:spacing w:after="0" w:line="62" w:lineRule="exact"/>
        <w:rPr>
          <w:rFonts w:ascii="Arial" w:cs="Arial" w:eastAsia="Arial" w:hAnsi="Arial"/>
          <w:sz w:val="18"/>
          <w:szCs w:val="18"/>
          <w:color w:val="auto"/>
        </w:rPr>
      </w:pPr>
    </w:p>
    <w:p>
      <w:pPr>
        <w:ind w:left="1800" w:right="819" w:hanging="180"/>
        <w:spacing w:after="0" w:line="25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recently completed merger and/or our recently consummated spin-off of Star Holdings (as defined below), including any delay in or our inability to realize expected benefits, risks of significant transaction costs and/or unknown liabilities, potential litigation and/or the potential disruption to our business from diverted management attention due to managing Star Holdings;</w:t>
      </w:r>
    </w:p>
    <w:p>
      <w:pPr>
        <w:spacing w:after="0" w:line="79"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industry and changes in the real estate markets in particular, either nationally or regionally, and the potential adverse impact on us or our tenants from COVID-19 (coronavirus)and potential future health crises, including epidemics and pandemics;</w:t>
      </w:r>
    </w:p>
    <w:p>
      <w:pPr>
        <w:spacing w:after="0" w:line="62"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proceeds from the offering of shares of our common stock pursuant to this prospectus supplement and in the concurrent MSD placement;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volatility of the capital and credit markets and the market price of our common stock;</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business and growth strategies;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our ground leases and availability of investment opportunities;</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our long-term leases, particularly the efficacy of the rent adjustment provisions in keeping up with increases in inflation and market values;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defaults on, or non-renewal of, leases by tenants and landlord-tenant disputes;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bankruptcy or insolvency of a material tenant;</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counterparty, geographic and industry concentrations in our portfolio;</w:t>
      </w:r>
    </w:p>
    <w:p>
      <w:pPr>
        <w:spacing w:after="0" w:line="117" w:lineRule="exact"/>
        <w:rPr>
          <w:rFonts w:ascii="Arial" w:cs="Arial" w:eastAsia="Arial" w:hAnsi="Arial"/>
          <w:sz w:val="18"/>
          <w:szCs w:val="18"/>
          <w:color w:val="auto"/>
        </w:rPr>
      </w:pPr>
    </w:p>
    <w:p>
      <w:pPr>
        <w:ind w:left="1800" w:right="125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interest rates on demand for ground leases and our ability to service our debt obligations as they come due;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declining real estate valuations;</w:t>
      </w:r>
    </w:p>
    <w:p>
      <w:pPr>
        <w:spacing w:after="0" w:line="117"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certain rights of our tenants under our leases on our ability to realize the unrealized capital appreciation in our owned residual portfolio;</w:t>
      </w:r>
    </w:p>
    <w:p>
      <w:pPr>
        <w:spacing w:after="0" w:line="62" w:lineRule="exact"/>
        <w:rPr>
          <w:rFonts w:ascii="Arial" w:cs="Arial" w:eastAsia="Arial" w:hAnsi="Arial"/>
          <w:sz w:val="18"/>
          <w:szCs w:val="18"/>
          <w:color w:val="auto"/>
        </w:rPr>
      </w:pPr>
    </w:p>
    <w:p>
      <w:pPr>
        <w:ind w:left="1800" w:right="1059" w:hanging="180"/>
        <w:spacing w:after="0" w:line="308"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realize incremental value from the unrealized capital appreciation in our owned residual portfolio and to have such value reflected in the market price of our common stock;</w:t>
      </w:r>
    </w:p>
    <w:p>
      <w:pPr>
        <w:spacing w:after="0" w:line="24" w:lineRule="exact"/>
        <w:rPr>
          <w:rFonts w:ascii="Arial" w:cs="Arial" w:eastAsia="Arial" w:hAnsi="Arial"/>
          <w:sz w:val="17"/>
          <w:szCs w:val="17"/>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 that will be attributed to Caret units in the future;</w:t>
      </w:r>
    </w:p>
    <w:p>
      <w:pPr>
        <w:spacing w:after="0" w:line="117"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and reasonableness of our underwriting assumptions with regard to properties under development or in transition;</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terms and deployment of capital;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obtain attractive or necessary outside financing;</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tenants to obtain financing for their leasehold interests;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generate sufficient cash flows to service our outstanding indebtedness;</w:t>
      </w:r>
    </w:p>
    <w:p>
      <w:pPr>
        <w:spacing w:after="0" w:line="117" w:lineRule="exact"/>
        <w:rPr>
          <w:rFonts w:ascii="Arial" w:cs="Arial" w:eastAsia="Arial" w:hAnsi="Arial"/>
          <w:sz w:val="18"/>
          <w:szCs w:val="18"/>
          <w:color w:val="auto"/>
        </w:rPr>
      </w:pPr>
    </w:p>
    <w:p>
      <w:pPr>
        <w:ind w:left="1800" w:right="111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identifying and completing acquisitions and other investment opportunities on favorable terms;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of real estate acquisitions, dispositions and development, including costs associated therewith;</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projected operating results;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into new markets;</w:t>
      </w:r>
    </w:p>
    <w:p>
      <w:pPr>
        <w:spacing w:after="0" w:line="103"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relating to our ability to make distributions to our stockholders in the future at the current rate or at all;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changes in governmental regulations, tax law and rates and similar matters;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maintain our qualification as a REIT;</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environmental uncertainties and risks related to adverse weather conditions and natural disasters;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or insufficient amounts of insurance by our tenants;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litigation;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cybersecurity risk and cyber incidents;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market fluctuations;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and our ability to attract and retain, qualified personnel;</w:t>
      </w:r>
    </w:p>
    <w:p>
      <w:pPr>
        <w:spacing w:after="0" w:line="103"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conflicts of interest between holders of the shares of common stock and holders of other securities we have issued or may issue in the future, including limited liability company interests in our operating company, Caret units, preferred stock and debt securities;</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understanding of our competition; and</w:t>
      </w:r>
    </w:p>
    <w:p>
      <w:pPr>
        <w:spacing w:after="0" w:line="130"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the laws, rules and regulations applicable to companies and, in particular, public companies.</w:t>
      </w:r>
    </w:p>
    <w:p>
      <w:pPr>
        <w:spacing w:after="0" w:line="89" w:lineRule="exact"/>
        <w:rPr>
          <w:sz w:val="20"/>
          <w:szCs w:val="20"/>
          <w:color w:val="auto"/>
        </w:rPr>
      </w:pPr>
    </w:p>
    <w:p>
      <w:pPr>
        <w:ind w:left="1260" w:right="539" w:firstLine="3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While forward-looking statements reflect our good faith beliefs, they are not guarantees of future performance. We disclaim any obligation to publicly update or revise any forward-looking statement to reflect changes in underlying assumptions or factors, of new information, data or methods, future events or other changes after the date of this prospectus supplement, except as required by applicable law. For a further discussion of these and other factors that could impact our future results, performance or transactions, see the sections entitled “Risk Factors” beginning on page </w:t>
      </w:r>
      <w:r>
        <w:rPr>
          <w:rFonts w:ascii="Arial" w:cs="Arial" w:eastAsia="Arial" w:hAnsi="Arial"/>
          <w:sz w:val="18"/>
          <w:szCs w:val="18"/>
          <w:u w:val="single" w:color="auto"/>
          <w:color w:val="0000EE"/>
        </w:rPr>
        <w:t>S-7</w:t>
      </w:r>
      <w:r>
        <w:rPr>
          <w:rFonts w:ascii="Arial" w:cs="Arial" w:eastAsia="Arial" w:hAnsi="Arial"/>
          <w:sz w:val="18"/>
          <w:szCs w:val="18"/>
          <w:color w:val="auto"/>
        </w:rPr>
        <w:t xml:space="preserve"> of this prospectus supplement and the information set forth in </w:t>
      </w:r>
      <w:hyperlink r:id="rId36">
        <w:r>
          <w:rPr>
            <w:rFonts w:ascii="Arial" w:cs="Arial" w:eastAsia="Arial" w:hAnsi="Arial"/>
            <w:sz w:val="18"/>
            <w:szCs w:val="18"/>
            <w:u w:val="single" w:color="auto"/>
            <w:color w:val="0000EE"/>
          </w:rPr>
          <w:t>Exhibit 99.3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Current Report on Form 8-K filed with the SEC on April 4, 2023, as well as the other information in our other filings under the Exchange Act that is incorporated herein by reference. You should not place undue reliance on any forward-looking statements, which are based only on information currently available to us (or to third parties making the forward-looking statements).</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CERTAIN DEFINED TERMS</w:t>
      </w:r>
    </w:p>
    <w:p>
      <w:pPr>
        <w:spacing w:after="0" w:line="162"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Except where the context suggests otherwise, we defined certain terms in this prospectus supplement as follows:</w:t>
      </w:r>
    </w:p>
    <w:p>
      <w:pPr>
        <w:spacing w:after="0" w:line="103" w:lineRule="exact"/>
        <w:rPr>
          <w:sz w:val="20"/>
          <w:szCs w:val="20"/>
          <w:color w:val="auto"/>
        </w:rPr>
      </w:pPr>
    </w:p>
    <w:p>
      <w:pPr>
        <w:jc w:val="both"/>
        <w:ind w:left="1620" w:right="5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cost basis</w:t>
      </w:r>
      <w:r>
        <w:rPr>
          <w:rFonts w:ascii="Arial" w:cs="Arial" w:eastAsia="Arial" w:hAnsi="Arial"/>
          <w:sz w:val="18"/>
          <w:szCs w:val="18"/>
          <w:color w:val="auto"/>
        </w:rPr>
        <w:t>” represents cost basis plus unfunded commitments of the core ground lease portfolio (as defined below). For unfunded commitments, it represents the aggregate future amount to be paid under the commitments.</w:t>
      </w:r>
    </w:p>
    <w:p>
      <w:pPr>
        <w:spacing w:after="0" w:line="103" w:lineRule="exact"/>
        <w:rPr>
          <w:sz w:val="20"/>
          <w:szCs w:val="20"/>
          <w:color w:val="auto"/>
        </w:rPr>
      </w:pPr>
    </w:p>
    <w:p>
      <w:pPr>
        <w:ind w:left="1620" w:right="4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gross book value</w:t>
      </w:r>
      <w:r>
        <w:rPr>
          <w:rFonts w:ascii="Arial" w:cs="Arial" w:eastAsia="Arial" w:hAnsi="Arial"/>
          <w:sz w:val="18"/>
          <w:szCs w:val="18"/>
          <w:color w:val="auto"/>
        </w:rPr>
        <w:t>” represents the gross book value plus unfunded commitments of the core ground lease portfolio. For unfunded commitments, it represents the aggregate future amount to be paid under the commitments.</w:t>
      </w:r>
    </w:p>
    <w:p>
      <w:pPr>
        <w:spacing w:after="0" w:line="116" w:lineRule="exact"/>
        <w:rPr>
          <w:sz w:val="20"/>
          <w:szCs w:val="20"/>
          <w:color w:val="auto"/>
        </w:rPr>
      </w:pPr>
    </w:p>
    <w:p>
      <w:pPr>
        <w:ind w:left="162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annualized cash yield</w:t>
      </w:r>
      <w:r>
        <w:rPr>
          <w:rFonts w:ascii="Arial" w:cs="Arial" w:eastAsia="Arial" w:hAnsi="Arial"/>
          <w:sz w:val="18"/>
          <w:szCs w:val="18"/>
          <w:color w:val="auto"/>
        </w:rPr>
        <w:t>” is calculated as the annualized base cash rent plus percentage rent divided by cost basis, each for the core ground lease portfolio.</w:t>
      </w:r>
    </w:p>
    <w:p>
      <w:pPr>
        <w:spacing w:after="0" w:line="103" w:lineRule="exact"/>
        <w:rPr>
          <w:sz w:val="20"/>
          <w:szCs w:val="20"/>
          <w:color w:val="auto"/>
        </w:rPr>
      </w:pPr>
    </w:p>
    <w:p>
      <w:pPr>
        <w:ind w:left="1620" w:right="6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annualized yield</w:t>
      </w:r>
      <w:r>
        <w:rPr>
          <w:rFonts w:ascii="Arial" w:cs="Arial" w:eastAsia="Arial" w:hAnsi="Arial"/>
          <w:sz w:val="18"/>
          <w:szCs w:val="18"/>
          <w:color w:val="auto"/>
        </w:rPr>
        <w:t>” is calculated as the annualized base Net Rent plus percentage rent divided by gross book value, each for the core ground lease portfolio.</w:t>
      </w:r>
    </w:p>
    <w:p>
      <w:pPr>
        <w:spacing w:after="0" w:line="89" w:lineRule="exact"/>
        <w:rPr>
          <w:sz w:val="20"/>
          <w:szCs w:val="20"/>
          <w:color w:val="auto"/>
        </w:rPr>
      </w:pPr>
    </w:p>
    <w:p>
      <w:pPr>
        <w:ind w:left="1620" w:right="4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rent</w:t>
      </w:r>
      <w:r>
        <w:rPr>
          <w:rFonts w:ascii="Arial" w:cs="Arial" w:eastAsia="Arial" w:hAnsi="Arial"/>
          <w:sz w:val="18"/>
          <w:szCs w:val="18"/>
          <w:color w:val="auto"/>
        </w:rPr>
        <w:t>” represents base ground lease income recognized, excluding straight-line rent, amortization of lease intangibles and non-cash income from sales-type leases, each for the core ground lease portfolio.</w:t>
      </w:r>
    </w:p>
    <w:p>
      <w:pPr>
        <w:spacing w:after="0" w:line="116" w:lineRule="exact"/>
        <w:rPr>
          <w:sz w:val="20"/>
          <w:szCs w:val="20"/>
          <w:color w:val="auto"/>
        </w:rPr>
      </w:pPr>
    </w:p>
    <w:p>
      <w:pPr>
        <w:ind w:left="1620" w:right="55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combined property value</w:t>
      </w:r>
      <w:r>
        <w:rPr>
          <w:rFonts w:ascii="Arial" w:cs="Arial" w:eastAsia="Arial" w:hAnsi="Arial"/>
          <w:sz w:val="18"/>
          <w:szCs w:val="18"/>
          <w:color w:val="auto"/>
        </w:rPr>
        <w:t>” or “</w:t>
      </w:r>
      <w:r>
        <w:rPr>
          <w:rFonts w:ascii="Arial" w:cs="Arial" w:eastAsia="Arial" w:hAnsi="Arial"/>
          <w:sz w:val="18"/>
          <w:szCs w:val="18"/>
          <w:i w:val="1"/>
          <w:iCs w:val="1"/>
          <w:color w:val="auto"/>
        </w:rPr>
        <w:t>CPV</w:t>
      </w:r>
      <w:r>
        <w:rPr>
          <w:rFonts w:ascii="Arial" w:cs="Arial" w:eastAsia="Arial" w:hAnsi="Arial"/>
          <w:sz w:val="18"/>
          <w:szCs w:val="18"/>
          <w:color w:val="auto"/>
        </w:rPr>
        <w:t>” is the current combined value of the land, buildings and improvements relating to a commercial property, as if there was no ground lease on the land at the property. CPV is generally based on independent appraisals; however, we will use actual sales prices/​ management estimates for recently acquired and originated ground leases for which appraisals are not yet available. For construction projects, CPV represents the total cost associated with the acquisition, development and construction of the project.</w:t>
      </w:r>
    </w:p>
    <w:p>
      <w:pPr>
        <w:spacing w:after="0" w:line="111" w:lineRule="exact"/>
        <w:rPr>
          <w:sz w:val="20"/>
          <w:szCs w:val="20"/>
          <w:color w:val="auto"/>
        </w:rPr>
      </w:pPr>
    </w:p>
    <w:p>
      <w:pPr>
        <w:ind w:left="1620" w:right="43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core ground lease portfolio</w:t>
      </w:r>
      <w:r>
        <w:rPr>
          <w:rFonts w:ascii="Arial" w:cs="Arial" w:eastAsia="Arial" w:hAnsi="Arial"/>
          <w:sz w:val="17"/>
          <w:szCs w:val="17"/>
          <w:color w:val="auto"/>
        </w:rPr>
        <w:t>” represents the portfolio of assets owned at the date indicated and our proportionate share of two unconsolidated joint venture assets, as well as one ground lease asset in the GL Plus Fund that has moved out of the pre-development stage and, as a result, we are obligated to purchase when all conditions are satisfied (such conditions may or may not be satisfied), and excludes</w:t>
      </w:r>
    </w:p>
    <w:p>
      <w:pPr>
        <w:spacing w:after="0" w:line="2" w:lineRule="exact"/>
        <w:rPr>
          <w:sz w:val="20"/>
          <w:szCs w:val="20"/>
          <w:color w:val="auto"/>
        </w:rPr>
      </w:pPr>
    </w:p>
    <w:p>
      <w:pPr>
        <w:jc w:val="both"/>
        <w:ind w:left="1620" w:right="699"/>
        <w:spacing w:after="0" w:line="255" w:lineRule="auto"/>
        <w:tabs>
          <w:tab w:leader="none" w:pos="188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secured loan entered into between the Company, as lender and administrative agent, and Star Holdings, as borrower, dated March 31, 2023, (2) the Company’s investment in the Leasehold Loan Fund and (3) the remainder of the GL Plus Fund.</w:t>
      </w:r>
    </w:p>
    <w:p>
      <w:pPr>
        <w:spacing w:after="0" w:line="122" w:lineRule="exact"/>
        <w:rPr>
          <w:sz w:val="20"/>
          <w:szCs w:val="20"/>
          <w:color w:val="auto"/>
        </w:rPr>
      </w:pPr>
    </w:p>
    <w:p>
      <w:pPr>
        <w:ind w:left="1620" w:right="5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cost basis</w:t>
      </w:r>
      <w:r>
        <w:rPr>
          <w:rFonts w:ascii="Arial" w:cs="Arial" w:eastAsia="Arial" w:hAnsi="Arial"/>
          <w:sz w:val="18"/>
          <w:szCs w:val="18"/>
          <w:color w:val="auto"/>
        </w:rPr>
        <w:t>” represents the historical purchase price of an asset in the core ground lease portfolio, including capitalized acquisition costs of the assets.</w:t>
      </w:r>
    </w:p>
    <w:p>
      <w:pPr>
        <w:spacing w:after="0" w:line="103" w:lineRule="exact"/>
        <w:rPr>
          <w:sz w:val="20"/>
          <w:szCs w:val="20"/>
          <w:color w:val="auto"/>
        </w:rPr>
      </w:pPr>
    </w:p>
    <w:p>
      <w:pPr>
        <w:ind w:left="1620" w:right="8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 rent</w:t>
      </w:r>
      <w:r>
        <w:rPr>
          <w:rFonts w:ascii="Arial" w:cs="Arial" w:eastAsia="Arial" w:hAnsi="Arial"/>
          <w:sz w:val="18"/>
          <w:szCs w:val="18"/>
          <w:color w:val="auto"/>
        </w:rPr>
        <w:t>” is current period revenue from operating and sales-type leases recognized under GAAP, each for the core ground lease portfolio.</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right="6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GL Plus Fund</w:t>
      </w:r>
      <w:r>
        <w:rPr>
          <w:rFonts w:ascii="Arial" w:cs="Arial" w:eastAsia="Arial" w:hAnsi="Arial"/>
          <w:sz w:val="17"/>
          <w:szCs w:val="17"/>
          <w:color w:val="auto"/>
        </w:rPr>
        <w:t>” is the Company’s investment fund that targets the origination and acquisition of Ground Leases for commercial real estate projects that are in a pre-development phase.</w:t>
      </w:r>
    </w:p>
    <w:p>
      <w:pPr>
        <w:spacing w:after="0" w:line="79" w:lineRule="exact"/>
        <w:rPr>
          <w:sz w:val="20"/>
          <w:szCs w:val="20"/>
          <w:color w:val="auto"/>
        </w:rPr>
      </w:pPr>
    </w:p>
    <w:p>
      <w:pPr>
        <w:ind w:left="1620" w:right="45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gross book value</w:t>
      </w:r>
      <w:r>
        <w:rPr>
          <w:rFonts w:ascii="Arial" w:cs="Arial" w:eastAsia="Arial" w:hAnsi="Arial"/>
          <w:sz w:val="17"/>
          <w:szCs w:val="17"/>
          <w:color w:val="auto"/>
        </w:rPr>
        <w:t>” or “</w:t>
      </w:r>
      <w:r>
        <w:rPr>
          <w:rFonts w:ascii="Arial" w:cs="Arial" w:eastAsia="Arial" w:hAnsi="Arial"/>
          <w:sz w:val="17"/>
          <w:szCs w:val="17"/>
          <w:i w:val="1"/>
          <w:iCs w:val="1"/>
          <w:color w:val="auto"/>
        </w:rPr>
        <w:t>GBV</w:t>
      </w:r>
      <w:r>
        <w:rPr>
          <w:rFonts w:ascii="Arial" w:cs="Arial" w:eastAsia="Arial" w:hAnsi="Arial"/>
          <w:sz w:val="17"/>
          <w:szCs w:val="17"/>
          <w:color w:val="auto"/>
        </w:rPr>
        <w:t>” represents cost basis plus accrued interest on sales-type leases of the core ground lease portfolio. The amount is not reduced for current expected credit loss allowances.</w:t>
      </w:r>
    </w:p>
    <w:p>
      <w:pPr>
        <w:spacing w:after="0" w:line="79" w:lineRule="exact"/>
        <w:rPr>
          <w:sz w:val="20"/>
          <w:szCs w:val="20"/>
          <w:color w:val="auto"/>
        </w:rPr>
      </w:pPr>
    </w:p>
    <w:p>
      <w:pPr>
        <w:ind w:left="1620" w:right="7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ground lease-to-value</w:t>
      </w:r>
      <w:r>
        <w:rPr>
          <w:rFonts w:ascii="Arial" w:cs="Arial" w:eastAsia="Arial" w:hAnsi="Arial"/>
          <w:sz w:val="18"/>
          <w:szCs w:val="18"/>
          <w:color w:val="auto"/>
        </w:rPr>
        <w:t>” or “</w:t>
      </w:r>
      <w:r>
        <w:rPr>
          <w:rFonts w:ascii="Arial" w:cs="Arial" w:eastAsia="Arial" w:hAnsi="Arial"/>
          <w:sz w:val="18"/>
          <w:szCs w:val="18"/>
          <w:i w:val="1"/>
          <w:iCs w:val="1"/>
          <w:color w:val="auto"/>
        </w:rPr>
        <w:t>GLTV</w:t>
      </w:r>
      <w:r>
        <w:rPr>
          <w:rFonts w:ascii="Arial" w:cs="Arial" w:eastAsia="Arial" w:hAnsi="Arial"/>
          <w:sz w:val="18"/>
          <w:szCs w:val="18"/>
          <w:color w:val="auto"/>
        </w:rPr>
        <w:t>” is calculated as the aggregate GBV divided by CPV of the core ground lease portfolio. We use this metric to assess risk and our seniority level in a real estate capital structure, and believe it is similar to the concept of the lease-to-value metric used in the loan market.</w:t>
      </w:r>
    </w:p>
    <w:p>
      <w:pPr>
        <w:spacing w:after="0" w:line="106" w:lineRule="exact"/>
        <w:rPr>
          <w:sz w:val="20"/>
          <w:szCs w:val="20"/>
          <w:color w:val="auto"/>
        </w:rPr>
      </w:pPr>
    </w:p>
    <w:p>
      <w:pPr>
        <w:ind w:left="162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Leasehold Loan Fund</w:t>
      </w:r>
      <w:r>
        <w:rPr>
          <w:rFonts w:ascii="Arial" w:cs="Arial" w:eastAsia="Arial" w:hAnsi="Arial"/>
          <w:sz w:val="18"/>
          <w:szCs w:val="18"/>
          <w:color w:val="auto"/>
        </w:rPr>
        <w:t>” is the investment fund that targets customers that may acquire a leasehold loan from the fund in connection with a Ground Lease with the Company.</w:t>
      </w:r>
    </w:p>
    <w:p>
      <w:pPr>
        <w:spacing w:after="0" w:line="103" w:lineRule="exact"/>
        <w:rPr>
          <w:sz w:val="20"/>
          <w:szCs w:val="20"/>
          <w:color w:val="auto"/>
        </w:rPr>
      </w:pPr>
    </w:p>
    <w:p>
      <w:pPr>
        <w:ind w:left="1620" w:right="4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Rent</w:t>
      </w:r>
      <w:r>
        <w:rPr>
          <w:rFonts w:ascii="Arial" w:cs="Arial" w:eastAsia="Arial" w:hAnsi="Arial"/>
          <w:sz w:val="18"/>
          <w:szCs w:val="18"/>
          <w:color w:val="auto"/>
        </w:rPr>
        <w:t>” is GAAP rent less depreciation and amortization for the core ground lease portfolio. This includes the amortization of a right of use asset recorded as real estate expense (totals $1.0 million annualized) and includes our proportionate share of GAAP rent and amortization from our equity method investments, each for the core ground lease portfolio.</w:t>
      </w:r>
    </w:p>
    <w:p>
      <w:pPr>
        <w:spacing w:after="0" w:line="119" w:lineRule="exact"/>
        <w:rPr>
          <w:sz w:val="20"/>
          <w:szCs w:val="20"/>
          <w:color w:val="auto"/>
        </w:rPr>
      </w:pPr>
    </w:p>
    <w:p>
      <w:pPr>
        <w:ind w:left="1620" w:right="4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owned residual portfolio</w:t>
      </w:r>
      <w:r>
        <w:rPr>
          <w:rFonts w:ascii="Arial" w:cs="Arial" w:eastAsia="Arial" w:hAnsi="Arial"/>
          <w:sz w:val="18"/>
          <w:szCs w:val="18"/>
          <w:color w:val="auto"/>
        </w:rPr>
        <w:t>” represents the portfolio of properties under which we own a ground release and reflects our right to the land, property and tenant improvements at the end of the lease. The current value of “owned residual portfolio” is typically represented by combined property value of our portfolio.</w:t>
      </w:r>
    </w:p>
    <w:p>
      <w:pPr>
        <w:spacing w:after="0" w:line="10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percentage rent</w:t>
      </w:r>
      <w:r>
        <w:rPr>
          <w:rFonts w:ascii="Arial" w:cs="Arial" w:eastAsia="Arial" w:hAnsi="Arial"/>
          <w:sz w:val="18"/>
          <w:szCs w:val="18"/>
          <w:color w:val="auto"/>
        </w:rPr>
        <w:t>” represents trailing twelve-month cash percentage rent paid by the property.</w:t>
      </w:r>
    </w:p>
    <w:p>
      <w:pPr>
        <w:spacing w:after="0" w:line="158" w:lineRule="exact"/>
        <w:rPr>
          <w:sz w:val="20"/>
          <w:szCs w:val="20"/>
          <w:color w:val="auto"/>
        </w:rPr>
      </w:pPr>
    </w:p>
    <w:p>
      <w:pPr>
        <w:ind w:left="162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 NOI</w:t>
      </w:r>
      <w:r>
        <w:rPr>
          <w:rFonts w:ascii="Arial" w:cs="Arial" w:eastAsia="Arial" w:hAnsi="Arial"/>
          <w:sz w:val="18"/>
          <w:szCs w:val="18"/>
          <w:color w:val="auto"/>
        </w:rPr>
        <w:t>” represents the net operating income of the building/our ground lease tenants prior to paying ground lease rent.</w:t>
      </w:r>
    </w:p>
    <w:p>
      <w:pPr>
        <w:spacing w:after="0" w:line="103" w:lineRule="exact"/>
        <w:rPr>
          <w:sz w:val="20"/>
          <w:szCs w:val="20"/>
          <w:color w:val="auto"/>
        </w:rPr>
      </w:pPr>
    </w:p>
    <w:p>
      <w:pPr>
        <w:ind w:left="1620" w:right="41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rent coverage</w:t>
      </w:r>
      <w:r>
        <w:rPr>
          <w:rFonts w:ascii="Arial" w:cs="Arial" w:eastAsia="Arial" w:hAnsi="Arial"/>
          <w:sz w:val="18"/>
          <w:szCs w:val="18"/>
          <w:color w:val="auto"/>
        </w:rPr>
        <w:t>” is the ratio of property NOI as provided by the building owner or estimated property NOI to the annualized cash rent due to us. We adjust property NOI for material non-recurring items and use estimates of the stabilized property NOI if we do not receive current tenant information and for properties under construction or transition, in each case based on leasing activity at the property and available market information, including leasing activity at comparable properties in the relevant market.</w:t>
      </w:r>
    </w:p>
    <w:p>
      <w:pPr>
        <w:spacing w:after="0" w:line="111" w:lineRule="exact"/>
        <w:rPr>
          <w:sz w:val="20"/>
          <w:szCs w:val="20"/>
          <w:color w:val="auto"/>
        </w:rPr>
      </w:pPr>
    </w:p>
    <w:p>
      <w:pPr>
        <w:ind w:left="1620" w:right="51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unrealized capital appreciation</w:t>
      </w:r>
      <w:r>
        <w:rPr>
          <w:rFonts w:ascii="Arial" w:cs="Arial" w:eastAsia="Arial" w:hAnsi="Arial"/>
          <w:sz w:val="17"/>
          <w:szCs w:val="17"/>
          <w:color w:val="auto"/>
        </w:rPr>
        <w:t>” or “</w:t>
      </w:r>
      <w:r>
        <w:rPr>
          <w:rFonts w:ascii="Arial" w:cs="Arial" w:eastAsia="Arial" w:hAnsi="Arial"/>
          <w:sz w:val="17"/>
          <w:szCs w:val="17"/>
          <w:i w:val="1"/>
          <w:iCs w:val="1"/>
          <w:color w:val="auto"/>
        </w:rPr>
        <w:t>UCA</w:t>
      </w:r>
      <w:r>
        <w:rPr>
          <w:rFonts w:ascii="Arial" w:cs="Arial" w:eastAsia="Arial" w:hAnsi="Arial"/>
          <w:sz w:val="17"/>
          <w:szCs w:val="17"/>
          <w:color w:val="auto"/>
        </w:rPr>
        <w:t>” is calculated as the difference between CPV of the core ground lease portfolio and the aggregate cost basis. We track UCA because we believe it provides relevant information with regard to the three key investment characteristics of our ground leases:</w:t>
      </w:r>
    </w:p>
    <w:p>
      <w:pPr>
        <w:jc w:val="both"/>
        <w:ind w:left="1620" w:right="539"/>
        <w:spacing w:after="0" w:line="255" w:lineRule="auto"/>
        <w:tabs>
          <w:tab w:leader="none" w:pos="188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safety of our position in a tenant’s capital structure; (2) the quality of the long-term cash flows generated by our portfolio rent that increases over time; and (3) increases and decreases in CPV of the portfolio that will ultimately revert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0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507355"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PROSPECTUS SUPPLEMENT SUMMARY</w:t>
      </w:r>
    </w:p>
    <w:p>
      <w:pPr>
        <w:spacing w:after="0" w:line="162" w:lineRule="exact"/>
        <w:rPr>
          <w:sz w:val="20"/>
          <w:szCs w:val="20"/>
          <w:color w:val="auto"/>
        </w:rPr>
      </w:pPr>
    </w:p>
    <w:p>
      <w:pPr>
        <w:ind w:left="1280" w:right="419" w:firstLine="360"/>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This summary highlights important information about this offering and some of the information in this prospectus supplement, the accompanying prospectus and the documents incorporated by reference. It does not contain all the information that you should consider before making a decision to invest in shares of our common stock. You should read carefully the more detailed information in this prospectus supplement and the accompanying prospectus and the information incorporated by reference into this prospectus supplement and the accompanying prospectus, including “Risk Factors” beginning on page </w:t>
      </w:r>
      <w:r>
        <w:rPr>
          <w:rFonts w:ascii="Arial" w:cs="Arial" w:eastAsia="Arial" w:hAnsi="Arial"/>
          <w:sz w:val="17"/>
          <w:szCs w:val="17"/>
          <w:u w:val="single" w:color="auto"/>
          <w:color w:val="0000EE"/>
        </w:rPr>
        <w:t>S-7</w:t>
      </w:r>
      <w:r>
        <w:rPr>
          <w:rFonts w:ascii="Arial" w:cs="Arial" w:eastAsia="Arial" w:hAnsi="Arial"/>
          <w:sz w:val="17"/>
          <w:szCs w:val="17"/>
          <w:color w:val="auto"/>
        </w:rPr>
        <w:t xml:space="preserve"> of this prospectus supplement and on page 5 of the accompanying prospectus, and the information set forth in </w:t>
      </w:r>
      <w:hyperlink r:id="rId36">
        <w:r>
          <w:rPr>
            <w:rFonts w:ascii="Arial" w:cs="Arial" w:eastAsia="Arial" w:hAnsi="Arial"/>
            <w:sz w:val="17"/>
            <w:szCs w:val="17"/>
            <w:u w:val="single" w:color="auto"/>
            <w:color w:val="0000EE"/>
          </w:rPr>
          <w:t>Exhibit 99.3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Current Report on Form 8- K filed with the SEC on April 4, 2023, as well as the other information set forth in our other filings under the Exchange Act that is incorporated herein by reference.</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Company</w:t>
      </w:r>
    </w:p>
    <w:p>
      <w:pPr>
        <w:spacing w:after="0" w:line="148" w:lineRule="exact"/>
        <w:rPr>
          <w:sz w:val="20"/>
          <w:szCs w:val="20"/>
          <w:color w:val="auto"/>
        </w:rPr>
      </w:pPr>
    </w:p>
    <w:p>
      <w:pPr>
        <w:ind w:left="1280" w:right="499" w:firstLine="360"/>
        <w:spacing w:after="0" w:line="258" w:lineRule="auto"/>
        <w:rPr>
          <w:sz w:val="20"/>
          <w:szCs w:val="20"/>
          <w:color w:val="auto"/>
        </w:rPr>
      </w:pPr>
      <w:r>
        <w:rPr>
          <w:rFonts w:ascii="Arial" w:cs="Arial" w:eastAsia="Arial" w:hAnsi="Arial"/>
          <w:sz w:val="17"/>
          <w:szCs w:val="17"/>
          <w:color w:val="auto"/>
        </w:rPr>
        <w:t>We operate our business through one reportable segment by acquiring, managing and capitalizing ground leases. We also manage entities focused on ground leases and a wholly-owned subsidiary of ours serves as external manager to Star Holdings, a Maryland statutory trust (“Star Holdings”), that holds the legacy non-ground lease assets previously held by iStar. Ground leases are long-term contracts between the landlord (us) and a tenant or leaseholder. Ground leases generally represent ownership of the land underlying commercial real estate projects that is net leased by the fee owner of the land to the owners/operators of the real estate projects built thereon (“Ground Leases”). Under a Ground Lease, the tenant is generally responsible for all property operating expenses, such as maintenance, real estate taxes and insurance and is also responsible for development costs and capital expenditures. Ground Leases are typically long-term (base terms ranging from 30 to 99 years, often with tenant renewal options) and have contractual base rent increases (either at a specified percentage or consumer price index (“CPI”) based, or both) and sometimes include percentage rent participations.</w:t>
      </w:r>
    </w:p>
    <w:p>
      <w:pPr>
        <w:spacing w:after="0" w:line="111" w:lineRule="exact"/>
        <w:rPr>
          <w:sz w:val="20"/>
          <w:szCs w:val="20"/>
          <w:color w:val="auto"/>
        </w:rPr>
      </w:pPr>
    </w:p>
    <w:p>
      <w:pPr>
        <w:ind w:left="1280" w:right="399" w:firstLine="360"/>
        <w:spacing w:after="0" w:line="257" w:lineRule="auto"/>
        <w:rPr>
          <w:sz w:val="20"/>
          <w:szCs w:val="20"/>
          <w:color w:val="auto"/>
        </w:rPr>
      </w:pPr>
      <w:r>
        <w:rPr>
          <w:rFonts w:ascii="Arial" w:cs="Arial" w:eastAsia="Arial" w:hAnsi="Arial"/>
          <w:sz w:val="17"/>
          <w:szCs w:val="17"/>
          <w:color w:val="auto"/>
        </w:rPr>
        <w:t>Since Old Safehold’s initial public offering in 2017 through June 30, 2023, we have achieved significant growth in the value of our portfolio of properties, with aggregate gross book value and estimated unrealized capital appreciation growing by 19x and an estimated 23x, respectively. As of June 30, 2023, our portfolio of 134 properties had an aggregate gross book value of $6.3 billion with estimated unrealized capital appreciation of $10.1 billion, compared to 123 properties having $5.9 billion of aggregate gross book value and $9.9 billion of estimated unrealized capital appreciation as of June 30, 2022. Our portfolio, as of June 30, 2021, 2020, 2019 and June 21, 2017 (the date Old Safehold priced our initial public offering), included 82, 61, 39 and 12 properties, respectively, with an aggregate gross book value for the same periods of $3.6 billion, $2.9 billion, $1.1 billion, and $0.3 billion, respectively, and the estimated unrealized capital appreciation for the same periods was $6.0 billion, $5.2 billion, $2.2 billion, and $0.4 billion, respectively. Estimated unrealized capital appreciation as of December 31, 2021, 2020, 2019, 2018 and 2017 was $8.1 billion, $5.5 billion, $4.8 billion, $1.8 billion and $1.1 billion, respectively. As of June 30, 2023, our core ground lease portfolio of properties had a gross book value of $6.1 billion, annualized yield of 5.2% and annualized cash yield of 3.5%. See “</w:t>
      </w:r>
      <w:r>
        <w:rPr>
          <w:rFonts w:ascii="Arial" w:cs="Arial" w:eastAsia="Arial" w:hAnsi="Arial"/>
          <w:sz w:val="17"/>
          <w:szCs w:val="17"/>
          <w:i w:val="1"/>
          <w:iCs w:val="1"/>
          <w:color w:val="auto"/>
        </w:rPr>
        <w:t>Aggregate Gross Book Value Reconciliation</w:t>
      </w:r>
      <w:r>
        <w:rPr>
          <w:rFonts w:ascii="Arial" w:cs="Arial" w:eastAsia="Arial" w:hAnsi="Arial"/>
          <w:sz w:val="17"/>
          <w:szCs w:val="17"/>
          <w:color w:val="auto"/>
        </w:rPr>
        <w:t>” below for a reconciliation of net investment in sales-type leases, ground lease receivables and real estate, net to gross book value and aggregate gross book value.</w:t>
      </w:r>
    </w:p>
    <w:p>
      <w:pPr>
        <w:spacing w:after="0" w:line="107" w:lineRule="exact"/>
        <w:rPr>
          <w:sz w:val="20"/>
          <w:szCs w:val="20"/>
          <w:color w:val="auto"/>
        </w:rPr>
      </w:pPr>
    </w:p>
    <w:p>
      <w:pPr>
        <w:jc w:val="both"/>
        <w:ind w:left="1280" w:right="639" w:firstLine="360"/>
        <w:spacing w:after="0" w:line="256" w:lineRule="auto"/>
        <w:rPr>
          <w:sz w:val="20"/>
          <w:szCs w:val="20"/>
          <w:color w:val="auto"/>
        </w:rPr>
      </w:pPr>
      <w:r>
        <w:rPr>
          <w:rFonts w:ascii="Arial" w:cs="Arial" w:eastAsia="Arial" w:hAnsi="Arial"/>
          <w:sz w:val="18"/>
          <w:szCs w:val="18"/>
          <w:color w:val="auto"/>
        </w:rPr>
        <w:t>On a weighted average basis as of June 30, 2023, ground lease-to-value was 42%, rent coverage was 3.7x and the remaining average lease term (assuming all extensions) was 92 years. We had $3.7 billion of total unencumbered assets as of June 30, 2023.</w:t>
      </w:r>
    </w:p>
    <w:p>
      <w:pPr>
        <w:spacing w:after="0" w:line="107" w:lineRule="exact"/>
        <w:rPr>
          <w:sz w:val="20"/>
          <w:szCs w:val="20"/>
          <w:color w:val="auto"/>
        </w:rPr>
      </w:pPr>
    </w:p>
    <w:p>
      <w:pPr>
        <w:ind w:left="1280" w:right="539" w:firstLine="360"/>
        <w:spacing w:after="0" w:line="249" w:lineRule="auto"/>
        <w:rPr>
          <w:sz w:val="20"/>
          <w:szCs w:val="20"/>
          <w:color w:val="auto"/>
        </w:rPr>
      </w:pPr>
      <w:r>
        <w:rPr>
          <w:rFonts w:ascii="Arial" w:cs="Arial" w:eastAsia="Arial" w:hAnsi="Arial"/>
          <w:sz w:val="18"/>
          <w:szCs w:val="18"/>
          <w:color w:val="auto"/>
        </w:rPr>
        <w:t>We are also focused on increasing customer adoption. The cumulative number of unique sponsors that have been pitched a Safehold ground lease increased from 31 as of December 31, 2017, to 699 by June 30, 2023. Additionally, 38% of our customers have closed multiple deals with us and 70% of our existing customers have looked at or are currently reviewing another deal with us.</w:t>
      </w:r>
    </w:p>
    <w:p>
      <w:pPr>
        <w:spacing w:after="0" w:line="100" w:lineRule="exact"/>
        <w:rPr>
          <w:sz w:val="20"/>
          <w:szCs w:val="20"/>
          <w:color w:val="auto"/>
        </w:rPr>
      </w:pPr>
    </w:p>
    <w:p>
      <w:pPr>
        <w:ind w:left="1280" w:right="399" w:firstLine="360"/>
        <w:spacing w:after="0" w:line="267" w:lineRule="auto"/>
        <w:rPr>
          <w:sz w:val="20"/>
          <w:szCs w:val="20"/>
          <w:color w:val="auto"/>
        </w:rPr>
      </w:pPr>
      <w:r>
        <w:rPr>
          <w:rFonts w:ascii="Arial" w:cs="Arial" w:eastAsia="Arial" w:hAnsi="Arial"/>
          <w:sz w:val="17"/>
          <w:szCs w:val="17"/>
          <w:color w:val="auto"/>
        </w:rPr>
        <w:t>Our principal executive offices are located at 1114 Avenue of the Americas, 39th Floor, New York, New York 10036, and our telephone number is (212) 930-9400. Our website is www.safeholdinc.com. Information contained in or that can be accessed through our website is not part of, and is not incorporated by reference into, this prospectus supplement or the accompanying prospectus. The foregoing information about us is only a general summary and is not intended to be comprehensive. For additional information</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8130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507355" cy="813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80" w:right="1239"/>
        <w:spacing w:after="0" w:line="277" w:lineRule="auto"/>
        <w:rPr>
          <w:sz w:val="20"/>
          <w:szCs w:val="20"/>
          <w:color w:val="auto"/>
        </w:rPr>
      </w:pPr>
      <w:r>
        <w:rPr>
          <w:rFonts w:ascii="Arial" w:cs="Arial" w:eastAsia="Arial" w:hAnsi="Arial"/>
          <w:sz w:val="18"/>
          <w:szCs w:val="18"/>
          <w:color w:val="auto"/>
        </w:rPr>
        <w:t>about us, you should refer to the information under “Where You Can Find More Information” and “Incorporation by Reference” in this prospectus supplement.</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Aggregate Gross Book Value Reconciliation</w:t>
      </w:r>
    </w:p>
    <w:p>
      <w:pPr>
        <w:spacing w:after="0" w:line="158" w:lineRule="exact"/>
        <w:rPr>
          <w:sz w:val="20"/>
          <w:szCs w:val="20"/>
          <w:color w:val="auto"/>
        </w:rPr>
      </w:pPr>
    </w:p>
    <w:p>
      <w:pPr>
        <w:ind w:left="1280" w:right="499" w:firstLine="360"/>
        <w:spacing w:after="0" w:line="263" w:lineRule="auto"/>
        <w:rPr>
          <w:sz w:val="20"/>
          <w:szCs w:val="20"/>
          <w:color w:val="auto"/>
        </w:rPr>
      </w:pPr>
      <w:r>
        <w:rPr>
          <w:rFonts w:ascii="Arial" w:cs="Arial" w:eastAsia="Arial" w:hAnsi="Arial"/>
          <w:sz w:val="18"/>
          <w:szCs w:val="18"/>
          <w:color w:val="auto"/>
        </w:rPr>
        <w:t>The following table presents a reconciliation of net investment in sales-type leases to gross book value and aggregate gross book value as of June 21, 2017 (the date of Old Safehold’s initial public offering), as well as June 30, 2019, 2020, 2021, 2022 and 2023:</w:t>
      </w:r>
    </w:p>
    <w:p>
      <w:pPr>
        <w:sectPr>
          <w:pgSz w:w="11900" w:h="16838" w:orient="portrait"/>
          <w:cols w:equalWidth="0" w:num="1">
            <w:col w:w="9879"/>
          </w:cols>
          <w:pgMar w:left="580" w:top="90" w:right="1440" w:bottom="1440" w:gutter="0" w:footer="0" w:header="0"/>
        </w:sectPr>
      </w:pPr>
    </w:p>
    <w:p>
      <w:pPr>
        <w:spacing w:after="0" w:line="16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w:t>
      </w:r>
    </w:p>
    <w:p>
      <w:pPr>
        <w:spacing w:after="0" w:line="55"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 millions)</w:t>
      </w:r>
    </w:p>
    <w:p>
      <w:pPr>
        <w:spacing w:after="0" w:line="113" w:lineRule="exact"/>
        <w:rPr>
          <w:sz w:val="20"/>
          <w:szCs w:val="20"/>
          <w:color w:val="auto"/>
        </w:rPr>
      </w:pPr>
    </w:p>
    <w:p>
      <w:pPr>
        <w:ind w:left="1280" w:right="600"/>
        <w:spacing w:after="0" w:line="366" w:lineRule="auto"/>
        <w:rPr>
          <w:sz w:val="20"/>
          <w:szCs w:val="20"/>
          <w:color w:val="auto"/>
        </w:rPr>
      </w:pPr>
      <w:r>
        <w:rPr>
          <w:rFonts w:ascii="Arial" w:cs="Arial" w:eastAsia="Arial" w:hAnsi="Arial"/>
          <w:sz w:val="15"/>
          <w:szCs w:val="15"/>
          <w:b w:val="1"/>
          <w:bCs w:val="1"/>
          <w:color w:val="auto"/>
        </w:rPr>
        <w:t>Net investment in sales-type leases Ground Lease receivables</w:t>
      </w:r>
    </w:p>
    <w:p>
      <w:pPr>
        <w:ind w:left="1460" w:hanging="179"/>
        <w:spacing w:after="0" w:line="306" w:lineRule="auto"/>
        <w:rPr>
          <w:sz w:val="20"/>
          <w:szCs w:val="20"/>
          <w:color w:val="auto"/>
        </w:rPr>
      </w:pPr>
      <w:r>
        <w:rPr>
          <w:rFonts w:ascii="Arial" w:cs="Arial" w:eastAsia="Arial" w:hAnsi="Arial"/>
          <w:sz w:val="17"/>
          <w:szCs w:val="17"/>
          <w:b w:val="1"/>
          <w:bCs w:val="1"/>
          <w:color w:val="auto"/>
        </w:rPr>
        <w:t>Pro-rata interest in Ground Leases held as equity method investments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Real estate, net (Operating Leases)</w:t>
      </w:r>
    </w:p>
    <w:p>
      <w:pPr>
        <w:spacing w:after="0" w:line="6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Accumulated depreciation</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Lease intangible assets, net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Accumulated amortization</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Current expected credit loss allowance</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Lease intangible liabilities, net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Non-controlling interest</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Gross book value</w:t>
      </w:r>
    </w:p>
    <w:p>
      <w:pPr>
        <w:spacing w:after="0" w:line="54" w:lineRule="exact"/>
        <w:rPr>
          <w:sz w:val="20"/>
          <w:szCs w:val="20"/>
          <w:color w:val="auto"/>
        </w:rPr>
      </w:pPr>
    </w:p>
    <w:p>
      <w:pPr>
        <w:ind w:left="1640" w:right="400" w:hanging="179"/>
        <w:spacing w:after="0" w:line="308" w:lineRule="auto"/>
        <w:rPr>
          <w:sz w:val="20"/>
          <w:szCs w:val="20"/>
          <w:color w:val="auto"/>
        </w:rPr>
      </w:pPr>
      <w:r>
        <w:rPr>
          <w:rFonts w:ascii="Arial" w:cs="Arial" w:eastAsia="Arial" w:hAnsi="Arial"/>
          <w:sz w:val="17"/>
          <w:szCs w:val="17"/>
          <w:color w:val="auto"/>
        </w:rPr>
        <w:t>Forward commitments and future acquisition commitment</w:t>
      </w:r>
    </w:p>
    <w:p>
      <w:pPr>
        <w:spacing w:after="0" w:line="3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Aggregate gross book value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5"/>
          </w:tcPr>
          <w:p>
            <w:pPr>
              <w:jc w:val="right"/>
              <w:spacing w:after="0"/>
              <w:rPr>
                <w:sz w:val="20"/>
                <w:szCs w:val="20"/>
                <w:color w:val="auto"/>
              </w:rPr>
            </w:pPr>
            <w:r>
              <w:rPr>
                <w:rFonts w:ascii="Arial" w:cs="Arial" w:eastAsia="Arial" w:hAnsi="Arial"/>
                <w:sz w:val="14"/>
                <w:szCs w:val="14"/>
                <w:b w:val="1"/>
                <w:bCs w:val="1"/>
                <w:color w:val="auto"/>
                <w:w w:val="88"/>
              </w:rPr>
              <w:t>As of June 21,</w:t>
            </w:r>
          </w:p>
        </w:tc>
        <w:tc>
          <w:tcPr>
            <w:tcW w:w="22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8"/>
              </w:rPr>
              <w:t>As of June 30,</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6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0"/>
                <w:szCs w:val="20"/>
                <w:color w:val="auto"/>
              </w:rPr>
            </w:pPr>
          </w:p>
        </w:tc>
        <w:tc>
          <w:tcPr>
            <w:tcW w:w="1040" w:type="dxa"/>
            <w:vAlign w:val="bottom"/>
            <w:gridSpan w:val="6"/>
          </w:tcPr>
          <w:p>
            <w:pPr>
              <w:ind w:left="60"/>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2019  </w:t>
            </w:r>
            <w:r>
              <w:rPr>
                <w:rFonts w:ascii="Arial" w:cs="Arial" w:eastAsia="Arial" w:hAnsi="Arial"/>
                <w:sz w:val="27"/>
                <w:szCs w:val="27"/>
                <w:b w:val="1"/>
                <w:bCs w:val="1"/>
                <w:color w:val="auto"/>
                <w:vertAlign w:val="subscript"/>
              </w:rPr>
              <w:t>​ ​</w:t>
            </w:r>
          </w:p>
        </w:tc>
        <w:tc>
          <w:tcPr>
            <w:tcW w:w="700" w:type="dxa"/>
            <w:vAlign w:val="bottom"/>
            <w:gridSpan w:val="4"/>
          </w:tcPr>
          <w:p>
            <w:pPr>
              <w:ind w:left="20"/>
              <w:spacing w:after="0" w:line="236"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27"/>
                <w:szCs w:val="27"/>
                <w:b w:val="1"/>
                <w:bCs w:val="1"/>
                <w:color w:val="auto"/>
                <w:vertAlign w:val="subscript"/>
              </w:rPr>
              <w:t>​ ​</w:t>
            </w:r>
          </w:p>
        </w:tc>
        <w:tc>
          <w:tcPr>
            <w:tcW w:w="720" w:type="dxa"/>
            <w:vAlign w:val="bottom"/>
            <w:gridSpan w:val="4"/>
          </w:tcPr>
          <w:p>
            <w:pPr>
              <w:ind w:left="20"/>
              <w:spacing w:after="0" w:line="236"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27"/>
                <w:szCs w:val="27"/>
                <w:b w:val="1"/>
                <w:bCs w:val="1"/>
                <w:color w:val="auto"/>
                <w:vertAlign w:val="subscript"/>
              </w:rPr>
              <w:t>​ ​</w:t>
            </w:r>
          </w:p>
        </w:tc>
        <w:tc>
          <w:tcPr>
            <w:tcW w:w="4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20"/>
                <w:szCs w:val="20"/>
                <w:color w:val="auto"/>
              </w:rPr>
            </w:pPr>
          </w:p>
        </w:tc>
        <w:tc>
          <w:tcPr>
            <w:tcW w:w="560" w:type="dxa"/>
            <w:vAlign w:val="bottom"/>
            <w:gridSpan w:val="3"/>
          </w:tcPr>
          <w:p>
            <w:pPr>
              <w:jc w:val="right"/>
              <w:spacing w:after="0" w:line="236" w:lineRule="exact"/>
              <w:rPr>
                <w:sz w:val="20"/>
                <w:szCs w:val="20"/>
                <w:color w:val="auto"/>
              </w:rPr>
            </w:pPr>
            <w:r>
              <w:rPr>
                <w:rFonts w:ascii="Arial" w:cs="Arial" w:eastAsia="Arial" w:hAnsi="Arial"/>
                <w:sz w:val="14"/>
                <w:szCs w:val="14"/>
                <w:b w:val="1"/>
                <w:bCs w:val="1"/>
                <w:color w:val="auto"/>
              </w:rPr>
              <w:t xml:space="preserve">2023  </w:t>
            </w:r>
            <w:r>
              <w:rPr>
                <w:rFonts w:ascii="Arial" w:cs="Arial" w:eastAsia="Arial" w:hAnsi="Arial"/>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4"/>
                <w:szCs w:val="24"/>
                <w:color w:val="auto"/>
              </w:rPr>
            </w:pPr>
          </w:p>
        </w:tc>
        <w:tc>
          <w:tcPr>
            <w:tcW w:w="600" w:type="dxa"/>
            <w:vAlign w:val="bottom"/>
            <w:gridSpan w:val="4"/>
          </w:tcPr>
          <w:p>
            <w:pPr>
              <w:jc w:val="right"/>
              <w:ind w:right="240"/>
              <w:spacing w:after="0"/>
              <w:rPr>
                <w:sz w:val="20"/>
                <w:szCs w:val="20"/>
                <w:color w:val="auto"/>
              </w:rPr>
            </w:pPr>
            <w:r>
              <w:rPr>
                <w:rFonts w:ascii="Arial" w:cs="Arial" w:eastAsia="Arial" w:hAnsi="Arial"/>
                <w:sz w:val="18"/>
                <w:szCs w:val="18"/>
                <w:color w:val="auto"/>
              </w:rPr>
              <w:t>​ ​ —</w:t>
            </w:r>
          </w:p>
        </w:tc>
        <w:tc>
          <w:tcPr>
            <w:tcW w:w="3080" w:type="dxa"/>
            <w:vAlign w:val="bottom"/>
            <w:gridSpan w:val="17"/>
          </w:tcPr>
          <w:p>
            <w:pPr>
              <w:jc w:val="right"/>
              <w:ind w:right="220"/>
              <w:spacing w:after="0"/>
              <w:rPr>
                <w:sz w:val="20"/>
                <w:szCs w:val="20"/>
                <w:color w:val="auto"/>
              </w:rPr>
            </w:pPr>
            <w:r>
              <w:rPr>
                <w:rFonts w:ascii="Arial" w:cs="Arial" w:eastAsia="Arial" w:hAnsi="Arial"/>
                <w:sz w:val="18"/>
                <w:szCs w:val="18"/>
                <w:color w:val="auto"/>
              </w:rPr>
              <w:t>​​ ​​$  160​​ ​​$1,045​​ ​​$1,432​​ ​​$2,912</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$3,168​</w:t>
            </w:r>
          </w:p>
        </w:tc>
        <w:tc>
          <w:tcPr>
            <w:tcW w:w="0" w:type="dxa"/>
            <w:vAlign w:val="bottom"/>
          </w:tcPr>
          <w:p>
            <w:pPr>
              <w:spacing w:after="0"/>
              <w:rPr>
                <w:sz w:val="1"/>
                <w:szCs w:val="1"/>
                <w:color w:val="auto"/>
              </w:rPr>
            </w:pPr>
          </w:p>
        </w:tc>
      </w:tr>
      <w:tr>
        <w:trPr>
          <w:trHeight w:val="270"/>
        </w:trPr>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3"/>
                <w:szCs w:val="23"/>
                <w:color w:val="auto"/>
              </w:rPr>
            </w:pPr>
          </w:p>
        </w:tc>
        <w:tc>
          <w:tcPr>
            <w:tcW w:w="600" w:type="dxa"/>
            <w:vAlign w:val="bottom"/>
            <w:gridSpan w:val="4"/>
          </w:tcPr>
          <w:p>
            <w:pPr>
              <w:jc w:val="right"/>
              <w:ind w:right="240"/>
              <w:spacing w:after="0"/>
              <w:rPr>
                <w:sz w:val="20"/>
                <w:szCs w:val="20"/>
                <w:color w:val="auto"/>
              </w:rPr>
            </w:pPr>
            <w:r>
              <w:rPr>
                <w:rFonts w:ascii="Arial" w:cs="Arial" w:eastAsia="Arial" w:hAnsi="Arial"/>
                <w:sz w:val="18"/>
                <w:szCs w:val="18"/>
                <w:color w:val="auto"/>
              </w:rPr>
              <w:t>​ ​ —</w:t>
            </w: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 ​​ ​</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3"/>
                <w:szCs w:val="23"/>
                <w:color w:val="auto"/>
              </w:rPr>
            </w:pPr>
          </w:p>
        </w:tc>
        <w:tc>
          <w:tcPr>
            <w:tcW w:w="620" w:type="dxa"/>
            <w:vAlign w:val="bottom"/>
            <w:gridSpan w:val="3"/>
          </w:tcPr>
          <w:p>
            <w:pPr>
              <w:ind w:left="40"/>
              <w:spacing w:after="0"/>
              <w:rPr>
                <w:sz w:val="20"/>
                <w:szCs w:val="20"/>
                <w:color w:val="auto"/>
              </w:rPr>
            </w:pPr>
            <w:r>
              <w:rPr>
                <w:rFonts w:ascii="Arial" w:cs="Arial" w:eastAsia="Arial" w:hAnsi="Arial"/>
                <w:sz w:val="18"/>
                <w:szCs w:val="18"/>
                <w:color w:val="auto"/>
              </w:rPr>
              <w:t>477​​ ​​$</w:t>
            </w:r>
          </w:p>
        </w:tc>
        <w:tc>
          <w:tcPr>
            <w:tcW w:w="100" w:type="dxa"/>
            <w:vAlign w:val="bottom"/>
          </w:tcPr>
          <w:p>
            <w:pPr>
              <w:spacing w:after="0"/>
              <w:rPr>
                <w:sz w:val="23"/>
                <w:szCs w:val="23"/>
                <w:color w:val="auto"/>
              </w:rPr>
            </w:pPr>
          </w:p>
        </w:tc>
        <w:tc>
          <w:tcPr>
            <w:tcW w:w="1240" w:type="dxa"/>
            <w:vAlign w:val="bottom"/>
            <w:gridSpan w:val="6"/>
          </w:tcPr>
          <w:p>
            <w:pPr>
              <w:jc w:val="right"/>
              <w:ind w:right="220"/>
              <w:spacing w:after="0"/>
              <w:rPr>
                <w:sz w:val="20"/>
                <w:szCs w:val="20"/>
                <w:color w:val="auto"/>
              </w:rPr>
            </w:pPr>
            <w:r>
              <w:rPr>
                <w:rFonts w:ascii="Arial" w:cs="Arial" w:eastAsia="Arial" w:hAnsi="Arial"/>
                <w:sz w:val="18"/>
                <w:szCs w:val="18"/>
                <w:color w:val="auto"/>
              </w:rPr>
              <w:t>680​​ ​​$1,236</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$1,485​</w:t>
            </w:r>
          </w:p>
        </w:tc>
        <w:tc>
          <w:tcPr>
            <w:tcW w:w="0" w:type="dxa"/>
            <w:vAlign w:val="bottom"/>
          </w:tcPr>
          <w:p>
            <w:pPr>
              <w:spacing w:after="0"/>
              <w:rPr>
                <w:sz w:val="1"/>
                <w:szCs w:val="1"/>
                <w:color w:val="auto"/>
              </w:rPr>
            </w:pPr>
          </w:p>
        </w:tc>
      </w:tr>
      <w:tr>
        <w:trPr>
          <w:trHeight w:val="459"/>
        </w:trPr>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4"/>
                <w:szCs w:val="24"/>
                <w:color w:val="auto"/>
              </w:rPr>
            </w:pPr>
          </w:p>
        </w:tc>
        <w:tc>
          <w:tcPr>
            <w:tcW w:w="600" w:type="dxa"/>
            <w:vAlign w:val="bottom"/>
            <w:gridSpan w:val="4"/>
          </w:tcPr>
          <w:p>
            <w:pPr>
              <w:jc w:val="right"/>
              <w:ind w:right="240"/>
              <w:spacing w:after="0"/>
              <w:rPr>
                <w:sz w:val="20"/>
                <w:szCs w:val="20"/>
                <w:color w:val="auto"/>
              </w:rPr>
            </w:pPr>
            <w:r>
              <w:rPr>
                <w:rFonts w:ascii="Arial" w:cs="Arial" w:eastAsia="Arial" w:hAnsi="Arial"/>
                <w:sz w:val="18"/>
                <w:szCs w:val="18"/>
                <w:color w:val="auto"/>
              </w:rPr>
              <w:t>​ ​ —</w:t>
            </w: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 ​​ ​</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620" w:type="dxa"/>
            <w:vAlign w:val="bottom"/>
            <w:gridSpan w:val="3"/>
          </w:tcPr>
          <w:p>
            <w:pPr>
              <w:ind w:left="40"/>
              <w:spacing w:after="0"/>
              <w:rPr>
                <w:sz w:val="20"/>
                <w:szCs w:val="20"/>
                <w:color w:val="auto"/>
              </w:rPr>
            </w:pPr>
            <w:r>
              <w:rPr>
                <w:rFonts w:ascii="Arial" w:cs="Arial" w:eastAsia="Arial" w:hAnsi="Arial"/>
                <w:sz w:val="18"/>
                <w:szCs w:val="18"/>
                <w:color w:val="auto"/>
              </w:rPr>
              <w:t>343​​ ​​$</w:t>
            </w:r>
          </w:p>
        </w:tc>
        <w:tc>
          <w:tcPr>
            <w:tcW w:w="100" w:type="dxa"/>
            <w:vAlign w:val="bottom"/>
          </w:tcPr>
          <w:p>
            <w:pPr>
              <w:spacing w:after="0"/>
              <w:rPr>
                <w:sz w:val="24"/>
                <w:szCs w:val="24"/>
                <w:color w:val="auto"/>
              </w:rPr>
            </w:pPr>
          </w:p>
        </w:tc>
        <w:tc>
          <w:tcPr>
            <w:tcW w:w="620" w:type="dxa"/>
            <w:vAlign w:val="bottom"/>
            <w:gridSpan w:val="3"/>
          </w:tcPr>
          <w:p>
            <w:pPr>
              <w:ind w:left="40"/>
              <w:spacing w:after="0"/>
              <w:rPr>
                <w:sz w:val="20"/>
                <w:szCs w:val="20"/>
                <w:color w:val="auto"/>
              </w:rPr>
            </w:pPr>
            <w:r>
              <w:rPr>
                <w:rFonts w:ascii="Arial" w:cs="Arial" w:eastAsia="Arial" w:hAnsi="Arial"/>
                <w:sz w:val="18"/>
                <w:szCs w:val="18"/>
                <w:color w:val="auto"/>
              </w:rPr>
              <w:t>438​​ ​​$</w:t>
            </w: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443</w:t>
            </w:r>
          </w:p>
        </w:tc>
        <w:tc>
          <w:tcPr>
            <w:tcW w:w="2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97"/>
        </w:trPr>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4"/>
                <w:szCs w:val="24"/>
                <w:color w:val="auto"/>
              </w:rPr>
            </w:pPr>
          </w:p>
        </w:tc>
        <w:tc>
          <w:tcPr>
            <w:tcW w:w="600" w:type="dxa"/>
            <w:vAlign w:val="bottom"/>
            <w:gridSpan w:val="4"/>
          </w:tcPr>
          <w:p>
            <w:pPr>
              <w:jc w:val="right"/>
              <w:ind w:right="240"/>
              <w:spacing w:after="0"/>
              <w:rPr>
                <w:sz w:val="20"/>
                <w:szCs w:val="20"/>
                <w:color w:val="auto"/>
              </w:rPr>
            </w:pPr>
            <w:r>
              <w:rPr>
                <w:rFonts w:ascii="Arial" w:cs="Arial" w:eastAsia="Arial" w:hAnsi="Arial"/>
                <w:sz w:val="18"/>
                <w:szCs w:val="18"/>
                <w:color w:val="auto"/>
                <w:w w:val="84"/>
              </w:rPr>
              <w:t>​$265</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663​​ ​​$</w:t>
            </w:r>
          </w:p>
        </w:tc>
        <w:tc>
          <w:tcPr>
            <w:tcW w:w="80" w:type="dxa"/>
            <w:vAlign w:val="bottom"/>
          </w:tcPr>
          <w:p>
            <w:pPr>
              <w:spacing w:after="0"/>
              <w:rPr>
                <w:sz w:val="24"/>
                <w:szCs w:val="24"/>
                <w:color w:val="auto"/>
              </w:rPr>
            </w:pPr>
          </w:p>
        </w:tc>
        <w:tc>
          <w:tcPr>
            <w:tcW w:w="620" w:type="dxa"/>
            <w:vAlign w:val="bottom"/>
            <w:gridSpan w:val="3"/>
          </w:tcPr>
          <w:p>
            <w:pPr>
              <w:ind w:left="40"/>
              <w:spacing w:after="0"/>
              <w:rPr>
                <w:sz w:val="20"/>
                <w:szCs w:val="20"/>
                <w:color w:val="auto"/>
              </w:rPr>
            </w:pPr>
            <w:r>
              <w:rPr>
                <w:rFonts w:ascii="Arial" w:cs="Arial" w:eastAsia="Arial" w:hAnsi="Arial"/>
                <w:sz w:val="18"/>
                <w:szCs w:val="18"/>
                <w:color w:val="auto"/>
              </w:rPr>
              <w:t>688​​ ​​$</w:t>
            </w:r>
          </w:p>
        </w:tc>
        <w:tc>
          <w:tcPr>
            <w:tcW w:w="100" w:type="dxa"/>
            <w:vAlign w:val="bottom"/>
          </w:tcPr>
          <w:p>
            <w:pPr>
              <w:spacing w:after="0"/>
              <w:rPr>
                <w:sz w:val="24"/>
                <w:szCs w:val="24"/>
                <w:color w:val="auto"/>
              </w:rPr>
            </w:pPr>
          </w:p>
        </w:tc>
        <w:tc>
          <w:tcPr>
            <w:tcW w:w="620" w:type="dxa"/>
            <w:vAlign w:val="bottom"/>
            <w:gridSpan w:val="3"/>
          </w:tcPr>
          <w:p>
            <w:pPr>
              <w:ind w:left="40"/>
              <w:spacing w:after="0"/>
              <w:rPr>
                <w:sz w:val="20"/>
                <w:szCs w:val="20"/>
                <w:color w:val="auto"/>
              </w:rPr>
            </w:pPr>
            <w:r>
              <w:rPr>
                <w:rFonts w:ascii="Arial" w:cs="Arial" w:eastAsia="Arial" w:hAnsi="Arial"/>
                <w:sz w:val="18"/>
                <w:szCs w:val="18"/>
                <w:color w:val="auto"/>
              </w:rPr>
              <w:t>727​​ ​​$</w:t>
            </w: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710</w:t>
            </w:r>
          </w:p>
        </w:tc>
        <w:tc>
          <w:tcPr>
            <w:tcW w:w="2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0"/>
        </w:trPr>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3"/>
                <w:szCs w:val="23"/>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 ​​ ​</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13​​ ​​ ​</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19​​ ​​ ​</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25​​ ​​ ​</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3"/>
                <w:szCs w:val="23"/>
                <w:color w:val="auto"/>
              </w:rPr>
            </w:pP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3"/>
                <w:szCs w:val="23"/>
                <w:color w:val="auto"/>
              </w:rPr>
            </w:pPr>
          </w:p>
        </w:tc>
        <w:tc>
          <w:tcPr>
            <w:tcW w:w="600" w:type="dxa"/>
            <w:vAlign w:val="bottom"/>
            <w:gridSpan w:val="4"/>
          </w:tcPr>
          <w:p>
            <w:pPr>
              <w:jc w:val="right"/>
              <w:ind w:right="240"/>
              <w:spacing w:after="0"/>
              <w:rPr>
                <w:sz w:val="20"/>
                <w:szCs w:val="20"/>
                <w:color w:val="auto"/>
              </w:rPr>
            </w:pPr>
            <w:r>
              <w:rPr>
                <w:rFonts w:ascii="Arial" w:cs="Arial" w:eastAsia="Arial" w:hAnsi="Arial"/>
                <w:sz w:val="18"/>
                <w:szCs w:val="18"/>
                <w:color w:val="auto"/>
                <w:w w:val="96"/>
              </w:rPr>
              <w:t>​ ​123</w:t>
            </w: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 ​​ ​</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235​​ ​​ ​</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241​​ ​​ ​</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240​​ ​​ ​</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223</w:t>
            </w:r>
          </w:p>
        </w:tc>
        <w:tc>
          <w:tcPr>
            <w:tcW w:w="220" w:type="dxa"/>
            <w:vAlign w:val="bottom"/>
          </w:tcPr>
          <w:p>
            <w:pPr>
              <w:spacing w:after="0"/>
              <w:rPr>
                <w:sz w:val="23"/>
                <w:szCs w:val="23"/>
                <w:color w:val="auto"/>
              </w:rPr>
            </w:pP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0"/>
        </w:trPr>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3"/>
                <w:szCs w:val="23"/>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 ​​ ​</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12​​ ​​ ​</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19​​ ​​ ​</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26​​ ​​ ​</w:t>
            </w: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3"/>
                <w:szCs w:val="23"/>
                <w:color w:val="auto"/>
              </w:rPr>
            </w:pP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3"/>
                <w:szCs w:val="23"/>
                <w:color w:val="auto"/>
              </w:rPr>
            </w:pPr>
          </w:p>
        </w:tc>
        <w:tc>
          <w:tcPr>
            <w:tcW w:w="600" w:type="dxa"/>
            <w:vAlign w:val="bottom"/>
            <w:gridSpan w:val="4"/>
          </w:tcPr>
          <w:p>
            <w:pPr>
              <w:jc w:val="right"/>
              <w:ind w:right="240"/>
              <w:spacing w:after="0"/>
              <w:rPr>
                <w:sz w:val="20"/>
                <w:szCs w:val="20"/>
                <w:color w:val="auto"/>
              </w:rPr>
            </w:pPr>
            <w:r>
              <w:rPr>
                <w:rFonts w:ascii="Arial" w:cs="Arial" w:eastAsia="Arial" w:hAnsi="Arial"/>
                <w:sz w:val="18"/>
                <w:szCs w:val="18"/>
                <w:color w:val="auto"/>
              </w:rPr>
              <w:t>​ ​ —</w:t>
            </w: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 ​​ ​</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25​​ ​​ ​</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24​​ ​​ ​</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23​​ ​​ ​</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3"/>
                <w:szCs w:val="23"/>
                <w:color w:val="auto"/>
              </w:rPr>
            </w:pP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3"/>
                <w:szCs w:val="23"/>
                <w:color w:val="auto"/>
              </w:rPr>
            </w:pPr>
          </w:p>
        </w:tc>
        <w:tc>
          <w:tcPr>
            <w:tcW w:w="600" w:type="dxa"/>
            <w:vAlign w:val="bottom"/>
            <w:gridSpan w:val="4"/>
          </w:tcPr>
          <w:p>
            <w:pPr>
              <w:jc w:val="right"/>
              <w:ind w:right="240"/>
              <w:spacing w:after="0"/>
              <w:rPr>
                <w:sz w:val="20"/>
                <w:szCs w:val="20"/>
                <w:color w:val="auto"/>
              </w:rPr>
            </w:pPr>
            <w:r>
              <w:rPr>
                <w:rFonts w:ascii="Arial" w:cs="Arial" w:eastAsia="Arial" w:hAnsi="Arial"/>
                <w:sz w:val="18"/>
                <w:szCs w:val="18"/>
                <w:color w:val="auto"/>
              </w:rPr>
              <w:t>​ ​ —</w:t>
            </w: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 ​​ ​</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 ​​ ​</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 ​​ ​</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 ​​ ​</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9"/>
        </w:trPr>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80"/>
              <w:spacing w:after="0" w:line="189" w:lineRule="exact"/>
              <w:rPr>
                <w:sz w:val="20"/>
                <w:szCs w:val="20"/>
                <w:color w:val="auto"/>
              </w:rPr>
            </w:pPr>
            <w:r>
              <w:rPr>
                <w:rFonts w:ascii="Arial" w:cs="Arial" w:eastAsia="Arial" w:hAnsi="Arial"/>
                <w:sz w:val="18"/>
                <w:szCs w:val="18"/>
                <w:color w:val="auto"/>
              </w:rPr>
              <w:t>​(51)</w:t>
            </w:r>
          </w:p>
        </w:tc>
        <w:tc>
          <w:tcPr>
            <w:tcW w:w="320" w:type="dxa"/>
            <w:vAlign w:val="bottom"/>
            <w:gridSpan w:val="2"/>
            <w:vMerge w:val="restart"/>
          </w:tcPr>
          <w:p>
            <w:pPr>
              <w:ind w:left="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18"/>
              <w:spacing w:after="0" w:line="189"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6"/>
                <w:szCs w:val="16"/>
                <w:color w:val="auto"/>
              </w:rPr>
            </w:pPr>
          </w:p>
        </w:tc>
        <w:tc>
          <w:tcPr>
            <w:tcW w:w="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8"/>
              <w:spacing w:after="0" w:line="189" w:lineRule="exact"/>
              <w:rPr>
                <w:sz w:val="20"/>
                <w:szCs w:val="20"/>
                <w:color w:val="auto"/>
              </w:rPr>
            </w:pPr>
            <w:r>
              <w:rPr>
                <w:rFonts w:ascii="Arial" w:cs="Arial" w:eastAsia="Arial" w:hAnsi="Arial"/>
                <w:sz w:val="18"/>
                <w:szCs w:val="18"/>
                <w:color w:val="auto"/>
              </w:rPr>
              <w:t>(57)</w:t>
            </w:r>
          </w:p>
        </w:tc>
        <w:tc>
          <w:tcPr>
            <w:tcW w:w="8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98"/>
              <w:spacing w:after="0" w:line="189"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6"/>
                <w:szCs w:val="16"/>
                <w:color w:val="auto"/>
              </w:rPr>
            </w:pPr>
          </w:p>
        </w:tc>
        <w:tc>
          <w:tcPr>
            <w:tcW w:w="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(65)</w:t>
            </w:r>
          </w:p>
        </w:tc>
        <w:tc>
          <w:tcPr>
            <w:tcW w:w="180" w:type="dxa"/>
            <w:vAlign w:val="bottom"/>
          </w:tcPr>
          <w:p>
            <w:pPr>
              <w:ind w:left="100"/>
              <w:spacing w:after="0" w:line="189"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94"/>
        </w:trPr>
        <w:tc>
          <w:tcPr>
            <w:tcW w:w="2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gridSpan w:val="2"/>
          </w:tcPr>
          <w:p>
            <w:pPr>
              <w:jc w:val="right"/>
              <w:ind w:right="60"/>
              <w:spacing w:after="0" w:line="94" w:lineRule="exact"/>
              <w:rPr>
                <w:sz w:val="20"/>
                <w:szCs w:val="20"/>
                <w:color w:val="auto"/>
              </w:rPr>
            </w:pPr>
            <w:r>
              <w:rPr>
                <w:rFonts w:ascii="Arial" w:cs="Arial" w:eastAsia="Arial" w:hAnsi="Arial"/>
                <w:sz w:val="10"/>
                <w:szCs w:val="10"/>
                <w:color w:val="auto"/>
              </w:rPr>
              <w:t>​​ ​​</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gridSpan w:val="2"/>
          </w:tcPr>
          <w:p>
            <w:pPr>
              <w:spacing w:after="0" w:line="94" w:lineRule="exact"/>
              <w:rPr>
                <w:sz w:val="20"/>
                <w:szCs w:val="20"/>
                <w:color w:val="auto"/>
              </w:rPr>
            </w:pPr>
            <w:r>
              <w:rPr>
                <w:rFonts w:ascii="Arial" w:cs="Arial" w:eastAsia="Arial" w:hAnsi="Arial"/>
                <w:sz w:val="10"/>
                <w:szCs w:val="10"/>
                <w:color w:val="auto"/>
              </w:rPr>
              <w:t>​​ ​​</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gridSpan w:val="2"/>
          </w:tcPr>
          <w:p>
            <w:pPr>
              <w:spacing w:after="0" w:line="94" w:lineRule="exact"/>
              <w:rPr>
                <w:sz w:val="20"/>
                <w:szCs w:val="20"/>
                <w:color w:val="auto"/>
              </w:rPr>
            </w:pPr>
            <w:r>
              <w:rPr>
                <w:rFonts w:ascii="Arial" w:cs="Arial" w:eastAsia="Arial" w:hAnsi="Arial"/>
                <w:sz w:val="10"/>
                <w:szCs w:val="10"/>
                <w:color w:val="auto"/>
              </w:rPr>
              <w:t>​​ ​​</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jc w:val="right"/>
              <w:spacing w:after="0" w:line="9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5"/>
                <w:szCs w:val="1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40"/>
              <w:spacing w:after="0" w:line="176" w:lineRule="exact"/>
              <w:rPr>
                <w:sz w:val="20"/>
                <w:szCs w:val="20"/>
                <w:color w:val="auto"/>
              </w:rPr>
            </w:pPr>
            <w:r>
              <w:rPr>
                <w:rFonts w:ascii="Arial" w:cs="Arial" w:eastAsia="Arial" w:hAnsi="Arial"/>
                <w:sz w:val="18"/>
                <w:szCs w:val="18"/>
                <w:color w:val="auto"/>
              </w:rPr>
              <w:t>​ —</w:t>
            </w:r>
          </w:p>
        </w:tc>
        <w:tc>
          <w:tcPr>
            <w:tcW w:w="320" w:type="dxa"/>
            <w:vAlign w:val="bottom"/>
            <w:gridSpan w:val="2"/>
            <w:vMerge w:val="restart"/>
          </w:tcPr>
          <w:p>
            <w:pPr>
              <w:ind w:left="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18"/>
              <w:spacing w:after="0" w:line="17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8"/>
              <w:spacing w:after="0" w:line="176"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1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98"/>
              <w:spacing w:after="0" w:line="17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(2)</w:t>
            </w:r>
          </w:p>
        </w:tc>
        <w:tc>
          <w:tcPr>
            <w:tcW w:w="180" w:type="dxa"/>
            <w:vAlign w:val="bottom"/>
          </w:tcPr>
          <w:p>
            <w:pPr>
              <w:ind w:left="100"/>
              <w:spacing w:after="0" w:line="176"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8"/>
        </w:trPr>
        <w:tc>
          <w:tcPr>
            <w:tcW w:w="2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 ​​</w:t>
            </w: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gridSpan w:val="2"/>
          </w:tcPr>
          <w:p>
            <w:pPr>
              <w:spacing w:after="0" w:line="68" w:lineRule="exact"/>
              <w:rPr>
                <w:sz w:val="20"/>
                <w:szCs w:val="20"/>
                <w:color w:val="auto"/>
              </w:rPr>
            </w:pPr>
            <w:r>
              <w:rPr>
                <w:rFonts w:ascii="Arial" w:cs="Arial" w:eastAsia="Arial" w:hAnsi="Arial"/>
                <w:sz w:val="7"/>
                <w:szCs w:val="7"/>
                <w:color w:val="auto"/>
              </w:rPr>
              <w:t>​​ ​​</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gridSpan w:val="2"/>
          </w:tcPr>
          <w:p>
            <w:pPr>
              <w:spacing w:after="0" w:line="68" w:lineRule="exact"/>
              <w:rPr>
                <w:sz w:val="20"/>
                <w:szCs w:val="20"/>
                <w:color w:val="auto"/>
              </w:rPr>
            </w:pPr>
            <w:r>
              <w:rPr>
                <w:rFonts w:ascii="Arial" w:cs="Arial" w:eastAsia="Arial" w:hAnsi="Arial"/>
                <w:sz w:val="7"/>
                <w:szCs w:val="7"/>
                <w:color w:val="auto"/>
              </w:rPr>
              <w:t>​​ ​​</w:t>
            </w: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84"/>
              </w:rPr>
              <w:t>​$339</w:t>
            </w:r>
          </w:p>
        </w:tc>
        <w:tc>
          <w:tcPr>
            <w:tcW w:w="240" w:type="dxa"/>
            <w:vAlign w:val="bottom"/>
          </w:tcPr>
          <w:p>
            <w:pPr>
              <w:spacing w:after="0"/>
              <w:rPr>
                <w:sz w:val="24"/>
                <w:szCs w:val="24"/>
                <w:color w:val="auto"/>
              </w:rPr>
            </w:pPr>
          </w:p>
        </w:tc>
        <w:tc>
          <w:tcPr>
            <w:tcW w:w="3080" w:type="dxa"/>
            <w:vAlign w:val="bottom"/>
            <w:gridSpan w:val="17"/>
          </w:tcPr>
          <w:p>
            <w:pPr>
              <w:jc w:val="right"/>
              <w:ind w:right="220"/>
              <w:spacing w:after="0"/>
              <w:rPr>
                <w:sz w:val="20"/>
                <w:szCs w:val="20"/>
                <w:color w:val="auto"/>
              </w:rPr>
            </w:pPr>
            <w:r>
              <w:rPr>
                <w:rFonts w:ascii="Arial" w:cs="Arial" w:eastAsia="Arial" w:hAnsi="Arial"/>
                <w:sz w:val="18"/>
                <w:szCs w:val="18"/>
                <w:color w:val="auto"/>
              </w:rPr>
              <w:t>​​ ​​$1,050​​ ​​$2,798​​ ​​$3,524​​ ​​$5,542</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$6,068​</w:t>
            </w:r>
          </w:p>
        </w:tc>
        <w:tc>
          <w:tcPr>
            <w:tcW w:w="0" w:type="dxa"/>
            <w:vAlign w:val="bottom"/>
          </w:tcPr>
          <w:p>
            <w:pPr>
              <w:spacing w:after="0"/>
              <w:rPr>
                <w:sz w:val="1"/>
                <w:szCs w:val="1"/>
                <w:color w:val="auto"/>
              </w:rPr>
            </w:pPr>
          </w:p>
        </w:tc>
      </w:tr>
      <w:tr>
        <w:trPr>
          <w:trHeight w:val="472"/>
        </w:trPr>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 ​ —</w:t>
            </w:r>
          </w:p>
        </w:tc>
        <w:tc>
          <w:tcPr>
            <w:tcW w:w="240" w:type="dxa"/>
            <w:vAlign w:val="bottom"/>
          </w:tcPr>
          <w:p>
            <w:pPr>
              <w:spacing w:after="0"/>
              <w:rPr>
                <w:sz w:val="24"/>
                <w:szCs w:val="24"/>
                <w:color w:val="auto"/>
              </w:rPr>
            </w:pP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 ​​ ​</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83​​ ​​ ​</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72​​ ​​ ​</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105​​ ​​ ​</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316</w:t>
            </w:r>
          </w:p>
        </w:tc>
        <w:tc>
          <w:tcPr>
            <w:tcW w:w="220" w:type="dxa"/>
            <w:vAlign w:val="bottom"/>
          </w:tcPr>
          <w:p>
            <w:pPr>
              <w:spacing w:after="0"/>
              <w:rPr>
                <w:sz w:val="24"/>
                <w:szCs w:val="24"/>
                <w:color w:val="auto"/>
              </w:rPr>
            </w:pP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4"/>
                <w:szCs w:val="24"/>
                <w:color w:val="auto"/>
              </w:rPr>
            </w:pPr>
          </w:p>
        </w:tc>
        <w:tc>
          <w:tcPr>
            <w:tcW w:w="360" w:type="dxa"/>
            <w:vAlign w:val="bottom"/>
            <w:gridSpan w:val="3"/>
          </w:tcPr>
          <w:p>
            <w:pPr>
              <w:jc w:val="right"/>
              <w:spacing w:after="0" w:line="264" w:lineRule="exact"/>
              <w:rPr>
                <w:sz w:val="20"/>
                <w:szCs w:val="20"/>
                <w:color w:val="auto"/>
              </w:rPr>
            </w:pPr>
            <w:r>
              <w:rPr>
                <w:rFonts w:ascii="Arial" w:cs="Arial" w:eastAsia="Arial" w:hAnsi="Arial"/>
                <w:sz w:val="30"/>
                <w:szCs w:val="30"/>
                <w:color w:val="auto"/>
                <w:w w:val="95"/>
                <w:vertAlign w:val="subscript"/>
              </w:rPr>
              <w:t>​</w:t>
            </w:r>
            <w:r>
              <w:rPr>
                <w:rFonts w:ascii="Arial" w:cs="Arial" w:eastAsia="Arial" w:hAnsi="Arial"/>
                <w:sz w:val="16"/>
                <w:szCs w:val="16"/>
                <w:u w:val="single" w:color="auto"/>
                <w:color w:val="auto"/>
                <w:w w:val="95"/>
              </w:rPr>
              <w:t>$</w:t>
            </w:r>
            <w:r>
              <w:rPr>
                <w:rFonts w:ascii="Arial" w:cs="Arial" w:eastAsia="Arial" w:hAnsi="Arial"/>
                <w:sz w:val="16"/>
                <w:szCs w:val="16"/>
                <w:color w:val="auto"/>
                <w:w w:val="95"/>
              </w:rPr>
              <w:t>339</w:t>
            </w:r>
          </w:p>
        </w:tc>
        <w:tc>
          <w:tcPr>
            <w:tcW w:w="240" w:type="dxa"/>
            <w:vAlign w:val="bottom"/>
          </w:tcPr>
          <w:p>
            <w:pPr>
              <w:spacing w:after="0"/>
              <w:rPr>
                <w:sz w:val="24"/>
                <w:szCs w:val="24"/>
                <w:color w:val="auto"/>
              </w:rPr>
            </w:pPr>
          </w:p>
        </w:tc>
        <w:tc>
          <w:tcPr>
            <w:tcW w:w="3080" w:type="dxa"/>
            <w:vAlign w:val="bottom"/>
            <w:gridSpan w:val="17"/>
          </w:tcPr>
          <w:p>
            <w:pPr>
              <w:jc w:val="right"/>
              <w:ind w:right="2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1,133</w:t>
            </w:r>
            <w:r>
              <w:rPr>
                <w:rFonts w:ascii="Arial" w:cs="Arial" w:eastAsia="Arial" w:hAnsi="Arial"/>
                <w:sz w:val="30"/>
                <w:szCs w:val="30"/>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2,870</w:t>
            </w:r>
            <w:r>
              <w:rPr>
                <w:rFonts w:ascii="Arial" w:cs="Arial" w:eastAsia="Arial" w:hAnsi="Arial"/>
                <w:sz w:val="30"/>
                <w:szCs w:val="30"/>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3,629</w:t>
            </w:r>
            <w:r>
              <w:rPr>
                <w:rFonts w:ascii="Arial" w:cs="Arial" w:eastAsia="Arial" w:hAnsi="Arial"/>
                <w:sz w:val="30"/>
                <w:szCs w:val="30"/>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5,858</w:t>
            </w:r>
          </w:p>
        </w:tc>
        <w:tc>
          <w:tcPr>
            <w:tcW w:w="56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$6,340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380" w:space="440"/>
            <w:col w:w="5059"/>
          </w:cols>
          <w:pgMar w:left="580" w:top="90" w:right="1440" w:bottom="1440" w:gutter="0" w:footer="0" w:header="0"/>
          <w:type w:val="continuous"/>
        </w:sectPr>
      </w:pPr>
    </w:p>
    <w:p>
      <w:pPr>
        <w:spacing w:after="0" w:line="29" w:lineRule="exact"/>
        <w:rPr>
          <w:sz w:val="20"/>
          <w:szCs w:val="20"/>
          <w:color w:val="auto"/>
        </w:rPr>
      </w:pPr>
    </w:p>
    <w:p>
      <w:pPr>
        <w:ind w:left="1280" w:right="579" w:firstLine="360"/>
        <w:spacing w:after="0" w:line="255" w:lineRule="auto"/>
        <w:rPr>
          <w:sz w:val="20"/>
          <w:szCs w:val="20"/>
          <w:color w:val="auto"/>
        </w:rPr>
      </w:pPr>
      <w:r>
        <w:rPr>
          <w:rFonts w:ascii="Arial" w:cs="Arial" w:eastAsia="Arial" w:hAnsi="Arial"/>
          <w:sz w:val="18"/>
          <w:szCs w:val="18"/>
          <w:color w:val="auto"/>
        </w:rPr>
        <w:t>Aggregate gross book value is included in this prospectus supplement because it is a measure used by management and our board of directors to assess our balance sheet. Aggregate gross book value is not a GAAP measure and should not be considered as an alternative to gross book value as a measure of capitalization, or any other performance or balance sheet measure derived in accordance with GAAP. Aggregate gross book value is not necessarily comparable to similarly titled captions of other companies due to different methods of calculation.</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Net Income Reconciliation</w:t>
      </w:r>
    </w:p>
    <w:p>
      <w:pPr>
        <w:spacing w:after="0" w:line="144" w:lineRule="exact"/>
        <w:rPr>
          <w:sz w:val="20"/>
          <w:szCs w:val="20"/>
          <w:color w:val="auto"/>
        </w:rPr>
      </w:pPr>
    </w:p>
    <w:p>
      <w:pPr>
        <w:ind w:left="1280" w:right="539" w:firstLine="360"/>
        <w:spacing w:after="0" w:line="259" w:lineRule="auto"/>
        <w:rPr>
          <w:sz w:val="20"/>
          <w:szCs w:val="20"/>
          <w:color w:val="auto"/>
        </w:rPr>
      </w:pPr>
      <w:r>
        <w:rPr>
          <w:rFonts w:ascii="Arial" w:cs="Arial" w:eastAsia="Arial" w:hAnsi="Arial"/>
          <w:sz w:val="18"/>
          <w:szCs w:val="18"/>
          <w:color w:val="auto"/>
        </w:rPr>
        <w:t>Our goal is to consistently deliver strong financial performance and continue to pursue growth opportunities in our industry. The following table presents a reconciliation of net income excluding merger and Caret related costs and non-recurring gains to net income for the three and six month periods ended June 30, 2023 and 2022:</w:t>
      </w:r>
    </w:p>
    <w:p>
      <w:pPr>
        <w:sectPr>
          <w:pgSz w:w="11900" w:h="16838" w:orient="portrait"/>
          <w:cols w:equalWidth="0" w:num="1">
            <w:col w:w="9879"/>
          </w:cols>
          <w:pgMar w:left="580" w:top="90" w:right="1440" w:bottom="1440" w:gutter="0" w:footer="0" w:header="0"/>
          <w:type w:val="continuous"/>
        </w:sectPr>
      </w:pPr>
    </w:p>
    <w:p>
      <w:pPr>
        <w:spacing w:after="0" w:line="340"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w:t>
      </w:r>
    </w:p>
    <w:p>
      <w:pPr>
        <w:spacing w:after="0" w:line="69"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 thousands)</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5"/>
          <w:szCs w:val="15"/>
          <w:b w:val="1"/>
          <w:bCs w:val="1"/>
          <w:color w:val="auto"/>
        </w:rPr>
        <w:t>Net income attributable to Safehold Inc. common stockholders</w:t>
      </w:r>
    </w:p>
    <w:p>
      <w:pPr>
        <w:spacing w:after="0" w:line="75" w:lineRule="exact"/>
        <w:rPr>
          <w:sz w:val="20"/>
          <w:szCs w:val="20"/>
          <w:color w:val="auto"/>
        </w:rPr>
      </w:pPr>
    </w:p>
    <w:p>
      <w:pPr>
        <w:ind w:left="1640" w:right="400" w:hanging="179"/>
        <w:spacing w:after="0" w:line="255" w:lineRule="auto"/>
        <w:rPr>
          <w:sz w:val="20"/>
          <w:szCs w:val="20"/>
          <w:color w:val="auto"/>
        </w:rPr>
      </w:pPr>
      <w:r>
        <w:rPr>
          <w:rFonts w:ascii="Arial" w:cs="Arial" w:eastAsia="Arial" w:hAnsi="Arial"/>
          <w:sz w:val="18"/>
          <w:szCs w:val="18"/>
          <w:color w:val="auto"/>
        </w:rPr>
        <w:t>Add: Merger &amp; Caret related costs and non-recurring gains</w:t>
      </w:r>
      <w:r>
        <w:rPr>
          <w:rFonts w:ascii="Arial" w:cs="Arial" w:eastAsia="Arial" w:hAnsi="Arial"/>
          <w:sz w:val="23"/>
          <w:szCs w:val="23"/>
          <w:color w:val="auto"/>
          <w:vertAlign w:val="superscript"/>
        </w:rPr>
        <w:t>(1)</w:t>
      </w:r>
    </w:p>
    <w:p>
      <w:pPr>
        <w:spacing w:after="0" w:line="1" w:lineRule="exact"/>
        <w:rPr>
          <w:sz w:val="20"/>
          <w:szCs w:val="20"/>
          <w:color w:val="auto"/>
        </w:rPr>
      </w:pPr>
    </w:p>
    <w:p>
      <w:pPr>
        <w:ind w:left="1460" w:right="140" w:hanging="179"/>
        <w:spacing w:after="0" w:line="275" w:lineRule="auto"/>
        <w:rPr>
          <w:sz w:val="20"/>
          <w:szCs w:val="20"/>
          <w:color w:val="auto"/>
        </w:rPr>
      </w:pPr>
      <w:r>
        <w:rPr>
          <w:rFonts w:ascii="Arial" w:cs="Arial" w:eastAsia="Arial" w:hAnsi="Arial"/>
          <w:sz w:val="18"/>
          <w:szCs w:val="18"/>
          <w:b w:val="1"/>
          <w:bCs w:val="1"/>
          <w:color w:val="auto"/>
        </w:rPr>
        <w:t>Net income excluding merger &amp; Caret related costs and non-recurring gains for the period</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7"/>
          </w:tcPr>
          <w:p>
            <w:pPr>
              <w:jc w:val="center"/>
              <w:ind w:right="68"/>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r>
      <w:tr>
        <w:trPr>
          <w:trHeight w:val="225"/>
        </w:trPr>
        <w:tc>
          <w:tcPr>
            <w:tcW w:w="80" w:type="dxa"/>
            <w:vAlign w:val="bottom"/>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center"/>
              <w:ind w:left="222"/>
              <w:spacing w:after="0"/>
              <w:rPr>
                <w:sz w:val="20"/>
                <w:szCs w:val="20"/>
                <w:color w:val="auto"/>
              </w:rPr>
            </w:pPr>
            <w:r>
              <w:rPr>
                <w:rFonts w:ascii="Arial" w:cs="Arial" w:eastAsia="Arial" w:hAnsi="Arial"/>
                <w:sz w:val="14"/>
                <w:szCs w:val="14"/>
                <w:b w:val="1"/>
                <w:bCs w:val="1"/>
                <w:color w:val="auto"/>
                <w:w w:val="88"/>
              </w:rPr>
              <w:t>June 30</w:t>
            </w:r>
          </w:p>
        </w:tc>
        <w:tc>
          <w:tcPr>
            <w:tcW w:w="46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80" w:type="dxa"/>
            <w:vAlign w:val="bottom"/>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1"/>
                <w:szCs w:val="21"/>
                <w:color w:val="auto"/>
              </w:rPr>
            </w:pPr>
          </w:p>
        </w:tc>
        <w:tc>
          <w:tcPr>
            <w:tcW w:w="580" w:type="dxa"/>
            <w:vAlign w:val="bottom"/>
            <w:gridSpan w:val="2"/>
          </w:tcPr>
          <w:p>
            <w:pPr>
              <w:jc w:val="right"/>
              <w:ind w:right="40"/>
              <w:spacing w:after="0" w:line="250" w:lineRule="exact"/>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28"/>
                <w:szCs w:val="28"/>
                <w:b w:val="1"/>
                <w:bCs w:val="1"/>
                <w:color w:val="auto"/>
                <w:vertAlign w:val="subscript"/>
              </w:rPr>
              <w:t>​</w:t>
            </w:r>
          </w:p>
        </w:tc>
        <w:tc>
          <w:tcPr>
            <w:tcW w:w="22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spacing w:after="0" w:line="250" w:lineRule="exact"/>
              <w:rPr>
                <w:sz w:val="20"/>
                <w:szCs w:val="20"/>
                <w:color w:val="auto"/>
              </w:rPr>
            </w:pPr>
            <w:r>
              <w:rPr>
                <w:rFonts w:ascii="Arial" w:cs="Arial" w:eastAsia="Arial" w:hAnsi="Arial"/>
                <w:sz w:val="14"/>
                <w:szCs w:val="14"/>
                <w:b w:val="1"/>
                <w:bCs w:val="1"/>
                <w:color w:val="auto"/>
              </w:rPr>
              <w:t xml:space="preserve">2023   </w:t>
            </w:r>
            <w:r>
              <w:rPr>
                <w:rFonts w:ascii="Arial" w:cs="Arial" w:eastAsia="Arial" w:hAnsi="Arial"/>
                <w:sz w:val="28"/>
                <w:szCs w:val="28"/>
                <w:b w:val="1"/>
                <w:bCs w:val="1"/>
                <w:color w:val="auto"/>
                <w:vertAlign w:val="subscript"/>
              </w:rPr>
              <w:t>​</w:t>
            </w:r>
          </w:p>
        </w:tc>
        <w:tc>
          <w:tcPr>
            <w:tcW w:w="24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spacing w:after="0" w:line="250" w:lineRule="exact"/>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28"/>
                <w:szCs w:val="28"/>
                <w:b w:val="1"/>
                <w:bCs w:val="1"/>
                <w:color w:val="auto"/>
                <w:vertAlign w:val="subscript"/>
              </w:rPr>
              <w:t>​</w:t>
            </w:r>
          </w:p>
        </w:tc>
        <w:tc>
          <w:tcPr>
            <w:tcW w:w="680" w:type="dxa"/>
            <w:vAlign w:val="bottom"/>
            <w:gridSpan w:val="2"/>
          </w:tcPr>
          <w:p>
            <w:pPr>
              <w:ind w:left="4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2023</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4"/>
          </w:tcPr>
          <w:p>
            <w:pPr>
              <w:ind w:left="20"/>
              <w:spacing w:after="0"/>
              <w:rPr>
                <w:sz w:val="20"/>
                <w:szCs w:val="20"/>
                <w:color w:val="auto"/>
              </w:rPr>
            </w:pPr>
            <w:r>
              <w:rPr>
                <w:rFonts w:ascii="Arial" w:cs="Arial" w:eastAsia="Arial" w:hAnsi="Arial"/>
                <w:sz w:val="18"/>
                <w:szCs w:val="18"/>
                <w:color w:val="auto"/>
              </w:rPr>
              <w:t>​​$22,678​​</w:t>
            </w:r>
          </w:p>
        </w:tc>
        <w:tc>
          <w:tcPr>
            <w:tcW w:w="800" w:type="dxa"/>
            <w:vAlign w:val="bottom"/>
            <w:gridSpan w:val="4"/>
          </w:tcPr>
          <w:p>
            <w:pPr>
              <w:ind w:left="20"/>
              <w:spacing w:after="0"/>
              <w:rPr>
                <w:sz w:val="20"/>
                <w:szCs w:val="20"/>
                <w:color w:val="auto"/>
              </w:rPr>
            </w:pPr>
            <w:r>
              <w:rPr>
                <w:rFonts w:ascii="Arial" w:cs="Arial" w:eastAsia="Arial" w:hAnsi="Arial"/>
                <w:sz w:val="18"/>
                <w:szCs w:val="18"/>
                <w:color w:val="auto"/>
              </w:rPr>
              <w:t>​​$22,130​​</w:t>
            </w:r>
          </w:p>
        </w:tc>
        <w:tc>
          <w:tcPr>
            <w:tcW w:w="800" w:type="dxa"/>
            <w:vAlign w:val="bottom"/>
            <w:gridSpan w:val="4"/>
          </w:tcPr>
          <w:p>
            <w:pPr>
              <w:ind w:left="40"/>
              <w:spacing w:after="0"/>
              <w:rPr>
                <w:sz w:val="20"/>
                <w:szCs w:val="20"/>
                <w:color w:val="auto"/>
              </w:rPr>
            </w:pPr>
            <w:r>
              <w:rPr>
                <w:rFonts w:ascii="Arial" w:cs="Arial" w:eastAsia="Arial" w:hAnsi="Arial"/>
                <w:sz w:val="18"/>
                <w:szCs w:val="18"/>
                <w:color w:val="auto"/>
              </w:rPr>
              <w:t>​​$47,551​​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​​$26,812​</w:t>
            </w:r>
          </w:p>
        </w:tc>
      </w:tr>
      <w:tr>
        <w:trPr>
          <w:trHeight w:val="473"/>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r>
              <w:rPr>
                <w:rFonts w:ascii="Arial" w:cs="Arial" w:eastAsia="Arial" w:hAnsi="Arial"/>
                <w:sz w:val="35"/>
                <w:szCs w:val="35"/>
                <w:color w:val="auto"/>
                <w:vertAlign w:val="subscript"/>
              </w:rPr>
              <w:t>​​</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425</w:t>
            </w:r>
            <w:r>
              <w:rPr>
                <w:rFonts w:ascii="Arial" w:cs="Arial" w:eastAsia="Arial" w:hAnsi="Arial"/>
                <w:sz w:val="35"/>
                <w:szCs w:val="35"/>
                <w:color w:val="auto"/>
                <w:vertAlign w:val="subscript"/>
              </w:rPr>
              <w:t>​​</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446</w:t>
            </w:r>
            <w:r>
              <w:rPr>
                <w:rFonts w:ascii="Arial" w:cs="Arial" w:eastAsia="Arial" w:hAnsi="Arial"/>
                <w:sz w:val="35"/>
                <w:szCs w:val="35"/>
                <w:color w:val="auto"/>
                <w:vertAlign w:val="subscript"/>
              </w:rPr>
              <w:t>​​</w:t>
            </w:r>
          </w:p>
        </w:tc>
        <w:tc>
          <w:tcPr>
            <w:tcW w:w="720" w:type="dxa"/>
            <w:vAlign w:val="bottom"/>
            <w:gridSpan w:val="3"/>
          </w:tcPr>
          <w:p>
            <w:pPr>
              <w:jc w:val="right"/>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​22,023</w:t>
            </w:r>
            <w:r>
              <w:rPr>
                <w:rFonts w:ascii="Arial" w:cs="Arial" w:eastAsia="Arial" w:hAnsi="Arial"/>
                <w:sz w:val="35"/>
                <w:szCs w:val="35"/>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4"/>
          </w:tcPr>
          <w:p>
            <w:pPr>
              <w:ind w:left="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u w:val="single" w:color="auto"/>
                <w:color w:val="auto"/>
              </w:rPr>
              <w:t>$</w:t>
            </w:r>
            <w:r>
              <w:rPr>
                <w:rFonts w:ascii="Arial" w:cs="Arial" w:eastAsia="Arial" w:hAnsi="Arial"/>
                <w:sz w:val="18"/>
                <w:szCs w:val="18"/>
                <w:color w:val="auto"/>
              </w:rPr>
              <w:t>23,124</w:t>
            </w:r>
            <w:r>
              <w:rPr>
                <w:rFonts w:ascii="Arial" w:cs="Arial" w:eastAsia="Arial" w:hAnsi="Arial"/>
                <w:sz w:val="35"/>
                <w:szCs w:val="35"/>
                <w:color w:val="auto"/>
                <w:vertAlign w:val="subscript"/>
              </w:rPr>
              <w:t>​​</w:t>
            </w:r>
          </w:p>
        </w:tc>
        <w:tc>
          <w:tcPr>
            <w:tcW w:w="800" w:type="dxa"/>
            <w:vAlign w:val="bottom"/>
            <w:gridSpan w:val="4"/>
          </w:tcPr>
          <w:p>
            <w:pPr>
              <w:ind w:left="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u w:val="single" w:color="auto"/>
                <w:color w:val="auto"/>
              </w:rPr>
              <w:t>$</w:t>
            </w:r>
            <w:r>
              <w:rPr>
                <w:rFonts w:ascii="Arial" w:cs="Arial" w:eastAsia="Arial" w:hAnsi="Arial"/>
                <w:sz w:val="18"/>
                <w:szCs w:val="18"/>
                <w:color w:val="auto"/>
              </w:rPr>
              <w:t>22,555</w:t>
            </w:r>
            <w:r>
              <w:rPr>
                <w:rFonts w:ascii="Arial" w:cs="Arial" w:eastAsia="Arial" w:hAnsi="Arial"/>
                <w:sz w:val="35"/>
                <w:szCs w:val="35"/>
                <w:color w:val="auto"/>
                <w:vertAlign w:val="subscript"/>
              </w:rPr>
              <w:t>​​</w:t>
            </w:r>
          </w:p>
        </w:tc>
        <w:tc>
          <w:tcPr>
            <w:tcW w:w="800" w:type="dxa"/>
            <w:vAlign w:val="bottom"/>
            <w:gridSpan w:val="4"/>
          </w:tcPr>
          <w:p>
            <w:pPr>
              <w:ind w:left="4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u w:val="single" w:color="auto"/>
                <w:color w:val="auto"/>
              </w:rPr>
              <w:t>$</w:t>
            </w:r>
            <w:r>
              <w:rPr>
                <w:rFonts w:ascii="Arial" w:cs="Arial" w:eastAsia="Arial" w:hAnsi="Arial"/>
                <w:sz w:val="18"/>
                <w:szCs w:val="18"/>
                <w:color w:val="auto"/>
              </w:rPr>
              <w:t>47,997</w:t>
            </w:r>
            <w:r>
              <w:rPr>
                <w:rFonts w:ascii="Arial" w:cs="Arial" w:eastAsia="Arial" w:hAnsi="Arial"/>
                <w:sz w:val="35"/>
                <w:szCs w:val="35"/>
                <w:color w:val="auto"/>
                <w:vertAlign w:val="subscript"/>
              </w:rPr>
              <w:t>​​</w:t>
            </w:r>
          </w:p>
        </w:tc>
        <w:tc>
          <w:tcPr>
            <w:tcW w:w="720" w:type="dxa"/>
            <w:vAlign w:val="bottom"/>
            <w:gridSpan w:val="3"/>
          </w:tcPr>
          <w:p>
            <w:pPr>
              <w:jc w:val="right"/>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u w:val="single" w:color="auto"/>
                <w:color w:val="auto"/>
              </w:rPr>
              <w:t>$</w:t>
            </w:r>
            <w:r>
              <w:rPr>
                <w:rFonts w:ascii="Arial" w:cs="Arial" w:eastAsia="Arial" w:hAnsi="Arial"/>
                <w:sz w:val="18"/>
                <w:szCs w:val="18"/>
                <w:color w:val="auto"/>
              </w:rPr>
              <w:t>48,835</w:t>
            </w:r>
            <w:r>
              <w:rPr>
                <w:rFonts w:ascii="Arial" w:cs="Arial" w:eastAsia="Arial" w:hAnsi="Arial"/>
                <w:sz w:val="35"/>
                <w:szCs w:val="35"/>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60" w:space="460"/>
            <w:col w:w="355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1640" w:right="459" w:hanging="366"/>
        <w:spacing w:after="0" w:line="272" w:lineRule="auto"/>
        <w:tabs>
          <w:tab w:leader="none" w:pos="1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Merger and Caret related costs for the three and six months ended June 30, 2023 included $0.4 million and $10.1 million, respectively, of expense and reserves primarily related to legal, tax, accounting and advisors, $0.0 and $6.7 million, respectively, of transfer tax and $0.0 and $5.3 million, respectively, of general and administrative expenses primarily related to the termination of pre-existing iStar incentive plans and other miscellaneous items. Merger and Caret related costs for the three and six months ended June 30, 2022 primarily related to legal, tax and accounting. There were no non-recurring gains during these periods. All numbers net of impact attributable to noncontrolling interests.</w:t>
      </w:r>
    </w:p>
    <w:p>
      <w:pPr>
        <w:spacing w:after="0" w:line="96" w:lineRule="exact"/>
        <w:rPr>
          <w:sz w:val="20"/>
          <w:szCs w:val="20"/>
          <w:color w:val="auto"/>
        </w:rPr>
      </w:pPr>
    </w:p>
    <w:p>
      <w:pPr>
        <w:ind w:left="1280" w:right="439" w:firstLine="360"/>
        <w:spacing w:after="0" w:line="269" w:lineRule="auto"/>
        <w:rPr>
          <w:sz w:val="20"/>
          <w:szCs w:val="20"/>
          <w:color w:val="auto"/>
        </w:rPr>
      </w:pPr>
      <w:r>
        <w:rPr>
          <w:rFonts w:ascii="Arial" w:cs="Arial" w:eastAsia="Arial" w:hAnsi="Arial"/>
          <w:sz w:val="17"/>
          <w:szCs w:val="17"/>
          <w:color w:val="auto"/>
        </w:rPr>
        <w:t>Net income attributable to Safehold Inc. common stockholders excluding merger and Caret related costs and non-recurring gains is a non-GAAP measure used as a supplemental performance measure to give management and investors a view of net income more directly derived from operating activities in the period in which they occur. Net income attributable to Safehold Inc. common stockholders excluding merger and Caret related costs and non-recurring gains is calculated as net income attributable to common stockholders, prior to the effect of non-recurring gains, and charges related to the merger, administration of Caret, and origination of the secured term loan to Star Holdings, all as adjusted to exclude corresponding amounts allocable to non-controlling interests. It should be examined in conjunction with net income attributable to common stockholders as shown in our consolidated statements of operations. It should not be considered as an alternative to net income attributable to common stockholders (determined in accordance with GAAP). This measure may differ from similarly titled measures used by other companies.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Recently Completed and Potential Investments</w:t>
      </w:r>
    </w:p>
    <w:p>
      <w:pPr>
        <w:spacing w:after="0" w:line="158" w:lineRule="exact"/>
        <w:rPr>
          <w:sz w:val="20"/>
          <w:szCs w:val="20"/>
          <w:color w:val="auto"/>
        </w:rPr>
      </w:pPr>
    </w:p>
    <w:p>
      <w:pPr>
        <w:ind w:left="1280" w:right="439" w:firstLine="360"/>
        <w:spacing w:after="0" w:line="257" w:lineRule="auto"/>
        <w:rPr>
          <w:sz w:val="20"/>
          <w:szCs w:val="20"/>
          <w:color w:val="auto"/>
        </w:rPr>
      </w:pPr>
      <w:r>
        <w:rPr>
          <w:rFonts w:ascii="Arial" w:cs="Arial" w:eastAsia="Arial" w:hAnsi="Arial"/>
          <w:sz w:val="18"/>
          <w:szCs w:val="18"/>
          <w:color w:val="auto"/>
        </w:rPr>
        <w:t>As of the date of this prospectus supplement, we have approximately $271.7 million of unfunded commitments. Of such unfunded commitments, $250.6 million are related to leasehold improvement allowances and $21.1 million are a purchase commitment related to an investment that has moved out of the pre-development stage and, as a result, we are obligated to purchase when all conditions are satisfied (such conditions may or may not be satisfied).</w:t>
      </w:r>
    </w:p>
    <w:p>
      <w:pPr>
        <w:spacing w:after="0" w:line="120" w:lineRule="exact"/>
        <w:rPr>
          <w:sz w:val="20"/>
          <w:szCs w:val="20"/>
          <w:color w:val="auto"/>
        </w:rPr>
      </w:pPr>
    </w:p>
    <w:p>
      <w:pPr>
        <w:ind w:left="1280" w:right="519" w:firstLine="360"/>
        <w:spacing w:after="0" w:line="273" w:lineRule="auto"/>
        <w:rPr>
          <w:sz w:val="20"/>
          <w:szCs w:val="20"/>
          <w:color w:val="auto"/>
        </w:rPr>
      </w:pPr>
      <w:r>
        <w:rPr>
          <w:rFonts w:ascii="Arial" w:cs="Arial" w:eastAsia="Arial" w:hAnsi="Arial"/>
          <w:sz w:val="17"/>
          <w:szCs w:val="17"/>
          <w:color w:val="auto"/>
        </w:rPr>
        <w:t>We also have signed letters of intent or are in an advanced stage of negotiations to originate or enter into a commitment to purchase an aggregate of five Ground Leases for approximately $181.7 million, have $258.0 million in GL Plus Fund commitments (there can be no assurance that these transactions will be completed), and have $127.7 million in Leasehold Loan Fund commitments. Our existing GL Plus Fund commitments and non-binding letters of intent assume 100% ownership. Our joint venture partner can purchase 45% of the commitments under non-binding letters of intent at their discretion.</w:t>
      </w:r>
    </w:p>
    <w:p>
      <w:pPr>
        <w:spacing w:after="0" w:line="97" w:lineRule="exact"/>
        <w:rPr>
          <w:sz w:val="20"/>
          <w:szCs w:val="20"/>
          <w:color w:val="auto"/>
        </w:rPr>
      </w:pPr>
    </w:p>
    <w:p>
      <w:pPr>
        <w:ind w:left="1280" w:right="1179" w:firstLine="360"/>
        <w:spacing w:after="0" w:line="277" w:lineRule="auto"/>
        <w:rPr>
          <w:sz w:val="20"/>
          <w:szCs w:val="20"/>
          <w:color w:val="auto"/>
        </w:rPr>
      </w:pPr>
      <w:r>
        <w:rPr>
          <w:rFonts w:ascii="Arial" w:cs="Arial" w:eastAsia="Arial" w:hAnsi="Arial"/>
          <w:sz w:val="18"/>
          <w:szCs w:val="18"/>
          <w:color w:val="auto"/>
        </w:rPr>
        <w:t>The property type of all five transactions under letters of intent or in advanced negotiations is Multifamily, three of which are Student Housing.</w:t>
      </w:r>
    </w:p>
    <w:p>
      <w:pPr>
        <w:spacing w:after="0" w:line="103" w:lineRule="exact"/>
        <w:rPr>
          <w:sz w:val="20"/>
          <w:szCs w:val="20"/>
          <w:color w:val="auto"/>
        </w:rPr>
      </w:pPr>
    </w:p>
    <w:p>
      <w:pPr>
        <w:ind w:left="1280" w:right="439" w:firstLine="360"/>
        <w:spacing w:after="0" w:line="272" w:lineRule="auto"/>
        <w:rPr>
          <w:sz w:val="20"/>
          <w:szCs w:val="20"/>
          <w:color w:val="auto"/>
        </w:rPr>
      </w:pPr>
      <w:r>
        <w:rPr>
          <w:rFonts w:ascii="Arial" w:cs="Arial" w:eastAsia="Arial" w:hAnsi="Arial"/>
          <w:sz w:val="17"/>
          <w:szCs w:val="17"/>
          <w:color w:val="auto"/>
        </w:rPr>
        <w:t>In addition, we believe that the credit, lease term and return characteristics of these investments are generally consistent with our target investment criteria. In addition, we are in active discussions with numerous potential tenants regarding other Ground Lease investment opportunities. Some of those discussions have progressed to signing letters of intent but are less probable as of the date of this prospectus supplement than the five signed letters of intent referenced above. These potential opportunities are located in diverse geographic locations, including markets within the United States that we have yet to invest in. The opportunities are also diversified among property type, including multifamily and hotel.</w:t>
      </w:r>
    </w:p>
    <w:p>
      <w:pPr>
        <w:spacing w:after="0" w:line="110" w:lineRule="exact"/>
        <w:rPr>
          <w:sz w:val="20"/>
          <w:szCs w:val="20"/>
          <w:color w:val="auto"/>
        </w:rPr>
      </w:pPr>
    </w:p>
    <w:p>
      <w:pPr>
        <w:ind w:left="1280" w:right="539" w:firstLine="360"/>
        <w:spacing w:after="0" w:line="263" w:lineRule="auto"/>
        <w:rPr>
          <w:sz w:val="20"/>
          <w:szCs w:val="20"/>
          <w:color w:val="auto"/>
        </w:rPr>
      </w:pPr>
      <w:r>
        <w:rPr>
          <w:rFonts w:ascii="Arial" w:cs="Arial" w:eastAsia="Arial" w:hAnsi="Arial"/>
          <w:sz w:val="18"/>
          <w:szCs w:val="18"/>
          <w:color w:val="auto"/>
        </w:rPr>
        <w:t>There can be no assurance that we will ultimately enter into definitive purchase agreements for any of the opportunities under letter of intent or in active or advanced stages of negotiations, or that we will acquire or originate any of the investments currently being pursued.</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1"/>
          <w:szCs w:val="11"/>
          <w:color w:val="003366"/>
        </w:rPr>
        <w:t>TABLE OF CONTENTS</w:t>
      </w:r>
      <w:r>
        <w:rPr>
          <w:rFonts w:ascii="Arial" w:cs="Arial" w:eastAsia="Arial" w:hAnsi="Arial"/>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360680</wp:posOffset>
            </wp:positionV>
            <wp:extent cx="5507355" cy="8105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507355" cy="810514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Common stock offered</w:t>
      </w:r>
    </w:p>
    <w:p>
      <w:pPr>
        <w:spacing w:after="0" w:line="131" w:lineRule="exact"/>
        <w:rPr>
          <w:sz w:val="20"/>
          <w:szCs w:val="20"/>
          <w:color w:val="auto"/>
        </w:rPr>
      </w:pPr>
    </w:p>
    <w:p>
      <w:pPr>
        <w:ind w:left="1460" w:right="420" w:hanging="179"/>
        <w:spacing w:after="0" w:line="261" w:lineRule="auto"/>
        <w:rPr>
          <w:sz w:val="20"/>
          <w:szCs w:val="20"/>
          <w:color w:val="auto"/>
        </w:rPr>
      </w:pPr>
      <w:r>
        <w:rPr>
          <w:rFonts w:ascii="Arial" w:cs="Arial" w:eastAsia="Arial" w:hAnsi="Arial"/>
          <w:sz w:val="18"/>
          <w:szCs w:val="18"/>
          <w:color w:val="auto"/>
        </w:rPr>
        <w:t>Underwriters’ option to purchase additional shares</w:t>
      </w:r>
    </w:p>
    <w:p>
      <w:pPr>
        <w:spacing w:after="0" w:line="7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Concurrent MSD placement</w:t>
      </w:r>
    </w:p>
    <w:p>
      <w:pPr>
        <w:spacing w:after="0" w:line="131" w:lineRule="exact"/>
        <w:rPr>
          <w:sz w:val="20"/>
          <w:szCs w:val="20"/>
          <w:color w:val="auto"/>
        </w:rPr>
      </w:pPr>
    </w:p>
    <w:p>
      <w:pPr>
        <w:ind w:left="1460" w:hanging="179"/>
        <w:spacing w:after="0" w:line="286" w:lineRule="auto"/>
        <w:rPr>
          <w:sz w:val="20"/>
          <w:szCs w:val="20"/>
          <w:color w:val="auto"/>
        </w:rPr>
      </w:pPr>
      <w:r>
        <w:rPr>
          <w:rFonts w:ascii="Arial" w:cs="Arial" w:eastAsia="Arial" w:hAnsi="Arial"/>
          <w:sz w:val="17"/>
          <w:szCs w:val="17"/>
          <w:color w:val="auto"/>
        </w:rPr>
        <w:t>Common stock to be outstanding upon completion of this offering and the concurrent MSD placement</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Distribution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Safehold Inc.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6,500,000 shares.</w:t>
      </w:r>
      <w:r>
        <w:rPr>
          <w:rFonts w:ascii="Arial" w:cs="Arial" w:eastAsia="Arial" w:hAnsi="Arial"/>
          <w:sz w:val="26"/>
          <w:szCs w:val="26"/>
          <w:color w:val="auto"/>
          <w:vertAlign w:val="superscript"/>
        </w:rPr>
        <w:t>(1)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975,000 shares.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639,656 shares.</w:t>
      </w:r>
      <w:r>
        <w:rPr>
          <w:rFonts w:ascii="Arial" w:cs="Arial" w:eastAsia="Arial" w:hAnsi="Arial"/>
          <w:sz w:val="26"/>
          <w:szCs w:val="26"/>
          <w:color w:val="auto"/>
          <w:vertAlign w:val="superscript"/>
        </w:rPr>
        <w:t>(2)</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71,105,261 shares.</w:t>
      </w:r>
      <w:r>
        <w:rPr>
          <w:rFonts w:ascii="Arial" w:cs="Arial" w:eastAsia="Arial" w:hAnsi="Arial"/>
          <w:sz w:val="26"/>
          <w:szCs w:val="26"/>
          <w:color w:val="auto"/>
          <w:vertAlign w:val="superscript"/>
        </w:rPr>
        <w:t>(3)</w:t>
      </w:r>
    </w:p>
    <w:p>
      <w:pPr>
        <w:spacing w:after="0" w:line="75" w:lineRule="exact"/>
        <w:rPr>
          <w:sz w:val="20"/>
          <w:szCs w:val="20"/>
          <w:color w:val="auto"/>
        </w:rPr>
      </w:pPr>
    </w:p>
    <w:p>
      <w:pPr>
        <w:ind w:right="479"/>
        <w:spacing w:after="0" w:line="267" w:lineRule="auto"/>
        <w:rPr>
          <w:sz w:val="20"/>
          <w:szCs w:val="20"/>
          <w:color w:val="auto"/>
        </w:rPr>
      </w:pPr>
      <w:r>
        <w:rPr>
          <w:rFonts w:ascii="Arial" w:cs="Arial" w:eastAsia="Arial" w:hAnsi="Arial"/>
          <w:sz w:val="17"/>
          <w:szCs w:val="17"/>
          <w:color w:val="auto"/>
        </w:rPr>
        <w:t>We estimate that we will receive net proceeds from this offering and the concurrent MSD placement of approximately $      million (or approximately $      million if the underwriters exercise their option to purchase additional shares of common stock in full), after deducting the underwriting discount and the other estimated offering expenses payable by us. No underwriting discount will be payable with respect to the concurrent MSD placement, however we expect to pay an advisory fee of $     per share, or a total of $     to an affiliate of the purchasers in the concurrent MSD placement. See “Underwriting — Commissions and Discounts.” We intend to use the net proceeds for general corporate purposes, which may include repaying or repurchasing indebtedness (including amounts outstanding from time to time under our 2021 Revolver (as defined below)), making additional investments in Ground Leases, providing for working capital and funding obligations under existing Ground Lease commitments. Affiliates of the underwriters are lenders under the 2021 Revolver and will receive a portion of the net proceeds from this offering to the extent such net proceeds are used to repay outstanding borrowings under the 2021 Revolver. See “Underwriting —  Other Relationships.”</w:t>
      </w:r>
    </w:p>
    <w:p>
      <w:pPr>
        <w:spacing w:after="0" w:line="74" w:lineRule="exact"/>
        <w:rPr>
          <w:sz w:val="20"/>
          <w:szCs w:val="20"/>
          <w:color w:val="auto"/>
        </w:rPr>
      </w:pPr>
    </w:p>
    <w:p>
      <w:pPr>
        <w:ind w:right="439"/>
        <w:spacing w:after="0" w:line="268" w:lineRule="auto"/>
        <w:rPr>
          <w:sz w:val="20"/>
          <w:szCs w:val="20"/>
          <w:color w:val="auto"/>
        </w:rPr>
      </w:pPr>
      <w:r>
        <w:rPr>
          <w:rFonts w:ascii="Arial" w:cs="Arial" w:eastAsia="Arial" w:hAnsi="Arial"/>
          <w:sz w:val="17"/>
          <w:szCs w:val="17"/>
          <w:color w:val="auto"/>
        </w:rPr>
        <w:t>Each holder of our common stock will be entitled to one vote per share on all matters on which our stockholders of common stock are entitled to vote. See “Description of Capital Stock — Common Stock” in the accompanying prospectus. We are party to a governance agreement with Star Holdings that, among other things, requires that, during the restrictive period (as defined in the governance agreement), Star Holdings and its subsidiaries will vote all shares of our common stock owned by them (a) in favor of all persons nominated to serve as directors of the Company by the board of directors or its nominating and corporate governance committee, (b) against any stockholder proposal that is not recommended by the board of directors and (c) in accordance with the recommendations of the board of directors on all other proposals brought before the Company’s stockholders.</w:t>
      </w:r>
    </w:p>
    <w:p>
      <w:pPr>
        <w:spacing w:after="0" w:line="74" w:lineRule="exact"/>
        <w:rPr>
          <w:sz w:val="20"/>
          <w:szCs w:val="20"/>
          <w:color w:val="auto"/>
        </w:rPr>
      </w:pPr>
    </w:p>
    <w:p>
      <w:pPr>
        <w:ind w:right="439"/>
        <w:spacing w:after="0" w:line="275" w:lineRule="auto"/>
        <w:rPr>
          <w:sz w:val="20"/>
          <w:szCs w:val="20"/>
          <w:color w:val="auto"/>
        </w:rPr>
      </w:pPr>
      <w:r>
        <w:rPr>
          <w:rFonts w:ascii="Arial" w:cs="Arial" w:eastAsia="Arial" w:hAnsi="Arial"/>
          <w:sz w:val="17"/>
          <w:szCs w:val="17"/>
          <w:color w:val="auto"/>
        </w:rPr>
        <w:t>We intend to make quarterly distributions to holders of shares of our common stock. In general, distributions will be made at the discretion of our board of directors and will depend on a number of factors, including our actual or anticipated results of operations, cash flows and financial condition, our</w:t>
      </w:r>
    </w:p>
    <w:p>
      <w:pPr>
        <w:spacing w:after="0" w:line="200" w:lineRule="exact"/>
        <w:rPr>
          <w:sz w:val="20"/>
          <w:szCs w:val="20"/>
          <w:color w:val="auto"/>
        </w:rPr>
      </w:pPr>
    </w:p>
    <w:p>
      <w:pPr>
        <w:sectPr>
          <w:pgSz w:w="11900" w:h="16838" w:orient="portrait"/>
          <w:cols w:equalWidth="0" w:num="2">
            <w:col w:w="4180" w:space="540"/>
            <w:col w:w="5159"/>
          </w:cols>
          <w:pgMar w:left="580" w:top="90" w:right="1440" w:bottom="1440" w:gutter="0" w:footer="0" w:header="0"/>
          <w:type w:val="continuous"/>
        </w:sectPr>
      </w:pPr>
    </w:p>
    <w:p>
      <w:pPr>
        <w:spacing w:after="0" w:line="16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360680</wp:posOffset>
            </wp:positionV>
            <wp:extent cx="5507355" cy="8036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507355" cy="803656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NYSE Symbol</w:t>
      </w:r>
    </w:p>
    <w:p>
      <w:pPr>
        <w:spacing w:after="0" w:line="117" w:lineRule="exact"/>
        <w:rPr>
          <w:sz w:val="20"/>
          <w:szCs w:val="20"/>
          <w:color w:val="auto"/>
        </w:rPr>
      </w:pPr>
    </w:p>
    <w:p>
      <w:pPr>
        <w:ind w:left="1460" w:right="260" w:hanging="179"/>
        <w:spacing w:after="0" w:line="277" w:lineRule="auto"/>
        <w:rPr>
          <w:sz w:val="20"/>
          <w:szCs w:val="20"/>
          <w:color w:val="auto"/>
        </w:rPr>
      </w:pPr>
      <w:r>
        <w:rPr>
          <w:rFonts w:ascii="Arial" w:cs="Arial" w:eastAsia="Arial" w:hAnsi="Arial"/>
          <w:sz w:val="18"/>
          <w:szCs w:val="18"/>
          <w:color w:val="auto"/>
        </w:rPr>
        <w:t>Restrictions on ownership of our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Insider Participation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39"/>
        <w:spacing w:after="0" w:line="273" w:lineRule="auto"/>
        <w:rPr>
          <w:sz w:val="20"/>
          <w:szCs w:val="20"/>
          <w:color w:val="auto"/>
        </w:rPr>
      </w:pPr>
      <w:r>
        <w:rPr>
          <w:rFonts w:ascii="Arial" w:cs="Arial" w:eastAsia="Arial" w:hAnsi="Arial"/>
          <w:sz w:val="17"/>
          <w:szCs w:val="17"/>
          <w:color w:val="auto"/>
        </w:rPr>
        <w:t>qualification as a REIT, prohibitions and other restrictions in our financing agreements, economic and market conditions, applicable law, and other factors as our board of directors may deem relevant from time to time. There can be no assurance that we will not change our distribution policy or the amount of distributions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“SAFE”</w:t>
      </w:r>
    </w:p>
    <w:p>
      <w:pPr>
        <w:spacing w:after="0" w:line="333" w:lineRule="exact"/>
        <w:rPr>
          <w:sz w:val="20"/>
          <w:szCs w:val="20"/>
          <w:color w:val="auto"/>
        </w:rPr>
      </w:pPr>
    </w:p>
    <w:p>
      <w:pPr>
        <w:ind w:right="439"/>
        <w:spacing w:after="0" w:line="270" w:lineRule="auto"/>
        <w:rPr>
          <w:sz w:val="20"/>
          <w:szCs w:val="20"/>
          <w:color w:val="auto"/>
        </w:rPr>
      </w:pPr>
      <w:r>
        <w:rPr>
          <w:rFonts w:ascii="Arial" w:cs="Arial" w:eastAsia="Arial" w:hAnsi="Arial"/>
          <w:sz w:val="17"/>
          <w:szCs w:val="17"/>
          <w:color w:val="auto"/>
        </w:rPr>
        <w:t>Our charter generally prohibits, with certain exceptions, any stockholder from beneficially or constructively owning more than 9.8% in value or number of shares, whichever is more restrictive, of the outstanding shares of our common stock or all classes and series of our capital stock. See “Description of Capital Stock — Common Stock — Restrictions on Ownership and Transfer” in the accompanying prospectus. We have granted a waiver to Star Holdings to own up to 13,522,651 shares of our common stock.</w:t>
      </w:r>
    </w:p>
    <w:p>
      <w:pPr>
        <w:spacing w:after="0" w:line="73" w:lineRule="exact"/>
        <w:rPr>
          <w:sz w:val="20"/>
          <w:szCs w:val="20"/>
          <w:color w:val="auto"/>
        </w:rPr>
      </w:pPr>
    </w:p>
    <w:p>
      <w:pPr>
        <w:ind w:right="459"/>
        <w:spacing w:after="0" w:line="270" w:lineRule="auto"/>
        <w:rPr>
          <w:rFonts w:ascii="Arial" w:cs="Arial" w:eastAsia="Arial" w:hAnsi="Arial"/>
          <w:sz w:val="17"/>
          <w:szCs w:val="17"/>
          <w:color w:val="0000EE"/>
        </w:rPr>
      </w:pPr>
      <w:r>
        <w:rPr>
          <w:rFonts w:ascii="Arial" w:cs="Arial" w:eastAsia="Arial" w:hAnsi="Arial"/>
          <w:sz w:val="17"/>
          <w:szCs w:val="17"/>
          <w:color w:val="auto"/>
        </w:rPr>
        <w:t xml:space="preserve">Investing in our common stock involves a high degree of risk. You should carefully read and consider the information set forth under the heading “Risk Factors” beginning on page </w:t>
      </w:r>
      <w:r>
        <w:rPr>
          <w:rFonts w:ascii="Arial" w:cs="Arial" w:eastAsia="Arial" w:hAnsi="Arial"/>
          <w:sz w:val="17"/>
          <w:szCs w:val="17"/>
          <w:u w:val="single" w:color="auto"/>
          <w:color w:val="0000EE"/>
        </w:rPr>
        <w:t>S-7</w:t>
      </w:r>
      <w:r>
        <w:rPr>
          <w:rFonts w:ascii="Arial" w:cs="Arial" w:eastAsia="Arial" w:hAnsi="Arial"/>
          <w:sz w:val="17"/>
          <w:szCs w:val="17"/>
          <w:color w:val="auto"/>
        </w:rPr>
        <w:t xml:space="preserve"> of this prospectus supplement and the information set forth in </w:t>
      </w:r>
      <w:hyperlink r:id="rId36">
        <w:r>
          <w:rPr>
            <w:rFonts w:ascii="Arial" w:cs="Arial" w:eastAsia="Arial" w:hAnsi="Arial"/>
            <w:sz w:val="17"/>
            <w:szCs w:val="17"/>
            <w:u w:val="single" w:color="auto"/>
            <w:color w:val="0000EE"/>
          </w:rPr>
          <w:t>Exhibit 99.3</w:t>
        </w:r>
        <w:r>
          <w:rPr>
            <w:rFonts w:ascii="Arial" w:cs="Arial" w:eastAsia="Arial" w:hAnsi="Arial"/>
            <w:sz w:val="17"/>
            <w:szCs w:val="17"/>
            <w:color w:val="0000EE"/>
          </w:rPr>
          <w:t xml:space="preserve"> </w:t>
        </w:r>
      </w:hyperlink>
      <w:r>
        <w:rPr>
          <w:rFonts w:ascii="Arial" w:cs="Arial" w:eastAsia="Arial" w:hAnsi="Arial"/>
          <w:sz w:val="17"/>
          <w:szCs w:val="17"/>
          <w:color w:val="000000"/>
        </w:rPr>
        <w:t>to</w:t>
      </w:r>
      <w:r>
        <w:rPr>
          <w:rFonts w:ascii="Arial" w:cs="Arial" w:eastAsia="Arial" w:hAnsi="Arial"/>
          <w:sz w:val="17"/>
          <w:szCs w:val="17"/>
          <w:color w:val="0000EE"/>
        </w:rPr>
        <w:t xml:space="preserve"> </w:t>
      </w:r>
      <w:r>
        <w:rPr>
          <w:rFonts w:ascii="Arial" w:cs="Arial" w:eastAsia="Arial" w:hAnsi="Arial"/>
          <w:sz w:val="17"/>
          <w:szCs w:val="17"/>
          <w:color w:val="000000"/>
        </w:rPr>
        <w:t>our Current Report on Form 8-K filed with the</w:t>
      </w:r>
      <w:r>
        <w:rPr>
          <w:rFonts w:ascii="Arial" w:cs="Arial" w:eastAsia="Arial" w:hAnsi="Arial"/>
          <w:sz w:val="17"/>
          <w:szCs w:val="17"/>
          <w:color w:val="0000EE"/>
        </w:rPr>
        <w:t xml:space="preserve"> </w:t>
      </w:r>
      <w:r>
        <w:rPr>
          <w:rFonts w:ascii="Arial" w:cs="Arial" w:eastAsia="Arial" w:hAnsi="Arial"/>
          <w:sz w:val="17"/>
          <w:szCs w:val="17"/>
          <w:color w:val="000000"/>
        </w:rPr>
        <w:t>SEC on April 4, 2023, as well as the other information set forth in our other filings under the Exchange Act that is incorporated herein by reference, before making a decision to invest in our common stock.</w:t>
      </w:r>
    </w:p>
    <w:p>
      <w:pPr>
        <w:spacing w:after="0" w:line="73" w:lineRule="exact"/>
        <w:rPr>
          <w:sz w:val="20"/>
          <w:szCs w:val="20"/>
          <w:color w:val="auto"/>
        </w:rPr>
      </w:pPr>
    </w:p>
    <w:p>
      <w:pPr>
        <w:ind w:right="399"/>
        <w:spacing w:after="0" w:line="268" w:lineRule="auto"/>
        <w:rPr>
          <w:sz w:val="20"/>
          <w:szCs w:val="20"/>
          <w:color w:val="auto"/>
        </w:rPr>
      </w:pPr>
      <w:r>
        <w:rPr>
          <w:rFonts w:ascii="Arial" w:cs="Arial" w:eastAsia="Arial" w:hAnsi="Arial"/>
          <w:sz w:val="17"/>
          <w:szCs w:val="17"/>
          <w:color w:val="auto"/>
        </w:rPr>
        <w:t>Our Chairman and Chief Executive Officer, Jay Sugarman, our President and Chief Investment Officer, Marcos Alvarado, and our Chief Financial Officer, Brett Asnas, have, severally and not jointly, indicated an interest to purchase, in the aggregate, up to $2.04 million of shares of common stock in this offering at the public offering price. Because this indication of interest is not a binding agreement or commitment to purchase, such individuals may decide to purchase more, less or no shares of our common stock, or the underwriters may decide to sell more, less or no shares of our common stock in this offering to such individuals. The underwriters will receive the same underwriting discount from any shares of our common stock sold to such individuals as they will from any other shares of common stock sold to the public in this offering.</w:t>
      </w:r>
    </w:p>
    <w:p>
      <w:pPr>
        <w:spacing w:after="0" w:line="200" w:lineRule="exact"/>
        <w:rPr>
          <w:sz w:val="20"/>
          <w:szCs w:val="20"/>
          <w:color w:val="auto"/>
        </w:rPr>
      </w:pPr>
    </w:p>
    <w:p>
      <w:pPr>
        <w:sectPr>
          <w:pgSz w:w="11900" w:h="16838" w:orient="portrait"/>
          <w:cols w:equalWidth="0" w:num="2">
            <w:col w:w="4000" w:space="720"/>
            <w:col w:w="5159"/>
          </w:cols>
          <w:pgMar w:left="580" w:top="90" w:right="1440" w:bottom="1440" w:gutter="0" w:footer="0" w:header="0"/>
          <w:type w:val="continuous"/>
        </w:sectPr>
      </w:pPr>
    </w:p>
    <w:p>
      <w:pPr>
        <w:spacing w:after="0" w:line="119" w:lineRule="exact"/>
        <w:rPr>
          <w:sz w:val="20"/>
          <w:szCs w:val="20"/>
          <w:color w:val="auto"/>
        </w:rPr>
      </w:pPr>
    </w:p>
    <w:p>
      <w:pPr>
        <w:ind w:left="1640" w:right="479" w:hanging="366"/>
        <w:spacing w:after="0" w:line="274" w:lineRule="auto"/>
        <w:tabs>
          <w:tab w:leader="none" w:pos="1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Under the stockholder’s agreement between SFTY Venture LLC, a Delaware limited liability company, and the company, SFTY Venture LLC has certain rights (but not the obligation) to maintain</w:t>
      </w:r>
    </w:p>
    <w:p>
      <w:pPr>
        <w:ind w:left="1640" w:right="479"/>
        <w:spacing w:after="0" w:line="268" w:lineRule="auto"/>
        <w:rPr>
          <w:rFonts w:ascii="Arial" w:cs="Arial" w:eastAsia="Arial" w:hAnsi="Arial"/>
          <w:sz w:val="17"/>
          <w:szCs w:val="17"/>
          <w:color w:val="auto"/>
        </w:rPr>
      </w:pPr>
      <w:r>
        <w:rPr>
          <w:rFonts w:ascii="Arial" w:cs="Arial" w:eastAsia="Arial" w:hAnsi="Arial"/>
          <w:sz w:val="17"/>
          <w:szCs w:val="17"/>
          <w:color w:val="auto"/>
        </w:rPr>
        <w:t>its percentage ownership interest of our common stock by purchasing additional shares of our common stock when we issue additional shares from time to time, subject to certain exceptions, including in connection with the offering of shares of our common stock pursuant to this prospectus supplement. SFTY Venture LLC has waived such rights with respect to this offering. In addition, under the stockholder’s agreement between affiliates of MSD Partners, and the company, affiliates of MSD Partners have certain rights (but not the obligation) to maintain their percentage ownership interest of our common stock by purchasing additional shares of our common stock when we issue additional shares from time to time, and on a quarterly basis when we issue additional shares during any such quarter, subject to certain exceptions, including in connection with the offering of shares of our common stock pursuant to this prospectus supplement.</w:t>
      </w:r>
    </w:p>
    <w:p>
      <w:pPr>
        <w:sectPr>
          <w:pgSz w:w="11900" w:h="16838" w:orient="portrait"/>
          <w:cols w:equalWidth="0" w:num="1">
            <w:col w:w="9879"/>
          </w:cols>
          <w:pgMar w:left="580" w:top="90" w:right="1440" w:bottom="1440" w:gutter="0" w:footer="0" w:header="0"/>
          <w:type w:val="continuous"/>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40" w:right="459" w:hanging="366"/>
        <w:spacing w:after="0" w:line="273" w:lineRule="auto"/>
        <w:tabs>
          <w:tab w:leader="none" w:pos="1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Concurrently with the completion of this offering, we expect to sell, subject to customary closing conditions, to certain affiliates of MSD Partners in the concurrent MSD placement, at the public offering price a number of shares of common stock equal to approximately 8.5% of the total number of shares of common stock sold in this offering, subject to a cap of 639,656 shares of common stock due to current limitations under NYSE rules and regulations. Prior to its purchase in the concurrent MSD placement, certain affiliates of MSD Partners owned 5,405,406 shares of our common stock.</w:t>
      </w:r>
    </w:p>
    <w:p>
      <w:pPr>
        <w:spacing w:after="0" w:line="29" w:lineRule="exact"/>
        <w:rPr>
          <w:rFonts w:ascii="Arial" w:cs="Arial" w:eastAsia="Arial" w:hAnsi="Arial"/>
          <w:sz w:val="17"/>
          <w:szCs w:val="17"/>
          <w:color w:val="auto"/>
        </w:rPr>
      </w:pPr>
    </w:p>
    <w:p>
      <w:pPr>
        <w:ind w:left="1640" w:right="419" w:hanging="366"/>
        <w:spacing w:after="0" w:line="255" w:lineRule="auto"/>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common stock outstanding is based on 63,965,605 shares of common stock outstanding as of July 28, 2023 and excludes (i) shares of our common stock issuable upon exercise of the underwriters’ option to purchase up to 975,000 additional shares of our common stock, (ii) 432,274 shares of our common stock issuable upon the vesting of restricted stock units outstanding as of July 28, 2023 (net of projected tax withholding) and (iii) 435,205 shares of our common stock available for future issuance under our equity incentive plan.</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439" w:firstLine="360"/>
        <w:spacing w:after="0" w:line="272"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Investing in our common stock involves a high degree of risk. This section describes some, but not all, of the risks of investing in our common stock. You should carefully consider the risk factors described below and the information set forth in </w:t>
      </w:r>
      <w:hyperlink r:id="rId36">
        <w:r>
          <w:rPr>
            <w:rFonts w:ascii="Arial" w:cs="Arial" w:eastAsia="Arial" w:hAnsi="Arial"/>
            <w:sz w:val="17"/>
            <w:szCs w:val="17"/>
            <w:i w:val="1"/>
            <w:iCs w:val="1"/>
            <w:u w:val="single" w:color="auto"/>
            <w:color w:val="0000EE"/>
          </w:rPr>
          <w:t>Exhibit 99.3</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to our Current Report on Form 8-K filed with the SEC on April 4, 2023, as well as the other information set forth in our other filings under the Exchange Act that is incorporated herein by reference, before making an investment decision to purchase our common stock. In addition, you should carefully review the factors discussed below and the cautionary statements referred to in the section entitled “Cautionary Note Regarding Forward-Looking Statements.”</w:t>
      </w:r>
    </w:p>
    <w:p>
      <w:pPr>
        <w:spacing w:after="0" w:line="177"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b w:val="1"/>
          <w:bCs w:val="1"/>
          <w:i w:val="1"/>
          <w:iCs w:val="1"/>
          <w:color w:val="auto"/>
        </w:rPr>
        <w:t>The price of our common stock may experience volatility. In addition, limited trading volume may depress the market price of our common stock and make it difficult for investors to sell their shares and less attractive to new investors to purchase shares of our common stock.</w:t>
      </w:r>
    </w:p>
    <w:p>
      <w:pPr>
        <w:spacing w:after="0" w:line="116"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The market price of our common stock could be substantially affected by general market conditions, the extent of the secondary market for our common stock, the extent of institutional investor interest in us, the general reputation of REITs and the attractiveness of their equity securities in comparison to equity securities of other entities (including securities issued by other real estate-based companies), our financial performance, cash flows, financial condition and prospects and general stock and bond market condition.</w:t>
      </w:r>
    </w:p>
    <w:p>
      <w:pPr>
        <w:spacing w:after="0" w:line="95"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The stock markets, including the NYSE, on which our common stock is listed, historically have experienced significant price and volume fluctuations. As a result, the market price of our common stock is likely to be similarly volatile, and investors in our common stock may experience a decrease in the market price of their shares, including decreases unrelated to our operating performance or prospects. The market price of our common stock could be subject to wide fluctuations in response to our financial performance, cash flows, financial condition and prospects, government regulatory action or inaction, tax laws, interest rates and general market conditions and other factors such as:</w:t>
      </w:r>
    </w:p>
    <w:p>
      <w:pPr>
        <w:spacing w:after="0" w:line="87" w:lineRule="exact"/>
        <w:rPr>
          <w:sz w:val="20"/>
          <w:szCs w:val="20"/>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effectively manage our operations following the merger;</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actual or anticipated differences in our quarterly or annual operating results from those expected;</w:t>
      </w:r>
    </w:p>
    <w:p>
      <w:pPr>
        <w:spacing w:after="0" w:line="128" w:lineRule="exact"/>
        <w:rPr>
          <w:rFonts w:ascii="Arial" w:cs="Arial" w:eastAsia="Arial" w:hAnsi="Arial"/>
          <w:sz w:val="17"/>
          <w:szCs w:val="17"/>
          <w:color w:val="auto"/>
        </w:rPr>
      </w:pPr>
    </w:p>
    <w:p>
      <w:pPr>
        <w:ind w:left="1800" w:right="45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negotiate and consummate purchase agreements relating to investments under letters of intent or otherwise meet expectations with respect to the growth of our business;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recommendations by securities analysts;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publication of research reports about us, the ground net lease sector or the real estate industry;</w:t>
      </w:r>
    </w:p>
    <w:p>
      <w:pPr>
        <w:spacing w:after="0" w:line="117" w:lineRule="exact"/>
        <w:rPr>
          <w:rFonts w:ascii="Arial" w:cs="Arial" w:eastAsia="Arial" w:hAnsi="Arial"/>
          <w:sz w:val="18"/>
          <w:szCs w:val="18"/>
          <w:color w:val="auto"/>
        </w:rPr>
      </w:pPr>
    </w:p>
    <w:p>
      <w:pPr>
        <w:ind w:left="1800" w:right="479" w:hanging="180"/>
        <w:spacing w:after="0" w:line="308"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increases in market interest rates, which may lead investors to demand a higher distribution yield for shares of our common stock, and would result in increased interest expense on our debt;</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changes in our and our tenants’ businesses or prospects;</w:t>
      </w:r>
    </w:p>
    <w:p>
      <w:pPr>
        <w:spacing w:after="0" w:line="117"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current state of the credit and capital markets, and our ability and the ability of our tenants to obtain financing on favorable terms;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departures of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 in the ground lease business in our markets;</w:t>
      </w:r>
    </w:p>
    <w:p>
      <w:pPr>
        <w:spacing w:after="0" w:line="117"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divestments, spin-offs, joint ventures, strategic investments or changes in business or growth strategies;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passage of legislation or other regulatory developments that adversely affect us or our industry;</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speculation in the press or investment community;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17" w:lineRule="exact"/>
        <w:rPr>
          <w:rFonts w:ascii="Arial" w:cs="Arial" w:eastAsia="Arial" w:hAnsi="Arial"/>
          <w:sz w:val="18"/>
          <w:szCs w:val="18"/>
          <w:color w:val="auto"/>
        </w:rPr>
      </w:pPr>
    </w:p>
    <w:p>
      <w:pPr>
        <w:ind w:left="1800" w:right="65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equity issuances by us (including the issuances of common units of our operating company (“LLC Interests”) or other securities convertible into, or exchangeable or exercisable for, our common stock),</w:t>
      </w:r>
    </w:p>
    <w:p>
      <w:pPr>
        <w:sectPr>
          <w:pgSz w:w="11900" w:h="16838" w:orient="portrait"/>
          <w:cols w:equalWidth="0" w:num="1">
            <w:col w:w="9879"/>
          </w:cols>
          <w:pgMar w:left="580" w:top="90"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599"/>
        <w:spacing w:after="0" w:line="306" w:lineRule="auto"/>
        <w:rPr>
          <w:sz w:val="20"/>
          <w:szCs w:val="20"/>
          <w:color w:val="auto"/>
        </w:rPr>
      </w:pPr>
      <w:r>
        <w:rPr>
          <w:rFonts w:ascii="Arial" w:cs="Arial" w:eastAsia="Arial" w:hAnsi="Arial"/>
          <w:sz w:val="17"/>
          <w:szCs w:val="17"/>
          <w:color w:val="auto"/>
        </w:rPr>
        <w:t>or common stock resales by our stockholders, including an affiliate of Star Holdings pursuant to an existing “at the market” program, or the perception that such issuances or resales may occur;</w:t>
      </w:r>
    </w:p>
    <w:p>
      <w:pPr>
        <w:spacing w:after="0" w:line="1"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Caret units to third parties by our operating company;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potential or perceived accounting problems;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qualify as a REIT;</w:t>
      </w:r>
    </w:p>
    <w:p>
      <w:pPr>
        <w:spacing w:after="0" w:line="90"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comply with the rules of the NYSE or maintain the listing of our common stock on the NYSE;</w:t>
      </w:r>
    </w:p>
    <w:p>
      <w:pPr>
        <w:spacing w:after="0" w:line="35"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terrorist acts, natural or man-made disasters or threatened or actual armed conflicts; and</w:t>
      </w:r>
    </w:p>
    <w:p>
      <w:pPr>
        <w:spacing w:after="0" w:line="103"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and local, regional and national economic conditions, including factors unrelated to our operating performance and prospects such as inflation, the COVID-19 pandemic and potential future health crises, including epidemics and pandemics.</w:t>
      </w:r>
    </w:p>
    <w:p>
      <w:pPr>
        <w:spacing w:after="0" w:line="103" w:lineRule="exact"/>
        <w:rPr>
          <w:sz w:val="20"/>
          <w:szCs w:val="20"/>
          <w:color w:val="auto"/>
        </w:rPr>
      </w:pPr>
    </w:p>
    <w:p>
      <w:pPr>
        <w:ind w:left="1260" w:right="479" w:firstLine="360"/>
        <w:spacing w:after="0" w:line="244" w:lineRule="auto"/>
        <w:rPr>
          <w:sz w:val="20"/>
          <w:szCs w:val="20"/>
          <w:color w:val="auto"/>
        </w:rPr>
      </w:pPr>
      <w:r>
        <w:rPr>
          <w:rFonts w:ascii="Arial" w:cs="Arial" w:eastAsia="Arial" w:hAnsi="Arial"/>
          <w:sz w:val="18"/>
          <w:szCs w:val="18"/>
          <w:color w:val="auto"/>
        </w:rPr>
        <w:t>No assurance can be given that the market price of our common stock will not fluctuate or decline significantly in the future or that holders of shares of our common stock will be able to sell their shares when desired on favorable terms, or at all. In the past, securities class action litigation has often been instituted against companies following periods of volatility in the price of their common stock. This type of litigation could result in substantial costs and divert our management’s attention and resources, which could have an adverse effect on our financial condition, results of operations, cash flows and per share market price of our common stock.</w:t>
      </w:r>
    </w:p>
    <w:p>
      <w:pPr>
        <w:spacing w:after="0" w:line="201"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b w:val="1"/>
          <w:bCs w:val="1"/>
          <w:i w:val="1"/>
          <w:iCs w:val="1"/>
          <w:color w:val="auto"/>
        </w:rPr>
        <w:t>Cash available for distribution may not be sufficient to maintain distributions to our stockholders at current levels, or at all.</w:t>
      </w:r>
    </w:p>
    <w:p>
      <w:pPr>
        <w:spacing w:after="0" w:line="103"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Distributions will be made at the discretion of our board of directors and will depend on a number of factors, including our actual or anticipated results of operations, cash flows and financial condition, our qualification as a REIT, prohibitions and other restrictions in our financing agreements, economic and market conditions, applicable law, and other factors as our board of directors may deem relevant from time to time. Our $1.35 billion unsecured revolving credit facility (the “2021 Revolver”), $500 million unsecured revolving credit facility (the “2023 Revolver” and, together with the 2021 Revolver, the “Unsecured Revolvers”) and existing senior notes permit us to pay distributions without restriction as to amount, so long as after giving effect to the distribution, we are in pro forma compliance with the financial covenants in the respective Unsecured Revolvers and no event of default has occurred and is continuing; however, the Unsecured Revolvers prohibit us from paying distributions if there is an event of default thereunder, subject to limited exceptions, including related to the maintenance of our REIT qualification. If sufficient cash from our operations is not available to maintain our current distribution level, we may have to fund distributions from the net proceeds from offerings of shares of our common stock pursuant to this prospectus supplement, the prospectus supplement for our ATM program or future prospectus supplements, working capital or borrowing funds or issuing preferred stock for such distribution, or eliminate or otherwise reduce the amount of such distribution. We currently have no intention to make distributions using shares of our common stock. No assurance can be given that we will be able to continue making quarterly distributions at the current rate or at all.</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Market interest rates may have an effect on the market price of our common stock.</w:t>
      </w:r>
    </w:p>
    <w:p>
      <w:pPr>
        <w:spacing w:after="0" w:line="15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7"/>
          <w:szCs w:val="17"/>
          <w:color w:val="auto"/>
        </w:rPr>
        <w:t>One of the factors that influences the market price of our common stock is the dividend yield on our common stock (as a percentage of the price of our common stock) relative to market interest rates. An increase in market interest rates, which are currently at high levels relative to historical rates, may lead prospective purchasers of shares of our common stock to expect a higher dividend yield. Thus, higher market interest rates could cause the market price per share of our common stock to decrease.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The rental payments under our leases may not keep up with changes in market value and inflation.</w:t>
      </w:r>
    </w:p>
    <w:p>
      <w:pPr>
        <w:spacing w:after="0" w:line="169"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The leases at most of our properties provide for rental payments that are CPI-Linked or fixed with future CPI adjustments. Many of our Ground Leases include a periodic rent increase based on prior years’</w:t>
      </w:r>
    </w:p>
    <w:p>
      <w:pPr>
        <w:sectPr>
          <w:pgSz w:w="11900" w:h="16838" w:orient="portrait"/>
          <w:cols w:equalWidth="0" w:num="1">
            <w:col w:w="9879"/>
          </w:cols>
          <w:pgMar w:left="580" w:top="90"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83" w:lineRule="auto"/>
        <w:rPr>
          <w:sz w:val="20"/>
          <w:szCs w:val="20"/>
          <w:color w:val="auto"/>
        </w:rPr>
      </w:pPr>
      <w:r>
        <w:rPr>
          <w:rFonts w:ascii="Arial" w:cs="Arial" w:eastAsia="Arial" w:hAnsi="Arial"/>
          <w:sz w:val="17"/>
          <w:szCs w:val="17"/>
          <w:color w:val="auto"/>
        </w:rPr>
        <w:t>cumulative CPI growth, with the initial lookback year generally starting between years 11 and 21 of the lease term. These CPI lookbacks are generally capped between 3.0% – 3.5%. In the event cumulative inflation growth for the lookback period exceeds the cap, these rent adjustments may not keep up fully with changes in inflation. They may also not keep up with increases in market rental rates. As a result, we may not capture the full value of the land underlying our leases at given points in time or the UCA at lease expiration. Future leases that we enter into are likely to contain similar or other limitations on rent increases, which may limit the appreciation in value of our land, our net asset value and our UCA.</w:t>
      </w:r>
    </w:p>
    <w:p>
      <w:pPr>
        <w:spacing w:after="0" w:line="182" w:lineRule="exact"/>
        <w:rPr>
          <w:sz w:val="20"/>
          <w:szCs w:val="20"/>
          <w:color w:val="auto"/>
        </w:rPr>
      </w:pPr>
    </w:p>
    <w:p>
      <w:pPr>
        <w:ind w:left="1260" w:right="459"/>
        <w:spacing w:after="0" w:line="293" w:lineRule="auto"/>
        <w:rPr>
          <w:sz w:val="20"/>
          <w:szCs w:val="20"/>
          <w:color w:val="auto"/>
        </w:rPr>
      </w:pPr>
      <w:r>
        <w:rPr>
          <w:rFonts w:ascii="Arial" w:cs="Arial" w:eastAsia="Arial" w:hAnsi="Arial"/>
          <w:sz w:val="18"/>
          <w:szCs w:val="18"/>
          <w:b w:val="1"/>
          <w:bCs w:val="1"/>
          <w:i w:val="1"/>
          <w:iCs w:val="1"/>
          <w:color w:val="auto"/>
        </w:rPr>
        <w:t>This offering is not conditioned on the completion of any of our pending or potential investments, and our failure to complete any of these investments may adversely affect us.</w:t>
      </w:r>
    </w:p>
    <w:p>
      <w:pPr>
        <w:spacing w:after="0" w:line="89" w:lineRule="exact"/>
        <w:rPr>
          <w:sz w:val="20"/>
          <w:szCs w:val="20"/>
          <w:color w:val="auto"/>
        </w:rPr>
      </w:pPr>
    </w:p>
    <w:p>
      <w:pPr>
        <w:ind w:left="1260" w:right="539" w:firstLine="360"/>
        <w:spacing w:after="0" w:line="283" w:lineRule="auto"/>
        <w:rPr>
          <w:sz w:val="20"/>
          <w:szCs w:val="20"/>
          <w:color w:val="auto"/>
        </w:rPr>
      </w:pPr>
      <w:r>
        <w:rPr>
          <w:rFonts w:ascii="Arial" w:cs="Arial" w:eastAsia="Arial" w:hAnsi="Arial"/>
          <w:sz w:val="17"/>
          <w:szCs w:val="17"/>
          <w:color w:val="auto"/>
        </w:rPr>
        <w:t>The completion of each of our pending and potential investments described in this prospectus supplement under the caption “Prospectus Supplement Summary — Recent Developments” are subject to a number of conditions (including negotiation and execution of definitive purchase and other agreements), some of which are beyond our control, and may not occur on the terms or timing described herein or at all. This offering is not conditioned on the completion of any of our pending or potential investments, and by purchasing our common stock in this offering you are investing in us on a stand-alone basis and recognize that we may not consummate these investments or realize the potential benefits therefrom if we do.</w:t>
      </w:r>
    </w:p>
    <w:p>
      <w:pPr>
        <w:spacing w:after="0" w:line="101" w:lineRule="exact"/>
        <w:rPr>
          <w:sz w:val="20"/>
          <w:szCs w:val="20"/>
          <w:color w:val="auto"/>
        </w:rPr>
      </w:pPr>
    </w:p>
    <w:p>
      <w:pPr>
        <w:ind w:left="1260" w:right="439" w:firstLine="360"/>
        <w:spacing w:after="0" w:line="302" w:lineRule="auto"/>
        <w:rPr>
          <w:sz w:val="20"/>
          <w:szCs w:val="20"/>
          <w:color w:val="auto"/>
        </w:rPr>
      </w:pPr>
      <w:r>
        <w:rPr>
          <w:rFonts w:ascii="Arial" w:cs="Arial" w:eastAsia="Arial" w:hAnsi="Arial"/>
          <w:sz w:val="16"/>
          <w:szCs w:val="16"/>
          <w:color w:val="auto"/>
        </w:rPr>
        <w:t>If one or more of these investments are not completed on the anticipated schedule or on the contemplated terms, we could be subject to a number of risks that may adversely affect us and the market price of our common stock, including: the lack of expected rental revenue; the expenditure of significant expenses relating to these investments; the opportunity cost of the significant amount of time committed by our management to matters relating to these investments that could otherwise have been devoted to pursuing other opportunities; and disappointment in market expectations. Additionally, if these investments are not completed at all, we would not realize the anticipated potential benefits, including the increased rental revenue, that we expect to realize from consummating these investments, which could adversely affect us.</w:t>
      </w:r>
    </w:p>
    <w:p>
      <w:pPr>
        <w:spacing w:after="0" w:line="92" w:lineRule="exact"/>
        <w:rPr>
          <w:sz w:val="20"/>
          <w:szCs w:val="20"/>
          <w:color w:val="auto"/>
        </w:rPr>
      </w:pPr>
    </w:p>
    <w:p>
      <w:pPr>
        <w:jc w:val="both"/>
        <w:ind w:left="1260" w:right="459" w:firstLine="360"/>
        <w:spacing w:after="0" w:line="259" w:lineRule="auto"/>
        <w:rPr>
          <w:sz w:val="20"/>
          <w:szCs w:val="20"/>
          <w:color w:val="auto"/>
        </w:rPr>
      </w:pPr>
      <w:r>
        <w:rPr>
          <w:rFonts w:ascii="Arial" w:cs="Arial" w:eastAsia="Arial" w:hAnsi="Arial"/>
          <w:sz w:val="18"/>
          <w:szCs w:val="18"/>
          <w:color w:val="auto"/>
        </w:rPr>
        <w:t>We cannot provide any assurance that each of these investments will be completed on the contemplated terms or that there will not be a delay in the contemplated completion of any or all of these investments, or at all. In any such case, our reputation in our industry and in the investment community could be damaged, and the market price of our common stock could decline.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expect to need additional funding to fund future investments.</w:t>
      </w:r>
    </w:p>
    <w:p>
      <w:pPr>
        <w:spacing w:after="0" w:line="15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intend to use the net proceeds from the sales of shares of our common stock pursuant to this prospectus supplement for general corporate purposes, which may include making additional investments in Ground Leases and funding obligations under existing Ground Lease commitments, but may also include the repayment of debt and working capital and other business uses. Even if we determine to use the funds to make additional investments in Ground Leases or satisfy our funding obligations under existing Ground Lease commitments, we cannot predict the exact timing or amount of such investments. We expect to need additional funding to finance our investments, including debt financing; however, we can provide no assurance that debt financing will be available on terms that we deem attractive or at all. Agreements that we may enter into to acquire the Ground Leases under letters of intent are not expected to be contingent upon our ability to obtain financing. As of the date of this prospectus supplement, we have approximately $271.7 million of remaining funding obligations under existing Ground Lease commitments. If we are unable to consummate our anticipated financing plans, we will need to secure alternative sources of funding. These sources may include the net proceeds from additional equity issuances, joint ventures, the incurrence of additional debt or the sale of assets. No assurance can be given that any of these sources of capital will be available on terms that are as favorable as those that we currently expect to obtain, or available at all. If we finance any funding shortfall with additional common equity issuances, your ownership interest in us will be diluted. The incurrence of additional debt could increase our leverage ratios and would increase our exposure to the risks associated with debt financing. An inability to obtain sufficient capital to meet our funding obligations could lead to contractual defaults that could materially and adversely affect us.</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You may experience dilution as a result of this offering and the concurrent MSD placement.</w:t>
      </w:r>
    </w:p>
    <w:p>
      <w:pPr>
        <w:spacing w:after="0" w:line="158"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This offering and the concurrent MSD placement may have a dilutive effect on our earnings per share after giving effect to the issuance of our common stock in this offering and the concurrent MSD placement and the receipt of the expected net proceeds. The actual amount of dilution from this offering, the concurrent MSD placement or from any future issuance of our common stock will be based on numerous factors, particularly the number of shares of our common stock issued, the use of proceeds and the return generated by any investments made with the net proceeds, and cannot be determined at this time.</w:t>
      </w:r>
    </w:p>
    <w:p>
      <w:pPr>
        <w:spacing w:after="0" w:line="17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b w:val="1"/>
          <w:bCs w:val="1"/>
          <w:i w:val="1"/>
          <w:iCs w:val="1"/>
          <w:color w:val="auto"/>
        </w:rPr>
        <w:t>The number of shares of our common stock available for future issuance or resale could adversely affect the market price of our common stock.</w:t>
      </w:r>
    </w:p>
    <w:p>
      <w:pPr>
        <w:spacing w:after="0" w:line="103"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Our charter provides that we may issue up to 400,000,000 shares of common stock, of which approximately 63,965,605 shares of common stock were issued and outstanding as of July 28, 2023. Additionally, our charter authorizes our board of directors to amend our charter from time to time to increase or decrease the aggregate number of authorized shares of stock or the number of shares of stock of any class or series that we have authority to issue without stockholder approval. Future primary issuances of our common stock or LLC Interests in our operating company or other securities convertible into, or exchangeable or exercisable for, our common stock could dilute stockholders and could have an adverse effect on the market price per share of our common stock. Holders of our common stock, other than certain of our existing stockholders, are not entitled to preemptive rights or other protections against dilution.</w:t>
      </w:r>
    </w:p>
    <w:p>
      <w:pPr>
        <w:spacing w:after="0" w:line="100"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Additionally, Star Holdings and its affiliates owned 13,522,651 shares of our common stock as of July 28, 2023. Subject to applicable lock-up restrictions and securities laws, Star Holdings and its affiliates may resell their shares of our common stock in transactions exempt from the registration requirements of the Securities Act. In addition, on April 5, 2023, Star Investment Holdings SPV LLC, a Delaware limited liability company and subsidiary of Star Holdings, entered into a sales agreement with various agents relating to the offering and resale of up to 1,000,000 shares of our common stock from time to time, subject to receiving the consent of our board of directors. As of July 28, 2023, Star Investment Holdings SPV LLC has not made any sales of shares of our common stock pursuant to the sales agreement, and it will not be participating in this offering; however, its shares of our common stock are subject to applicable lock-up restrictions with the underwriters of this offering. See “Underwriting — No Sales of Similar Securities.” Additionally, we have filed registration statements covering the resale of 9,653,841 shares of our common stock held by certain stockholders. Resales of a significant number of shares of our common stock, or the perception that such resales could occur, may have an adverse effect on the market price per share of our common stock.</w:t>
      </w:r>
    </w:p>
    <w:p>
      <w:pPr>
        <w:spacing w:after="0" w:line="130"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Additionally, Star Holdings has entered into a margin loan facility in an aggregate principal amount of $140.0 million with Morgan Stanley Bank, N.A., as lender, Morgan Stanley Senior Funding, Inc., as administrative agent, and Morgan Stanley &amp; Co. LLC, as sole custodian, calculation agent and collateral agent (the “Margin Loan Facility”), that is secured by all of the shares of our common stock held by Star Holdings. If the market value of our common stock held by Star Holdings drops below certain specified levels, Star Holdings will be required to post additional collateral or, at certain levels, repay the outstanding margin loan amount as well as all accrued and unpaid interest, and a make whole amount. If Star Holdings is unable to satisfy any collateral calls or does not have sufficient funds to repay amounts owed under the Margin Loan Facility, Star Holdings may be forced to sell shares of our common stock or the lender may foreclose on the shares of our common stock held as collateral and sell such shares of our common stock, which could further reduce the market price of our common stock.</w:t>
      </w:r>
    </w:p>
    <w:p>
      <w:pPr>
        <w:spacing w:after="0" w:line="114"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The vesting of any restricted stock or other equity awards granted to certain directors, executive officers and other employees under our equity incentive plan, or the issuance of our common stock, Caret units or units in our operating company in connection with future property, portfolio or business acquisitions, could have an adverse effect on the market price per share of our common stock. In addition, the existence of options or shares of our common stock reserved for issuance as restricted shares of our common stock may adversely affect the terms upon which we may be able to obtain additional capital through the sale of equity securities.</w:t>
      </w:r>
    </w:p>
    <w:p>
      <w:pPr>
        <w:spacing w:after="0" w:line="3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firstLine="360"/>
        <w:spacing w:after="0" w:line="244" w:lineRule="auto"/>
        <w:rPr>
          <w:sz w:val="20"/>
          <w:szCs w:val="20"/>
          <w:color w:val="auto"/>
        </w:rPr>
      </w:pPr>
      <w:r>
        <w:rPr>
          <w:rFonts w:ascii="Arial" w:cs="Arial" w:eastAsia="Arial" w:hAnsi="Arial"/>
          <w:sz w:val="18"/>
          <w:szCs w:val="18"/>
          <w:color w:val="auto"/>
        </w:rPr>
        <w:t>Issuances of substantial amounts of our common stock (including issuances of common stock pursuant to the exercise of convertible or exchangeable securities or options) or issuances of LLC Interests in our operating company or other securities convertible into, or exchangeable or exercisable for, our common stock or the resale of substantial amounts of our common stock or such securities, or the perception that such issuances or resales might occur, could adversely affect the market price per share of our common stock. The potential adverse effect may be increased by the large number of shares of our common stock held by Star Holdings and the stockholders for whom we have filed resale registration statements to the extent that any of them resells, or there is a perception that any of them (and, in the case of Star Holdings, its lender) may resell, a significant portion of its holdings.</w:t>
      </w:r>
    </w:p>
    <w:p>
      <w:pPr>
        <w:spacing w:after="0" w:line="185"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b w:val="1"/>
          <w:bCs w:val="1"/>
          <w:i w:val="1"/>
          <w:iCs w:val="1"/>
          <w:color w:val="auto"/>
        </w:rPr>
        <w:t>We are party to several agreements with Star Holdings, and may be unable to collect amounts to which we are contractually entitled, which could negatively affect our performance, financial condition, results of operations and cash flows.</w:t>
      </w:r>
    </w:p>
    <w:p>
      <w:pPr>
        <w:spacing w:after="0" w:line="107" w:lineRule="exact"/>
        <w:rPr>
          <w:sz w:val="20"/>
          <w:szCs w:val="20"/>
          <w:color w:val="auto"/>
        </w:rPr>
      </w:pPr>
    </w:p>
    <w:p>
      <w:pPr>
        <w:ind w:left="1260" w:right="519" w:firstLine="360"/>
        <w:spacing w:after="0" w:line="244" w:lineRule="auto"/>
        <w:rPr>
          <w:sz w:val="20"/>
          <w:szCs w:val="20"/>
          <w:color w:val="auto"/>
        </w:rPr>
      </w:pPr>
      <w:r>
        <w:rPr>
          <w:rFonts w:ascii="Arial" w:cs="Arial" w:eastAsia="Arial" w:hAnsi="Arial"/>
          <w:sz w:val="18"/>
          <w:szCs w:val="18"/>
          <w:color w:val="auto"/>
        </w:rPr>
        <w:t>Concurrently with the completion of our spin-off of Star Holdings, Star Holdings entered into a management agreement with one of our subsidiaries (the “Management Agreement”). Pursuant to the Management Agreement, we have agreed to provide Star Holdings with a management team and manage Star Holdings’ assets and its and its subsidiaries’ day-to-day operations, subject to the supervision of Star Holdings’ board of trustees. In consideration for our management services, Star Holdings has agreed to pay us an annual management fee fixed at $25.0 million, $15.0 million, $10.0 million and $5.0 million in each of the first four annual terms of the agreement, and 2.0% of the gross book value of Star Holdings’ assets thereafter, excluding the shares of us held by Star Holdings, as of the end of each fiscal quarter. The management fee is payable in cash quarterly, in arrears.</w:t>
      </w:r>
    </w:p>
    <w:p>
      <w:pPr>
        <w:spacing w:after="0" w:line="11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Additionally, on March 31, 2023, we, as a lender and an administrative agent, and Star Holdings, as a borrower, entered into a senior secured term loan facility in an aggregate principal amount of $115.0 million (the “Secured Term Loan Facility”) and an additional commitment amount of up to $25.0 million (the “Incremental Term Loan Facility, and together with the Secured Term Loan Facility, the “Term Loan Facility”) at Star Holdings’ election, the proceeds of which may only be used to satisfy Star Holdings’ “soft call” obligations under the Margin Loan Facility. Borrowings under the Term Loan Facility bear an interest at a fixed rate of 8.00% per annum, subject to increase in certain circumstances. The Term Loan Facility has certain prepayment obligations, and a maturity of March 31, 2027.</w:t>
      </w:r>
    </w:p>
    <w:p>
      <w:pPr>
        <w:spacing w:after="0" w:line="108" w:lineRule="exact"/>
        <w:rPr>
          <w:sz w:val="20"/>
          <w:szCs w:val="20"/>
          <w:color w:val="auto"/>
        </w:rPr>
      </w:pPr>
    </w:p>
    <w:p>
      <w:pPr>
        <w:ind w:left="1260" w:right="639" w:firstLine="360"/>
        <w:spacing w:after="0" w:line="260" w:lineRule="auto"/>
        <w:rPr>
          <w:sz w:val="20"/>
          <w:szCs w:val="20"/>
          <w:color w:val="auto"/>
        </w:rPr>
      </w:pPr>
      <w:r>
        <w:rPr>
          <w:rFonts w:ascii="Arial" w:cs="Arial" w:eastAsia="Arial" w:hAnsi="Arial"/>
          <w:sz w:val="17"/>
          <w:szCs w:val="17"/>
          <w:color w:val="auto"/>
        </w:rPr>
        <w:t>If Star Holdings terminates the Management Agreement, fails to comply with its covenants under the Term Loan Facility or is otherwise in default under the Term Loan Facility, or fails to pay cash amounts when due under the Management Agreement or Term Loan Facility, our cash flow may be adversely affected. Any significant and negative impact on our cash flow could in turn negatively impact our compliance with covenants under our debt instruments or result in our default thereof, which could materially and adversely affect our performance, financial condition, liquidity and results of operations.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Investing in our common stock may involve a high degree of risk.</w:t>
      </w:r>
    </w:p>
    <w:p>
      <w:pPr>
        <w:spacing w:after="0" w:line="144" w:lineRule="exact"/>
        <w:rPr>
          <w:sz w:val="20"/>
          <w:szCs w:val="20"/>
          <w:color w:val="auto"/>
        </w:rPr>
      </w:pPr>
    </w:p>
    <w:p>
      <w:pPr>
        <w:jc w:val="both"/>
        <w:ind w:left="1260" w:right="679" w:firstLine="360"/>
        <w:spacing w:after="0" w:line="268" w:lineRule="auto"/>
        <w:rPr>
          <w:sz w:val="20"/>
          <w:szCs w:val="20"/>
          <w:color w:val="auto"/>
        </w:rPr>
      </w:pPr>
      <w:r>
        <w:rPr>
          <w:rFonts w:ascii="Arial" w:cs="Arial" w:eastAsia="Arial" w:hAnsi="Arial"/>
          <w:sz w:val="17"/>
          <w:szCs w:val="17"/>
          <w:color w:val="auto"/>
        </w:rPr>
        <w:t>The investments that we make in accordance with our investment objectives may entail a substantial amount of risk when compared to alternative investment options and investors in our common stock may experience volatility or loss of principal. Our investments may be highly speculative and aggressive, and therefore an investment in our common stock may not be suitable for someone with low risk tolerance.</w:t>
      </w:r>
    </w:p>
    <w:p>
      <w:pPr>
        <w:spacing w:after="0" w:line="180"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b w:val="1"/>
          <w:bCs w:val="1"/>
          <w:i w:val="1"/>
          <w:iCs w:val="1"/>
          <w:color w:val="auto"/>
        </w:rPr>
        <w:t>We have substantial debt and face risks associated with the use of debt to fund our business activities, including refinancing and interest rate risks.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total consolidated indebtedness at June 30, 2023, was approximately $4.025 billion, or</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$4.297 billion, including approximately $272.0 million, being our proportional share, of unsecured debt</w:t>
      </w:r>
    </w:p>
    <w:p>
      <w:pPr>
        <w:spacing w:after="0" w:line="7"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held by joint ventures, and we may incur significant additional debt to finance future acquisition, investment and development activities.</w:t>
      </w:r>
    </w:p>
    <w:p>
      <w:pPr>
        <w:spacing w:after="0" w:line="117" w:lineRule="exact"/>
        <w:rPr>
          <w:sz w:val="20"/>
          <w:szCs w:val="20"/>
          <w:color w:val="auto"/>
        </w:rPr>
      </w:pPr>
    </w:p>
    <w:p>
      <w:pPr>
        <w:ind w:left="1260" w:right="599" w:firstLine="360"/>
        <w:spacing w:after="0" w:line="278" w:lineRule="auto"/>
        <w:rPr>
          <w:sz w:val="20"/>
          <w:szCs w:val="20"/>
          <w:color w:val="auto"/>
        </w:rPr>
      </w:pPr>
      <w:r>
        <w:rPr>
          <w:rFonts w:ascii="Arial" w:cs="Arial" w:eastAsia="Arial" w:hAnsi="Arial"/>
          <w:sz w:val="17"/>
          <w:szCs w:val="17"/>
          <w:color w:val="auto"/>
        </w:rPr>
        <w:t>Our substantial indebtedness currently requires us to dedicate a significant portion of our cash flow from operations to debt service payments, which reduces the availability of our cash flow to fund working capital, capital expenditures, expansion efforts, distributions and other general corporate purposes.</w:t>
      </w:r>
    </w:p>
    <w:p>
      <w:pPr>
        <w:spacing w:after="0" w:line="3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Additionally, it could: make it more difficult for us to satisfy our obligations with respect to our indebtedness; limit our ability in the future to undertake refinancings of our debt or obtain financing for expenditures, acquisitions, development or other general corporate purposes on terms and conditions acceptable to us, if at all; or affect adversely our ability to compete effectively or operate successfully under adverse economic conditions.</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addition, we may violate restrictive covenants or fail to maintain financial ratios specified in our loan documents, which would entitle the lenders to accelerate our debt obligations, and our secured lenders or mortgagees may foreclose on our properties or our interests in the entities that own the properties that secure their loans and receive an assignment of rents and leases. Our default under any one of our loans could result in a cross-default on other indebtedness. A foreclosure on one or more of our properties could adversely affect our access to capital, financial condition, results of operations, cash flow and cash available for distribution. Further, foreclosures could create taxable income without accompanying cash proceeds, a circumstance which could hinder our ability to meet the REIT distribution requirements imposed by the Internal Revenue Code of 1986, as amended.</w:t>
      </w:r>
    </w:p>
    <w:p>
      <w:pPr>
        <w:spacing w:after="0" w:line="1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Additional risks related to our indebtedness include the following:</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i w:val="1"/>
          <w:iCs w:val="1"/>
          <w:color w:val="auto"/>
        </w:rPr>
        <w:t>We may be unable to refinance our indebtedness at maturity or the refinancing terms may be less favorable than the terms of our original indebtedness</w:t>
      </w:r>
      <w:r>
        <w:rPr>
          <w:rFonts w:ascii="Arial" w:cs="Arial" w:eastAsia="Arial" w:hAnsi="Arial"/>
          <w:sz w:val="18"/>
          <w:szCs w:val="18"/>
          <w:color w:val="auto"/>
        </w:rPr>
        <w:t>. It is likely that we will need to refinance at least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outstanding debt as it matures. If we are unable to refinance or extend principal payments due at maturity or pay them with proceeds of other capital transactions, then our cash flow may not be sufficient in all years to repay all such maturing debt and to pay distributions. Further, if prevailing interest rates or other factors at the time of refinancing, such as the reluctance of lenders to make commercial real estate loans, result in higher interest rates upon refinancing, then the interest expense relating to that refinanced indebtedness would increase.</w:t>
      </w:r>
    </w:p>
    <w:p>
      <w:pPr>
        <w:spacing w:after="0" w:line="124"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i w:val="1"/>
          <w:iCs w:val="1"/>
          <w:color w:val="auto"/>
        </w:rPr>
        <w:t>Fluctuations in interest rates could materially and adversely affect our financial results and cash flows and may increase the risk our counterparty defaults on our interest rate hedges</w:t>
      </w:r>
      <w:r>
        <w:rPr>
          <w:rFonts w:ascii="Arial" w:cs="Arial" w:eastAsia="Arial" w:hAnsi="Arial"/>
          <w:sz w:val="17"/>
          <w:szCs w:val="17"/>
          <w:color w:val="auto"/>
        </w:rPr>
        <w:t>. Because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our debt under the Unsecured Revolvers bears interest at variable rates, increases in interest rates could materially increase our interest expense and reduce the amount of cash flow available to invest in our business and make distributions to our stockholders. If the United States Federal Reserve continues to increase short-term interest rates, this would have a significant upward impact on shorter-term interest rates, including the interest rates that apply to our variable rate debt under the Unsecured Revolvers.</w:t>
      </w:r>
    </w:p>
    <w:p>
      <w:pPr>
        <w:spacing w:after="0" w:line="110"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Potential future increases in interest rates and credit spreads may increase our interest expense and therefore negatively affect our financial condition and results of operations, and reduce our cash flows and access to capital markets. We may enter into interest rate swap agreements to fix a portions of our floating rate debt. Increased interest rates may increase the risk that the counterparties to our swap agreements will default on their obligations, which could further increase our exposure to interest rate fluctuations. Conversely, if interest rates are lower than our swapped fixed rates, we will be required to pay more for our debt than we would have had we not entered into the swap agreements.</w:t>
      </w:r>
    </w:p>
    <w:p>
      <w:pPr>
        <w:spacing w:after="0" w:line="96"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Adverse changes in our Company’s credit ratings or changes in our ratings outlooks could negatively affect our financing activity. Our Company’s credit ratings and ratings outlooks can affect the amount of capital we can access, as well as the terms and pricing of any debt we may incur. We cannot assure you that we will be able to maintain our current credit ratings or ratings outlooks, and in the event our current credit ratings or ratings outlooks are downgraded, we would likely incur higher borrowing costs and may encounter difficulty in obtaining additional financing. Also, a downgrade in our credit ratings may trigger additional payments or other negative consequences under our current and future credit facilities and debt instruments.</w:t>
      </w:r>
    </w:p>
    <w:p>
      <w:pPr>
        <w:spacing w:after="0" w:line="124"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i w:val="1"/>
          <w:iCs w:val="1"/>
          <w:color w:val="auto"/>
        </w:rPr>
        <w:t>Our Unsecured Revolvers and senior notes restrict our ability to engage in some business activities</w:t>
      </w:r>
      <w:r>
        <w:rPr>
          <w:rFonts w:ascii="Arial" w:cs="Arial" w:eastAsia="Arial" w:hAnsi="Arial"/>
          <w:sz w:val="18"/>
          <w:szCs w:val="18"/>
          <w:color w:val="auto"/>
        </w:rPr>
        <w:t>. Our Unsecured Revolvers contain negative covenants and other financial and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that, among other things, restrict our ability to: make distributions, except under certain conditions, incur additional indebtedness; make certain investments; merge with another company; create, incur or assume liens; and require us to maintain financial coverage ratios, including with respect to unencumbered assets.</w:t>
      </w:r>
    </w:p>
    <w:p>
      <w:pPr>
        <w:sectPr>
          <w:pgSz w:w="11900" w:h="16838" w:orient="portrait"/>
          <w:cols w:equalWidth="0" w:num="1">
            <w:col w:w="9879"/>
          </w:cols>
          <w:pgMar w:left="580" w:top="90" w:right="1440" w:bottom="1440" w:gutter="0" w:footer="0" w:header="0"/>
        </w:sectPr>
      </w:pPr>
    </w:p>
    <w:p>
      <w:pPr>
        <w:spacing w:after="0" w:line="36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419" w:firstLine="360"/>
        <w:spacing w:after="0" w:line="275" w:lineRule="auto"/>
        <w:rPr>
          <w:sz w:val="20"/>
          <w:szCs w:val="20"/>
          <w:color w:val="auto"/>
        </w:rPr>
      </w:pPr>
      <w:r>
        <w:rPr>
          <w:rFonts w:ascii="Arial" w:cs="Arial" w:eastAsia="Arial" w:hAnsi="Arial"/>
          <w:sz w:val="17"/>
          <w:szCs w:val="17"/>
          <w:color w:val="auto"/>
        </w:rPr>
        <w:t>In addition, our unsecured senior notes contain various restrictive covenants, including requirements to maintain a pool of unencumbered assets. These restrictions, and the restrictions in our Unsecured Revolvers, could cause us to default on our senior notes or Unsecured Revolvers, as applicable, or negatively affect our operations or our ability to pay dividends to stockholders or distributions to unitholders, which could have a material adverse effect on the market price of our common stock.</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Affiliates of the underwriters may receive benefits in connection with this offering.</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As of the date of this prospectus supplement, affiliates of certain of the underwriters in this offering are lenders under our Unsecured Revolvers. To the extent that we use the net proceeds from this offering to repay outstanding borrowings under the 2021 Revolver, such affiliates of the applicable underwriters will receive their proportionate share of any amount that is repaid with the net proceeds from this offering. These transactions create potential conflicts of interest because the underwriters have an interest in the successful completion of this offering beyond the underwriting discounts and commissions they will receive. These interests may influence the decision regarding the terms and circumstances under which the offering is completed.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Your investment has various U.S. federal income tax risks.</w:t>
      </w:r>
    </w:p>
    <w:p>
      <w:pPr>
        <w:spacing w:after="0" w:line="158"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Although the provisions of the Internal Revenue Code of 1986, as amended, that are generally relevant to an investment in shares of our common stock are described in “Federal Income Tax Considerations” in the accompanying prospectus, we urge you to consult your tax advisor concerning the effects of U.S. federal, state, local and foreign tax laws to you with regard to an investment in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We estimate that we will receive net proceeds from this offering and the concurrent MSD placement of approximately $      million (or approximately $       million if the underwriters exercise their option to purchase additional shares of common stock in full), after deducting the underwriting discount and the other estimated offering expenses payable by us. No underwriting discount will be payable with respect to the concurrent MSD placement. See “Underwriting — Commissions and Discounts.” We intend to use the net proceeds for general corporate purposes, which may include repaying or repurchasing indebtedness (including amounts outstanding from time to time under the 2021 Revolver), making additional investments in Ground Leases, providing for working capital and funding obligations under existing Ground Lease commitments.</w:t>
      </w:r>
    </w:p>
    <w:p>
      <w:pPr>
        <w:spacing w:after="0" w:line="129"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The 2021 Revolver has an initial maturity of March 2024 (with two 12-month extension options exercisable by us, subject to certain conditions) and currently bears interest at an annual rate of adjusted term SOFR plus 1%, which as of June 30, 2023 was approximately 6.2%. As of June 30, 2023, approximately $1,048 million was outstanding under the 2021 Revolver.</w:t>
      </w:r>
    </w:p>
    <w:p>
      <w:pPr>
        <w:spacing w:after="0" w:line="106"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Any borrowings under the 2021 Revolver that are repaid with such net proceeds may be reborrowed, subject to customary conditions. Affiliates of the underwriters are lenders under the 2021 Revolver and will receive a portion of the net proceeds from this offering to the extent such net proceeds are used to repay outstanding borrowings under the 2021 Revolver. See “Underwriting — Other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1260" w:right="559" w:firstLine="360"/>
        <w:spacing w:after="0" w:line="246" w:lineRule="auto"/>
        <w:rPr>
          <w:sz w:val="20"/>
          <w:szCs w:val="20"/>
          <w:color w:val="auto"/>
        </w:rPr>
      </w:pPr>
      <w:r>
        <w:rPr>
          <w:rFonts w:ascii="Arial" w:cs="Arial" w:eastAsia="Arial" w:hAnsi="Arial"/>
          <w:sz w:val="18"/>
          <w:szCs w:val="18"/>
          <w:color w:val="auto"/>
        </w:rPr>
        <w:t>BofA Securities, Inc., Goldman Sachs &amp; Co. LLC, J.P. Morgan Securities LLC and Morgan Stanley &amp; Co. LLC are acting as representatives of each of the underwriters named below. Subject to the terms and conditions set forth in an underwriting agreement among us and our operating company, on the one hand, and the underwriters, on the other hand, we have agreed to sell to the underwriters, and each of the underwriters has agreed, severally and not jointly, to purchase from us, the number of shares of common stock set forth opposite its name below.</w:t>
      </w:r>
    </w:p>
    <w:p>
      <w:pPr>
        <w:spacing w:after="0" w:line="10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4"/>
                <w:szCs w:val="14"/>
                <w:color w:val="auto"/>
              </w:rPr>
            </w:pPr>
          </w:p>
        </w:tc>
      </w:tr>
      <w:tr>
        <w:trPr>
          <w:trHeight w:val="225"/>
        </w:trPr>
        <w:tc>
          <w:tcPr>
            <w:tcW w:w="436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2480" w:type="dxa"/>
            <w:vAlign w:val="bottom"/>
            <w:gridSpan w:val="2"/>
          </w:tcPr>
          <w:p>
            <w:pPr>
              <w:ind w:left="2260"/>
              <w:spacing w:after="0"/>
              <w:rPr>
                <w:sz w:val="20"/>
                <w:szCs w:val="20"/>
                <w:color w:val="auto"/>
              </w:rPr>
            </w:pPr>
            <w:r>
              <w:rPr>
                <w:rFonts w:ascii="Arial" w:cs="Arial" w:eastAsia="Arial" w:hAnsi="Arial"/>
                <w:sz w:val="14"/>
                <w:szCs w:val="14"/>
                <w:b w:val="1"/>
                <w:bCs w:val="1"/>
                <w:color w:val="auto"/>
              </w:rPr>
              <w:t>​ ​</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436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2480" w:type="dxa"/>
            <w:vAlign w:val="bottom"/>
            <w:tcBorders>
              <w:right w:val="single" w:sz="8" w:color="CCEEFF"/>
            </w:tcBorders>
            <w:gridSpan w:val="2"/>
            <w:shd w:val="clear" w:color="auto" w:fill="CCEEFF"/>
          </w:tcPr>
          <w:p>
            <w:pPr>
              <w:ind w:left="226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2480" w:type="dxa"/>
            <w:vAlign w:val="bottom"/>
            <w:gridSpan w:val="2"/>
          </w:tcPr>
          <w:p>
            <w:pPr>
              <w:ind w:left="2260"/>
              <w:spacing w:after="0"/>
              <w:rPr>
                <w:sz w:val="20"/>
                <w:szCs w:val="20"/>
                <w:color w:val="auto"/>
              </w:rPr>
            </w:pPr>
            <w:r>
              <w:rPr>
                <w:rFonts w:ascii="Arial" w:cs="Arial" w:eastAsia="Arial" w:hAnsi="Arial"/>
                <w:sz w:val="18"/>
                <w:szCs w:val="18"/>
                <w:color w:val="auto"/>
              </w:rPr>
              <w:t>​ ​</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480" w:type="dxa"/>
            <w:vAlign w:val="bottom"/>
            <w:tcBorders>
              <w:right w:val="single" w:sz="8" w:color="CCEEFF"/>
            </w:tcBorders>
            <w:gridSpan w:val="2"/>
            <w:shd w:val="clear" w:color="auto" w:fill="CCEEFF"/>
          </w:tcPr>
          <w:p>
            <w:pPr>
              <w:ind w:left="226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Morgan Stanley &amp; Co. LLC</w:t>
            </w:r>
          </w:p>
        </w:tc>
        <w:tc>
          <w:tcPr>
            <w:tcW w:w="2480" w:type="dxa"/>
            <w:vAlign w:val="bottom"/>
            <w:tcBorders>
              <w:bottom w:val="single" w:sz="8" w:color="CCEEFF"/>
            </w:tcBorders>
            <w:gridSpan w:val="2"/>
          </w:tcPr>
          <w:p>
            <w:pPr>
              <w:ind w:left="2260"/>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CEEFF"/>
              <w:right w:val="single" w:sz="8" w:color="CCEEFF"/>
            </w:tcBorders>
            <w:gridSpan w:val="2"/>
            <w:shd w:val="clear" w:color="auto" w:fill="CCEEFF"/>
          </w:tcPr>
          <w:p>
            <w:pPr>
              <w:ind w:left="2260"/>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-899795</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-196850</wp:posOffset>
            </wp:positionV>
            <wp:extent cx="43376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55" w:lineRule="exact"/>
        <w:rPr>
          <w:sz w:val="20"/>
          <w:szCs w:val="20"/>
          <w:color w:val="auto"/>
        </w:rPr>
      </w:pPr>
    </w:p>
    <w:p>
      <w:pPr>
        <w:ind w:left="1260" w:right="499" w:firstLine="360"/>
        <w:spacing w:after="0" w:line="246"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(exclusive of any shares that may be purchased pursuant to the option to purchase additional shares described below) if any of these shares are purchased. If an underwriter defaults, the underwriting agreement provides that the purchase commitments of the non-defaulting underwriters may be increased, or the underwriting agreement may be terminated.</w:t>
      </w:r>
    </w:p>
    <w:p>
      <w:pPr>
        <w:spacing w:after="0" w:line="77"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67"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supplement and to dealers at that price less a concession not in excess of $      per share. After the initial offering, the public offering price, concession or any other term of this offering may be changed.</w:t>
      </w:r>
    </w:p>
    <w:p>
      <w:pPr>
        <w:spacing w:after="0" w:line="73" w:lineRule="exact"/>
        <w:rPr>
          <w:sz w:val="20"/>
          <w:szCs w:val="20"/>
          <w:color w:val="auto"/>
        </w:rPr>
      </w:pPr>
    </w:p>
    <w:p>
      <w:pPr>
        <w:ind w:left="1260" w:right="879" w:firstLine="360"/>
        <w:spacing w:after="0" w:line="256"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w:t>
      </w:r>
    </w:p>
    <w:p>
      <w:pPr>
        <w:spacing w:after="0" w:line="9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Per</w:t>
            </w:r>
          </w:p>
        </w:tc>
        <w:tc>
          <w:tcPr>
            <w:tcW w:w="2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88"/>
              </w:rPr>
              <w:t>Without</w:t>
            </w:r>
          </w:p>
        </w:tc>
        <w:tc>
          <w:tcPr>
            <w:tcW w:w="2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300" w:type="dxa"/>
            <w:vAlign w:val="bottom"/>
          </w:tcPr>
          <w:p>
            <w:pPr>
              <w:spacing w:after="0"/>
              <w:rPr>
                <w:sz w:val="20"/>
                <w:szCs w:val="20"/>
                <w:color w:val="auto"/>
              </w:rPr>
            </w:pPr>
            <w:r>
              <w:rPr>
                <w:rFonts w:ascii="Arial" w:cs="Arial" w:eastAsia="Arial" w:hAnsi="Arial"/>
                <w:sz w:val="14"/>
                <w:szCs w:val="14"/>
                <w:b w:val="1"/>
                <w:bCs w:val="1"/>
                <w:color w:val="auto"/>
              </w:rPr>
              <w:t>​</w:t>
            </w:r>
          </w:p>
        </w:tc>
        <w:tc>
          <w:tcPr>
            <w:tcW w:w="1820" w:type="dxa"/>
            <w:vAlign w:val="bottom"/>
            <w:gridSpan w:val="2"/>
          </w:tcPr>
          <w:p>
            <w:pPr>
              <w:ind w:left="1200"/>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Share</w:t>
            </w:r>
          </w:p>
        </w:tc>
        <w:tc>
          <w:tcPr>
            <w:tcW w:w="700" w:type="dxa"/>
            <w:vAlign w:val="bottom"/>
            <w:gridSpan w:val="2"/>
          </w:tcPr>
          <w:p>
            <w:pPr>
              <w:ind w:left="40"/>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Option</w:t>
            </w:r>
          </w:p>
        </w:tc>
        <w:tc>
          <w:tcPr>
            <w:tcW w:w="720" w:type="dxa"/>
            <w:vAlign w:val="bottom"/>
            <w:gridSpan w:val="3"/>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Option</w:t>
            </w:r>
            <w:r>
              <w:rPr>
                <w:rFonts w:ascii="Arial" w:cs="Arial" w:eastAsia="Arial" w:hAnsi="Arial"/>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136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    </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 xml:space="preserve">$    </w:t>
            </w:r>
          </w:p>
        </w:tc>
        <w:tc>
          <w:tcPr>
            <w:tcW w:w="6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 xml:space="preserve">$    </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00" w:type="dxa"/>
            <w:vAlign w:val="bottom"/>
            <w:shd w:val="clear" w:color="auto" w:fill="CCEEFF"/>
          </w:tcPr>
          <w:p>
            <w:pPr>
              <w:spacing w:after="0"/>
              <w:rPr>
                <w:sz w:val="4"/>
                <w:szCs w:val="4"/>
                <w:color w:val="auto"/>
              </w:rPr>
            </w:pPr>
          </w:p>
        </w:tc>
        <w:tc>
          <w:tcPr>
            <w:tcW w:w="1820" w:type="dxa"/>
            <w:vAlign w:val="bottom"/>
            <w:tcBorders>
              <w:right w:val="single" w:sz="8" w:color="CCEEFF"/>
            </w:tcBorders>
            <w:gridSpan w:val="2"/>
            <w:shd w:val="clear" w:color="auto" w:fill="CCEEFF"/>
          </w:tcPr>
          <w:p>
            <w:pPr>
              <w:ind w:left="1200"/>
              <w:spacing w:after="0" w:line="54" w:lineRule="exact"/>
              <w:rPr>
                <w:sz w:val="20"/>
                <w:szCs w:val="20"/>
                <w:color w:val="auto"/>
              </w:rPr>
            </w:pPr>
            <w:r>
              <w:rPr>
                <w:rFonts w:ascii="Arial" w:cs="Arial" w:eastAsia="Arial" w:hAnsi="Arial"/>
                <w:sz w:val="6"/>
                <w:szCs w:val="6"/>
                <w:color w:val="auto"/>
              </w:rPr>
              <w:t>​ ​​</w:t>
            </w:r>
          </w:p>
        </w:tc>
        <w:tc>
          <w:tcPr>
            <w:tcW w:w="70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 ​ ​</w:t>
            </w:r>
          </w:p>
        </w:tc>
        <w:tc>
          <w:tcPr>
            <w:tcW w:w="66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8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1820" w:type="dxa"/>
            <w:vAlign w:val="bottom"/>
            <w:gridSpan w:val="2"/>
          </w:tcPr>
          <w:p>
            <w:pPr>
              <w:ind w:left="1200"/>
              <w:spacing w:after="0" w:line="54" w:lineRule="exact"/>
              <w:rPr>
                <w:sz w:val="20"/>
                <w:szCs w:val="20"/>
                <w:color w:val="auto"/>
              </w:rPr>
            </w:pPr>
            <w:r>
              <w:rPr>
                <w:rFonts w:ascii="Arial" w:cs="Arial" w:eastAsia="Arial" w:hAnsi="Arial"/>
                <w:sz w:val="6"/>
                <w:szCs w:val="6"/>
                <w:color w:val="auto"/>
              </w:rPr>
              <w:t>​ ​​</w:t>
            </w:r>
          </w:p>
        </w:tc>
        <w:tc>
          <w:tcPr>
            <w:tcW w:w="700" w:type="dxa"/>
            <w:vAlign w:val="bottom"/>
            <w:gridSpan w:val="2"/>
          </w:tcPr>
          <w:p>
            <w:pPr>
              <w:spacing w:after="0" w:line="54" w:lineRule="exact"/>
              <w:rPr>
                <w:sz w:val="20"/>
                <w:szCs w:val="20"/>
                <w:color w:val="auto"/>
              </w:rPr>
            </w:pPr>
            <w:r>
              <w:rPr>
                <w:rFonts w:ascii="Arial" w:cs="Arial" w:eastAsia="Arial" w:hAnsi="Arial"/>
                <w:sz w:val="6"/>
                <w:szCs w:val="6"/>
                <w:color w:val="auto"/>
              </w:rPr>
              <w:t>​​ ​ ​</w:t>
            </w:r>
          </w:p>
        </w:tc>
        <w:tc>
          <w:tcPr>
            <w:tcW w:w="660" w:type="dxa"/>
            <w:vAlign w:val="bottom"/>
            <w:gridSpan w:val="2"/>
          </w:tcPr>
          <w:p>
            <w:pPr>
              <w:spacing w:after="0" w:line="54" w:lineRule="exact"/>
              <w:rPr>
                <w:sz w:val="20"/>
                <w:szCs w:val="20"/>
                <w:color w:val="auto"/>
              </w:rPr>
            </w:pPr>
            <w:r>
              <w:rPr>
                <w:rFonts w:ascii="Arial" w:cs="Arial" w:eastAsia="Arial" w:hAnsi="Arial"/>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820" w:type="dxa"/>
            <w:vAlign w:val="bottom"/>
            <w:tcBorders>
              <w:right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00" w:type="dxa"/>
            <w:vAlign w:val="bottom"/>
            <w:shd w:val="clear" w:color="auto" w:fill="CCEEFF"/>
          </w:tcPr>
          <w:p>
            <w:pPr>
              <w:spacing w:after="0"/>
              <w:rPr>
                <w:sz w:val="4"/>
                <w:szCs w:val="4"/>
                <w:color w:val="auto"/>
              </w:rPr>
            </w:pPr>
          </w:p>
        </w:tc>
        <w:tc>
          <w:tcPr>
            <w:tcW w:w="1820" w:type="dxa"/>
            <w:vAlign w:val="bottom"/>
            <w:tcBorders>
              <w:right w:val="single" w:sz="8" w:color="CCEEFF"/>
            </w:tcBorders>
            <w:gridSpan w:val="2"/>
            <w:shd w:val="clear" w:color="auto" w:fill="CCEEFF"/>
          </w:tcPr>
          <w:p>
            <w:pPr>
              <w:ind w:left="1200"/>
              <w:spacing w:after="0" w:line="54" w:lineRule="exact"/>
              <w:rPr>
                <w:sz w:val="20"/>
                <w:szCs w:val="20"/>
                <w:color w:val="auto"/>
              </w:rPr>
            </w:pPr>
            <w:r>
              <w:rPr>
                <w:rFonts w:ascii="Arial" w:cs="Arial" w:eastAsia="Arial" w:hAnsi="Arial"/>
                <w:sz w:val="6"/>
                <w:szCs w:val="6"/>
                <w:color w:val="auto"/>
              </w:rPr>
              <w:t>​ ​​</w:t>
            </w:r>
          </w:p>
        </w:tc>
        <w:tc>
          <w:tcPr>
            <w:tcW w:w="70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 ​ ​</w:t>
            </w:r>
          </w:p>
        </w:tc>
        <w:tc>
          <w:tcPr>
            <w:tcW w:w="66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-513715</wp:posOffset>
            </wp:positionV>
            <wp:extent cx="44659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74"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No underwriting discounts and commissions will be payable with respect to the concurrent MSD placement, however we expect to pay an advisory fee of $     per share, or a total of $     to an affiliate of the purchasers in the concurrent MSD placement.</w:t>
      </w:r>
    </w:p>
    <w:p>
      <w:pPr>
        <w:spacing w:after="0" w:line="67" w:lineRule="exact"/>
        <w:rPr>
          <w:sz w:val="20"/>
          <w:szCs w:val="20"/>
          <w:color w:val="auto"/>
        </w:rPr>
      </w:pPr>
    </w:p>
    <w:p>
      <w:pPr>
        <w:ind w:left="1260" w:right="459" w:firstLine="360"/>
        <w:spacing w:after="0" w:line="249" w:lineRule="auto"/>
        <w:rPr>
          <w:sz w:val="20"/>
          <w:szCs w:val="20"/>
          <w:color w:val="auto"/>
        </w:rPr>
      </w:pPr>
      <w:r>
        <w:rPr>
          <w:rFonts w:ascii="Arial" w:cs="Arial" w:eastAsia="Arial" w:hAnsi="Arial"/>
          <w:sz w:val="18"/>
          <w:szCs w:val="18"/>
          <w:color w:val="auto"/>
        </w:rPr>
        <w:t>The expenses of this offering, not including the underwriting discounts and commissions, are estimated at $375,000 and are payable by us. We have agreed to reimburse the underwriters for the reasonable legal fees and disbursements incident to securing any required review by the Financial Industry Regulatory Authority of the terms of the sale of the shares up to $5,000.</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supplement, to purchase up to 975,000 additional shares at the public offering price, less the underwriting discounts and commissions.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our operating company, our executive officers, our directors and certain of our stockholders (including Star Holdings and MSD Partners) have agreed not to sell or transfer any common stock or securities convertible into, exchangeable for, exercisable for, or repayable with common stock, for 30 days after the date of this prospectus supplement without first obtaining the written consent of the representatives. Specifically, we and these other persons have agreed, with certain limited exceptions, not to directly or indirectly</w:t>
      </w:r>
    </w:p>
    <w:p>
      <w:pPr>
        <w:spacing w:after="0" w:line="84"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17"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other agreement is to be settled by delivery of shares or other securities, in cash or otherwise.</w:t>
      </w:r>
    </w:p>
    <w:p>
      <w:pPr>
        <w:spacing w:after="0" w:line="76"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This lock-up provision applies to shares of our common stock and to securities convertible into or exchangeable or exercisable for or repayable with shares of our common stock. It also applies to shares of our common stock owned now or acquired later by the person executing the agreement or for which the person executing the agreement later acquires the power of disposition.</w:t>
      </w:r>
    </w:p>
    <w:p>
      <w:pPr>
        <w:spacing w:after="0" w:line="79" w:lineRule="exact"/>
        <w:rPr>
          <w:sz w:val="20"/>
          <w:szCs w:val="20"/>
          <w:color w:val="auto"/>
        </w:rPr>
      </w:pPr>
    </w:p>
    <w:p>
      <w:pPr>
        <w:ind w:left="1260" w:right="1099" w:firstLine="360"/>
        <w:spacing w:after="0" w:line="263" w:lineRule="auto"/>
        <w:rPr>
          <w:sz w:val="20"/>
          <w:szCs w:val="20"/>
          <w:color w:val="auto"/>
        </w:rPr>
      </w:pPr>
      <w:r>
        <w:rPr>
          <w:rFonts w:ascii="Arial" w:cs="Arial" w:eastAsia="Arial" w:hAnsi="Arial"/>
          <w:sz w:val="18"/>
          <w:szCs w:val="18"/>
          <w:color w:val="auto"/>
        </w:rPr>
        <w:t>The restrictions described herein do not apply to us and our operating company in certain circumstances, subject to certain limitations and conditions set forth in the underwriting agreement, including:</w:t>
      </w:r>
    </w:p>
    <w:p>
      <w:pPr>
        <w:spacing w:after="0" w:line="76" w:lineRule="exact"/>
        <w:rPr>
          <w:sz w:val="20"/>
          <w:szCs w:val="20"/>
          <w:color w:val="auto"/>
        </w:rPr>
      </w:pPr>
    </w:p>
    <w:p>
      <w:pPr>
        <w:ind w:left="2340" w:hanging="360"/>
        <w:spacing w:after="0"/>
        <w:tabs>
          <w:tab w:leader="none" w:pos="2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shares of our common stock to be sold in this offering and the concurrent MSD</w:t>
      </w:r>
    </w:p>
    <w:p>
      <w:pPr>
        <w:spacing w:after="0" w:line="2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placement;</w:t>
      </w:r>
    </w:p>
    <w:p>
      <w:pPr>
        <w:spacing w:after="0" w:line="102" w:lineRule="exact"/>
        <w:rPr>
          <w:rFonts w:ascii="Arial" w:cs="Arial" w:eastAsia="Arial" w:hAnsi="Arial"/>
          <w:sz w:val="18"/>
          <w:szCs w:val="18"/>
          <w:color w:val="auto"/>
        </w:rPr>
      </w:pPr>
    </w:p>
    <w:p>
      <w:pPr>
        <w:ind w:left="1620" w:right="479" w:firstLine="360"/>
        <w:spacing w:after="0" w:line="263" w:lineRule="auto"/>
        <w:tabs>
          <w:tab w:leader="none" w:pos="23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shares of our common stock issued by us upon the exercise of an option or warrant or the conversion or exchange of a security, in each case outstanding on the date of this prospectus supplement and as described herein;</w:t>
      </w:r>
    </w:p>
    <w:p>
      <w:pPr>
        <w:spacing w:after="0" w:line="75" w:lineRule="exact"/>
        <w:rPr>
          <w:rFonts w:ascii="Arial" w:cs="Arial" w:eastAsia="Arial" w:hAnsi="Arial"/>
          <w:sz w:val="18"/>
          <w:szCs w:val="18"/>
          <w:color w:val="auto"/>
        </w:rPr>
      </w:pPr>
    </w:p>
    <w:p>
      <w:pPr>
        <w:ind w:left="1620" w:right="579" w:firstLine="360"/>
        <w:spacing w:after="0" w:line="259" w:lineRule="auto"/>
        <w:tabs>
          <w:tab w:leader="none" w:pos="23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shares of our common stock, LLC Interests, LTIP Units, dividend equivalent rights or other equity based awards issued or options to purchase shares of our common stock granted pursuant to our existing employee benefit plans as described herein (including the filing of a registration statement on Form S-8 relating to such existing employee benefit plans);</w:t>
      </w:r>
    </w:p>
    <w:p>
      <w:pPr>
        <w:spacing w:after="0" w:line="78" w:lineRule="exact"/>
        <w:rPr>
          <w:rFonts w:ascii="Arial" w:cs="Arial" w:eastAsia="Arial" w:hAnsi="Arial"/>
          <w:sz w:val="18"/>
          <w:szCs w:val="18"/>
          <w:color w:val="auto"/>
        </w:rPr>
      </w:pPr>
    </w:p>
    <w:p>
      <w:pPr>
        <w:ind w:left="1620" w:right="1039" w:firstLine="360"/>
        <w:spacing w:after="0" w:line="277" w:lineRule="auto"/>
        <w:tabs>
          <w:tab w:leader="none" w:pos="23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LLC Interests, in the aggregate not to exceed 15% of the number of LLC Interests outstanding, issued in connection with the acquisition of business or assets; or</w:t>
      </w:r>
    </w:p>
    <w:p>
      <w:pPr>
        <w:spacing w:after="0" w:line="62" w:lineRule="exact"/>
        <w:rPr>
          <w:rFonts w:ascii="Arial" w:cs="Arial" w:eastAsia="Arial" w:hAnsi="Arial"/>
          <w:sz w:val="18"/>
          <w:szCs w:val="18"/>
          <w:color w:val="auto"/>
        </w:rPr>
      </w:pPr>
    </w:p>
    <w:p>
      <w:pPr>
        <w:ind w:left="1620" w:right="619" w:firstLine="360"/>
        <w:spacing w:after="0" w:line="277" w:lineRule="auto"/>
        <w:tabs>
          <w:tab w:leader="none" w:pos="2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shares of our common stock issued pursuant to any non-employee director share plan or distribution reinvestment plan disclosed herein.</w:t>
      </w:r>
    </w:p>
    <w:p>
      <w:pPr>
        <w:spacing w:after="0" w:line="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The restrictions described herein do not apply to our executive officers, our directors and certain of our stockholders in certain circumstances, subject to certain limitations and conditions set forth in the lock-up agreements, including transfers of shares of our common stock or any security convertible into our common stock:</w:t>
      </w:r>
    </w:p>
    <w:p>
      <w:pPr>
        <w:spacing w:after="0" w:line="79" w:lineRule="exact"/>
        <w:rPr>
          <w:sz w:val="20"/>
          <w:szCs w:val="20"/>
          <w:color w:val="auto"/>
        </w:rPr>
      </w:pPr>
    </w:p>
    <w:p>
      <w:pPr>
        <w:ind w:left="1980"/>
        <w:spacing w:after="0"/>
        <w:tabs>
          <w:tab w:leader="none" w:pos="2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as a bona fide gift or gifts;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620" w:right="499" w:firstLine="360"/>
        <w:spacing w:after="0" w:line="278" w:lineRule="auto"/>
        <w:tabs>
          <w:tab w:leader="none" w:pos="23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any trust for the direct or indirect benefit of the party subject to such lock-up agreement or the immediate family of such party (for purposes of this provision, “immediate family” shall mean any relationship by blood, marriage or adoption, not more remote than first cousin);</w:t>
      </w:r>
    </w:p>
    <w:p>
      <w:pPr>
        <w:spacing w:after="0" w:line="49" w:lineRule="exact"/>
        <w:rPr>
          <w:rFonts w:ascii="Arial" w:cs="Arial" w:eastAsia="Arial" w:hAnsi="Arial"/>
          <w:sz w:val="17"/>
          <w:szCs w:val="17"/>
          <w:color w:val="auto"/>
        </w:rPr>
      </w:pPr>
    </w:p>
    <w:p>
      <w:pPr>
        <w:ind w:left="2340" w:hanging="360"/>
        <w:spacing w:after="0"/>
        <w:tabs>
          <w:tab w:leader="none" w:pos="2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distribution to limited partners, members or stockholders of such party; or</w:t>
      </w:r>
    </w:p>
    <w:p>
      <w:pPr>
        <w:spacing w:after="0" w:line="117" w:lineRule="exact"/>
        <w:rPr>
          <w:rFonts w:ascii="Arial" w:cs="Arial" w:eastAsia="Arial" w:hAnsi="Arial"/>
          <w:sz w:val="18"/>
          <w:szCs w:val="18"/>
          <w:color w:val="auto"/>
        </w:rPr>
      </w:pPr>
    </w:p>
    <w:p>
      <w:pPr>
        <w:ind w:left="1620" w:right="639" w:firstLine="360"/>
        <w:spacing w:after="0" w:line="277" w:lineRule="auto"/>
        <w:tabs>
          <w:tab w:leader="none" w:pos="23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such party’s affiliates or to any investment fund or other entity controlled or managed by such party;</w:t>
      </w:r>
    </w:p>
    <w:p>
      <w:pPr>
        <w:spacing w:after="0" w:line="49"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provided that in the case of any transfer or distribution pursuant to clauses (a), (b), (c) or (d), (i) the representatives receive a signed lock-up agreement for the balance of the lock up period from each donee, trustee, distributee, or transferee, as the case may be, (ii) any such transfer shall not involve a disposition for value, (iii) such transfers are not required to be reported with the SEC on Form 4 in accordance with Section 16 of the Exchange Act, and (iv) such party does not otherwise voluntarily effect any public filing or report regarding such transfers. In addition, the restrictions described herein do not apply to shares of our common stock owned by Star Holdings that constitute “Collateral Shares,” as such term is defined in the Margin Loan Facility.</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York Stock Exchange Listing</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common stock is listed on the NYSE under the symbol “SAFE.”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1260" w:right="519" w:firstLine="360"/>
        <w:spacing w:after="0" w:line="249" w:lineRule="auto"/>
        <w:rPr>
          <w:sz w:val="20"/>
          <w:szCs w:val="20"/>
          <w:color w:val="auto"/>
        </w:rPr>
      </w:pPr>
      <w:r>
        <w:rPr>
          <w:rFonts w:ascii="Arial" w:cs="Arial" w:eastAsia="Arial" w:hAnsi="Arial"/>
          <w:sz w:val="18"/>
          <w:szCs w:val="18"/>
          <w:color w:val="auto"/>
        </w:rPr>
        <w:t>Until the distribution of the shares of our common stock in this offering is completed, SEC rules may limit underwriters and selling group members from bidding for and purchasing our common stock. However, the representatives may engage in transactions that stabilize the price of our common stock, such as bids or purchases to peg, fix or maintain that price.</w:t>
      </w:r>
    </w:p>
    <w:p>
      <w:pPr>
        <w:spacing w:after="0" w:line="73"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7"/>
          <w:szCs w:val="17"/>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of this offering that could adversely affect investors who purchase in this offering. Stabilizing transactions consist of various bids for or purchases of shares of common stock made by the underwriters in the open market prior to the completion of this offering.</w:t>
      </w:r>
    </w:p>
    <w:p>
      <w:pPr>
        <w:spacing w:after="0" w:line="85"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market price of our common stock may be higher than the price that might otherwise exist in the open market. The underwriters may conduct these transactions on the NYSE, in the over-the-counter market or otherwise.</w:t>
      </w:r>
    </w:p>
    <w:p>
      <w:pPr>
        <w:spacing w:after="0" w:line="63" w:lineRule="exact"/>
        <w:rPr>
          <w:sz w:val="20"/>
          <w:szCs w:val="20"/>
          <w:color w:val="auto"/>
        </w:rPr>
      </w:pPr>
    </w:p>
    <w:p>
      <w:pPr>
        <w:ind w:left="1260" w:right="519" w:firstLine="360"/>
        <w:spacing w:after="0" w:line="249"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market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In connection with this offering, certain of the underwriters or securities dealers may distribute prospectuses by electronic means, such as e-mail.</w:t>
      </w:r>
    </w:p>
    <w:p>
      <w:pPr>
        <w:sectPr>
          <w:pgSz w:w="11900" w:h="16838" w:orient="portrait"/>
          <w:cols w:equalWidth="0" w:num="1">
            <w:col w:w="9879"/>
          </w:cols>
          <w:pgMar w:left="580" w:top="90" w:right="1440" w:bottom="1440" w:gutter="0" w:footer="0" w:header="0"/>
        </w:sectPr>
      </w:pPr>
    </w:p>
    <w:p>
      <w:pPr>
        <w:spacing w:after="0" w:line="360"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Affiliates of the underwriters in this offering are lenders under our Unsecured Revolvers and receive customary fees for their services in connection with such credit facilities and will also receive a portion of the net proceeds from this offering to the extent such net proceeds are used to repay outstanding borrowings under the 2021 Revolver.</w:t>
      </w:r>
    </w:p>
    <w:p>
      <w:pPr>
        <w:spacing w:after="0" w:line="79" w:lineRule="exact"/>
        <w:rPr>
          <w:sz w:val="20"/>
          <w:szCs w:val="20"/>
          <w:color w:val="auto"/>
        </w:rPr>
      </w:pPr>
    </w:p>
    <w:p>
      <w:pPr>
        <w:jc w:val="both"/>
        <w:ind w:left="1260" w:right="519" w:firstLine="360"/>
        <w:spacing w:after="0" w:line="259" w:lineRule="auto"/>
        <w:rPr>
          <w:sz w:val="20"/>
          <w:szCs w:val="20"/>
          <w:color w:val="auto"/>
        </w:rPr>
      </w:pPr>
      <w:r>
        <w:rPr>
          <w:rFonts w:ascii="Arial" w:cs="Arial" w:eastAsia="Arial" w:hAnsi="Arial"/>
          <w:sz w:val="18"/>
          <w:szCs w:val="18"/>
          <w:color w:val="auto"/>
        </w:rPr>
        <w:t>In addition to the foregoing,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7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Any offer in Australia of the shares may only be made to persons (the “Exempt Investors”) who are</w:t>
      </w:r>
    </w:p>
    <w:p>
      <w:pPr>
        <w:spacing w:after="0" w:line="23"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8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84"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must</w:t>
      </w:r>
      <w:r>
        <w:rPr>
          <w:rFonts w:ascii="Arial" w:cs="Arial" w:eastAsia="Arial" w:hAnsi="Arial"/>
          <w:sz w:val="18"/>
          <w:szCs w:val="18"/>
          <w:i w:val="1"/>
          <w:iCs w:val="1"/>
          <w:color w:val="auto"/>
        </w:rPr>
        <w:t xml:space="preserve"> </w:t>
      </w:r>
      <w:r>
        <w:rPr>
          <w:rFonts w:ascii="Arial" w:cs="Arial" w:eastAsia="Arial" w:hAnsi="Arial"/>
          <w:sz w:val="18"/>
          <w:szCs w:val="18"/>
          <w:color w:val="auto"/>
        </w:rPr>
        <w:t>be made in accordance with an exemption from, or in a transaction not subject to, the prospectus requirements of applicable securities laws.</w:t>
      </w:r>
    </w:p>
    <w:p>
      <w:pPr>
        <w:sectPr>
          <w:pgSz w:w="11900" w:h="16838" w:orient="portrait"/>
          <w:cols w:equalWidth="0" w:num="1">
            <w:col w:w="9879"/>
          </w:cols>
          <w:pgMar w:left="580" w:top="90" w:right="1440" w:bottom="1440" w:gutter="0" w:footer="0" w:header="0"/>
        </w:sectPr>
      </w:pPr>
    </w:p>
    <w:p>
      <w:pPr>
        <w:spacing w:after="0" w:line="38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0"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the laws of Hong Kong) (the “SFO”) and any rules made under the SFO; or (b) in other circumstances which do not result in the document being a “prospectus” as defined in the Companies (Winding Up and Miscellaneous Provisions) Ordinance (Cap. 32 of the laws of Hong Kong) (the “C(WUMP)O”) or which do not constitute an offer to the public within the meaning of the C(WUMP)O. No advertisement, invitation or document relating to the shares has been or will be issued or has been or will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which are or are intended to be disposed of only to persons outside Hong Kong or only to “professional investors” as defined in the SFO and any rules made under the SFO.</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This prospectus supplement and the accompanying prospectus has not been registered as a prospectus under the Securities and Futures Act, 2001 Singapore (“SFA”) by the Monetary Authority of Singapore, and the offer of the shares is made primarily pursuant to the exemption under Section 304 of the SFA. Accordingly, the shares may not be offered or sold, or made the subject of an invitation for subscription or purchase, nor may this prospectus or any other document or material in connection with the offer or sale, or invitation for subscription or purchase of the shares be circulated or distributed, whether directly or indirectly, to any person in Singapore other than: (a) to an institutional investor (as defined in Section 4A of the SFA) pursuant to Section 304 of the SFA; or (b) otherwise pursuant to, and in accordance with, the conditions of any other applicable exemption or provision of the SFA.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We have filed a registration statement on Form S-3 with the SEC in connection with, among other offerings of securities, the offering of shares of our common stock pursuant to this prospectus supplement. In addition, we file annual, quarterly and current reports, and proxy statements and other information with the SEC. Our SEC filings are available to the public at the SEC’s website at http://www.sec.gov. Our reference to the SEC’s website is intended to be an inactive textual reference only.</w:t>
      </w:r>
    </w:p>
    <w:p>
      <w:pPr>
        <w:spacing w:after="0" w:line="109"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This prospectus supplement and the accompanying prospectus do not contain all of the information included in the registration statement. If a reference is made in this prospectus supplement or the accompanying prospectus to any of our contracts or other documents filed or incorporated by reference as an exhibit to the registration statement, the reference may not be complete and you should refer to the filed copy of the contract or document.</w:t>
      </w:r>
    </w:p>
    <w:p>
      <w:pPr>
        <w:spacing w:after="0" w:line="18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8"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The SEC allows us to “incorporate by reference” into this prospectus supplement certain information we file with the SEC prior to the termination of the applicable offering of shares of our common stock pursuant to this prospectus supplement, which means that we can disclose important information to you by referring you to those documents. Information incorporated by reference is part of this prospectus supplement. Later information filed with the SEC prior to the termination of this offering will update and supersede this information.</w:t>
      </w:r>
    </w:p>
    <w:p>
      <w:pPr>
        <w:spacing w:after="0" w:line="125"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This prospectus supplement incorporates by reference the documents listed below, all of which have been previously filed with the SEC:</w:t>
      </w:r>
    </w:p>
    <w:p>
      <w:pPr>
        <w:spacing w:after="0" w:line="62" w:lineRule="exact"/>
        <w:rPr>
          <w:sz w:val="20"/>
          <w:szCs w:val="20"/>
          <w:color w:val="auto"/>
        </w:rPr>
      </w:pPr>
    </w:p>
    <w:p>
      <w:pPr>
        <w:ind w:left="1800" w:right="419" w:hanging="180"/>
        <w:spacing w:after="0" w:line="253" w:lineRule="auto"/>
        <w:tabs>
          <w:tab w:leader="none" w:pos="1800" w:val="left"/>
        </w:tabs>
        <w:numPr>
          <w:ilvl w:val="0"/>
          <w:numId w:val="17"/>
        </w:numPr>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Our Annual Report on Form 10-K for the year ended December 31, 2022, filed with the SEC on</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February 22, 2023</w:t>
        </w:r>
        <w:r>
          <w:rPr>
            <w:rFonts w:ascii="Arial" w:cs="Arial" w:eastAsia="Arial" w:hAnsi="Arial"/>
            <w:sz w:val="18"/>
            <w:szCs w:val="18"/>
            <w:color w:val="0000EE"/>
          </w:rPr>
          <w:t xml:space="preserve"> </w:t>
        </w:r>
        <w:r>
          <w:rPr>
            <w:rFonts w:ascii="Arial" w:cs="Arial" w:eastAsia="Arial" w:hAnsi="Arial"/>
            <w:sz w:val="18"/>
            <w:szCs w:val="18"/>
            <w:color w:val="000000"/>
          </w:rPr>
          <w:t xml:space="preserve">(other than the audited financial statements of Old Safehold for the years </w:t>
        </w:r>
      </w:hyperlink>
      <w:r>
        <w:rPr>
          <w:rFonts w:ascii="Arial" w:cs="Arial" w:eastAsia="Arial" w:hAnsi="Arial"/>
          <w:sz w:val="18"/>
          <w:szCs w:val="18"/>
          <w:color w:val="0000EE"/>
        </w:rPr>
        <w:t xml:space="preserve">ended </w:t>
      </w:r>
      <w:r>
        <w:rPr>
          <w:rFonts w:ascii="Arial" w:cs="Arial" w:eastAsia="Arial" w:hAnsi="Arial"/>
          <w:sz w:val="18"/>
          <w:szCs w:val="18"/>
          <w:color w:val="000000"/>
        </w:rPr>
        <w:t xml:space="preserve">December 31, 2022, December 31, 2021 and December 31, 2020, the related notes and the report of the independent registered public accounting firm thereto incorporated by reference in Item 15 (a) </w:t>
      </w:r>
      <w:hyperlink r:id="rId68">
        <w:r>
          <w:rPr>
            <w:rFonts w:ascii="Arial" w:cs="Arial" w:eastAsia="Arial" w:hAnsi="Arial"/>
            <w:sz w:val="18"/>
            <w:szCs w:val="18"/>
            <w:color w:val="000000"/>
          </w:rPr>
          <w:t xml:space="preserve">and (c) and the information included in Exhibit 99.1, which are included in Old Safehold’s </w:t>
        </w:r>
        <w:r>
          <w:rPr>
            <w:rFonts w:ascii="Arial" w:cs="Arial" w:eastAsia="Arial" w:hAnsi="Arial"/>
            <w:sz w:val="18"/>
            <w:szCs w:val="18"/>
            <w:u w:val="single" w:color="auto"/>
            <w:color w:val="0000EE"/>
          </w:rPr>
          <w:t>Annual</w:t>
        </w:r>
      </w:hyperlink>
      <w:r>
        <w:rPr>
          <w:rFonts w:ascii="Arial" w:cs="Arial" w:eastAsia="Arial" w:hAnsi="Arial"/>
          <w:sz w:val="18"/>
          <w:szCs w:val="18"/>
          <w:color w:val="000000"/>
        </w:rPr>
        <w:t xml:space="preserve"> </w:t>
      </w:r>
      <w:hyperlink r:id="rId68">
        <w:r>
          <w:rPr>
            <w:rFonts w:ascii="Arial" w:cs="Arial" w:eastAsia="Arial" w:hAnsi="Arial"/>
            <w:sz w:val="18"/>
            <w:szCs w:val="18"/>
            <w:u w:val="single" w:color="auto"/>
            <w:color w:val="0000EE"/>
          </w:rPr>
          <w:t>Report on Form 10-K for the year ended December 31, 2022, filed with the SEC on February 15,</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2023</w:t>
        </w:r>
        <w:r>
          <w:rPr>
            <w:rFonts w:ascii="Arial" w:cs="Arial" w:eastAsia="Arial" w:hAnsi="Arial"/>
            <w:sz w:val="18"/>
            <w:szCs w:val="18"/>
            <w:color w:val="000000"/>
          </w:rPr>
          <w:t>, as amended by its</w:t>
        </w:r>
        <w:r>
          <w:rPr>
            <w:rFonts w:ascii="Arial" w:cs="Arial" w:eastAsia="Arial" w:hAnsi="Arial"/>
            <w:sz w:val="18"/>
            <w:szCs w:val="18"/>
            <w:color w:val="0000EE"/>
          </w:rPr>
          <w:t xml:space="preserve"> </w:t>
        </w:r>
      </w:hyperlink>
      <w:hyperlink r:id="rId69">
        <w:r>
          <w:rPr>
            <w:rFonts w:ascii="Arial" w:cs="Arial" w:eastAsia="Arial" w:hAnsi="Arial"/>
            <w:sz w:val="18"/>
            <w:szCs w:val="18"/>
            <w:u w:val="single" w:color="auto"/>
            <w:color w:val="0000EE"/>
          </w:rPr>
          <w:t>Annual Report on Form 10-K/A filed with the SEC on March 30, 2023</w:t>
        </w:r>
      </w:hyperlink>
      <w:hyperlink r:id="rId68">
        <w:r>
          <w:rPr>
            <w:rFonts w:ascii="Arial" w:cs="Arial" w:eastAsia="Arial" w:hAnsi="Arial"/>
            <w:sz w:val="18"/>
            <w:szCs w:val="18"/>
            <w:color w:val="000000"/>
          </w:rPr>
          <w:t>,</w:t>
        </w:r>
      </w:hyperlink>
      <w:r>
        <w:rPr>
          <w:rFonts w:ascii="Arial" w:cs="Arial" w:eastAsia="Arial" w:hAnsi="Arial"/>
          <w:sz w:val="18"/>
          <w:szCs w:val="18"/>
          <w:color w:val="0000EE"/>
        </w:rPr>
        <w:t xml:space="preserve"> </w:t>
      </w:r>
      <w:hyperlink r:id="rId70">
        <w:r>
          <w:rPr>
            <w:rFonts w:ascii="Arial" w:cs="Arial" w:eastAsia="Arial" w:hAnsi="Arial"/>
            <w:sz w:val="18"/>
            <w:szCs w:val="18"/>
            <w:color w:val="000000"/>
          </w:rPr>
          <w:t xml:space="preserve">which is separately incorporated by reference herein), as amended by our </w:t>
        </w:r>
        <w:r>
          <w:rPr>
            <w:rFonts w:ascii="Arial" w:cs="Arial" w:eastAsia="Arial" w:hAnsi="Arial"/>
            <w:sz w:val="18"/>
            <w:szCs w:val="18"/>
            <w:u w:val="single" w:color="auto"/>
            <w:color w:val="0000EE"/>
          </w:rPr>
          <w:t>Annual Report on Form 10-</w:t>
        </w:r>
      </w:hyperlink>
      <w:hyperlink r:id="rId70">
        <w:r>
          <w:rPr>
            <w:rFonts w:ascii="Arial" w:cs="Arial" w:eastAsia="Arial" w:hAnsi="Arial"/>
            <w:sz w:val="18"/>
            <w:szCs w:val="18"/>
            <w:u w:val="single" w:color="auto"/>
            <w:color w:val="0000EE"/>
          </w:rPr>
          <w:t>K/A filed with the SEC on March 30, 2023.</w:t>
        </w:r>
      </w:hyperlink>
    </w:p>
    <w:p>
      <w:pPr>
        <w:spacing w:after="0" w:line="88" w:lineRule="exact"/>
        <w:rPr>
          <w:rFonts w:ascii="Arial" w:cs="Arial" w:eastAsia="Arial" w:hAnsi="Arial"/>
          <w:sz w:val="18"/>
          <w:szCs w:val="18"/>
          <w:u w:val="single" w:color="auto"/>
          <w:color w:val="0000EE"/>
        </w:rPr>
      </w:pPr>
    </w:p>
    <w:p>
      <w:pPr>
        <w:ind w:left="1800" w:right="499" w:hanging="180"/>
        <w:spacing w:after="0" w:line="263" w:lineRule="auto"/>
        <w:tabs>
          <w:tab w:leader="none" w:pos="1800" w:val="left"/>
        </w:tabs>
        <w:numPr>
          <w:ilvl w:val="0"/>
          <w:numId w:val="17"/>
        </w:numPr>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Old Safehold’s Annual Report on Form 10-K for the year ended December 31, 2022, filed with the</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SEC on February 15, 2023</w:t>
        </w:r>
        <w:r>
          <w:rPr>
            <w:rFonts w:ascii="Arial" w:cs="Arial" w:eastAsia="Arial" w:hAnsi="Arial"/>
            <w:sz w:val="18"/>
            <w:szCs w:val="18"/>
            <w:color w:val="000000"/>
          </w:rPr>
          <w:t>, as amended by its</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Annual Report on Form 10-K/A filed with the SEC on</w:t>
        </w:r>
      </w:hyperlink>
      <w:r>
        <w:rPr>
          <w:rFonts w:ascii="Arial" w:cs="Arial" w:eastAsia="Arial" w:hAnsi="Arial"/>
          <w:sz w:val="18"/>
          <w:szCs w:val="18"/>
          <w:color w:val="0000EE"/>
        </w:rPr>
        <w:t xml:space="preserve"> </w:t>
      </w:r>
      <w:hyperlink r:id="rId69">
        <w:r>
          <w:rPr>
            <w:rFonts w:ascii="Arial" w:cs="Arial" w:eastAsia="Arial" w:hAnsi="Arial"/>
            <w:sz w:val="18"/>
            <w:szCs w:val="18"/>
            <w:u w:val="single" w:color="auto"/>
            <w:color w:val="0000EE"/>
          </w:rPr>
          <w:t>March 30, 2023.</w:t>
        </w:r>
      </w:hyperlink>
    </w:p>
    <w:p>
      <w:pPr>
        <w:spacing w:after="0" w:line="89" w:lineRule="exact"/>
        <w:rPr>
          <w:rFonts w:ascii="Arial" w:cs="Arial" w:eastAsia="Arial" w:hAnsi="Arial"/>
          <w:sz w:val="18"/>
          <w:szCs w:val="18"/>
          <w:u w:val="single" w:color="auto"/>
          <w:color w:val="0000EE"/>
        </w:rPr>
      </w:pPr>
    </w:p>
    <w:p>
      <w:pPr>
        <w:ind w:left="1800" w:right="619" w:hanging="180"/>
        <w:spacing w:after="0" w:line="263" w:lineRule="auto"/>
        <w:tabs>
          <w:tab w:leader="none" w:pos="1800" w:val="left"/>
        </w:tabs>
        <w:numPr>
          <w:ilvl w:val="0"/>
          <w:numId w:val="17"/>
        </w:numPr>
        <w:rPr>
          <w:rFonts w:ascii="Arial" w:cs="Arial" w:eastAsia="Arial" w:hAnsi="Arial"/>
          <w:sz w:val="18"/>
          <w:szCs w:val="18"/>
          <w:u w:val="single" w:color="auto"/>
          <w:color w:val="0000EE"/>
        </w:rPr>
      </w:pPr>
      <w:r>
        <w:rPr>
          <w:rFonts w:ascii="Arial" w:cs="Arial" w:eastAsia="Arial" w:hAnsi="Arial"/>
          <w:sz w:val="18"/>
          <w:szCs w:val="18"/>
          <w:color w:val="auto"/>
        </w:rPr>
        <w:t xml:space="preserve">Our Quarterly Reports on Form 10-Q for the quarterly period ended March 31, 2023, filed with the SEC on </w:t>
      </w:r>
      <w:hyperlink r:id="rId71">
        <w:r>
          <w:rPr>
            <w:rFonts w:ascii="Arial" w:cs="Arial" w:eastAsia="Arial" w:hAnsi="Arial"/>
            <w:sz w:val="18"/>
            <w:szCs w:val="18"/>
            <w:u w:val="single" w:color="auto"/>
            <w:color w:val="0000EE"/>
          </w:rPr>
          <w:t>April 28, 2023</w:t>
        </w:r>
      </w:hyperlink>
      <w:r>
        <w:rPr>
          <w:rFonts w:ascii="Arial" w:cs="Arial" w:eastAsia="Arial" w:hAnsi="Arial"/>
          <w:sz w:val="18"/>
          <w:szCs w:val="18"/>
          <w:color w:val="auto"/>
        </w:rPr>
        <w:t xml:space="preserve">, and the quarterly period ended June 30, 2023, filed with the SEC on </w:t>
      </w:r>
      <w:hyperlink r:id="rId72">
        <w:r>
          <w:rPr>
            <w:rFonts w:ascii="Arial" w:cs="Arial" w:eastAsia="Arial" w:hAnsi="Arial"/>
            <w:sz w:val="18"/>
            <w:szCs w:val="18"/>
            <w:u w:val="single" w:color="auto"/>
            <w:color w:val="0000EE"/>
          </w:rPr>
          <w:t>August 1, 2023.</w:t>
        </w:r>
      </w:hyperlink>
    </w:p>
    <w:p>
      <w:pPr>
        <w:spacing w:after="0" w:line="75" w:lineRule="exact"/>
        <w:rPr>
          <w:rFonts w:ascii="Arial" w:cs="Arial" w:eastAsia="Arial" w:hAnsi="Arial"/>
          <w:sz w:val="18"/>
          <w:szCs w:val="18"/>
          <w:u w:val="single" w:color="auto"/>
          <w:color w:val="0000EE"/>
        </w:rPr>
      </w:pPr>
    </w:p>
    <w:p>
      <w:pPr>
        <w:ind w:left="1800" w:right="479" w:hanging="180"/>
        <w:spacing w:after="0" w:line="270" w:lineRule="auto"/>
        <w:tabs>
          <w:tab w:leader="none" w:pos="1800" w:val="left"/>
        </w:tabs>
        <w:numPr>
          <w:ilvl w:val="0"/>
          <w:numId w:val="17"/>
        </w:numPr>
        <w:rPr>
          <w:rFonts w:ascii="Arial" w:cs="Arial" w:eastAsia="Arial" w:hAnsi="Arial"/>
          <w:sz w:val="17"/>
          <w:szCs w:val="17"/>
          <w:color w:val="000000"/>
        </w:rPr>
      </w:pPr>
      <w:r>
        <w:rPr>
          <w:rFonts w:ascii="Arial" w:cs="Arial" w:eastAsia="Arial" w:hAnsi="Arial"/>
          <w:sz w:val="17"/>
          <w:szCs w:val="17"/>
          <w:color w:val="auto"/>
        </w:rPr>
        <w:t xml:space="preserve">Our Current Reports on Form 8-K filed with the SEC on </w:t>
      </w:r>
      <w:hyperlink r:id="rId73">
        <w:r>
          <w:rPr>
            <w:rFonts w:ascii="Arial" w:cs="Arial" w:eastAsia="Arial" w:hAnsi="Arial"/>
            <w:sz w:val="17"/>
            <w:szCs w:val="17"/>
            <w:u w:val="single" w:color="auto"/>
            <w:color w:val="0000EE"/>
          </w:rPr>
          <w:t>March 2,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the information furnished pursuant to Item 7.01), </w:t>
      </w:r>
      <w:hyperlink r:id="rId74">
        <w:r>
          <w:rPr>
            <w:rFonts w:ascii="Arial" w:cs="Arial" w:eastAsia="Arial" w:hAnsi="Arial"/>
            <w:sz w:val="17"/>
            <w:szCs w:val="17"/>
            <w:u w:val="single" w:color="auto"/>
            <w:color w:val="0000EE"/>
          </w:rPr>
          <w:t>March 9, 2023</w:t>
        </w:r>
      </w:hyperlink>
      <w:r>
        <w:rPr>
          <w:rFonts w:ascii="Arial" w:cs="Arial" w:eastAsia="Arial" w:hAnsi="Arial"/>
          <w:sz w:val="17"/>
          <w:szCs w:val="17"/>
          <w:color w:val="auto"/>
        </w:rPr>
        <w:t xml:space="preserve">, </w:t>
      </w:r>
      <w:hyperlink r:id="rId75">
        <w:r>
          <w:rPr>
            <w:rFonts w:ascii="Arial" w:cs="Arial" w:eastAsia="Arial" w:hAnsi="Arial"/>
            <w:sz w:val="17"/>
            <w:szCs w:val="17"/>
            <w:u w:val="single" w:color="auto"/>
            <w:color w:val="0000EE"/>
          </w:rPr>
          <w:t>April 4,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the audited financial statements of Old Safehold for the years ended December 31, 2022, December 31, 2021 and December 31, 2020, the related notes and the report of the independent registered public accounting </w:t>
      </w:r>
      <w:hyperlink r:id="rId68">
        <w:r>
          <w:rPr>
            <w:rFonts w:ascii="Arial" w:cs="Arial" w:eastAsia="Arial" w:hAnsi="Arial"/>
            <w:sz w:val="17"/>
            <w:szCs w:val="17"/>
            <w:color w:val="auto"/>
          </w:rPr>
          <w:t xml:space="preserve">firm thereto included in Item 9.01 (a) and Exhibit 99.7, which are included in Old Safehold’s </w:t>
        </w:r>
        <w:r>
          <w:rPr>
            <w:rFonts w:ascii="Arial" w:cs="Arial" w:eastAsia="Arial" w:hAnsi="Arial"/>
            <w:sz w:val="17"/>
            <w:szCs w:val="17"/>
            <w:u w:val="single" w:color="auto"/>
            <w:color w:val="0000EE"/>
          </w:rPr>
          <w:t>Annual</w:t>
        </w:r>
      </w:hyperlink>
      <w:r>
        <w:rPr>
          <w:rFonts w:ascii="Arial" w:cs="Arial" w:eastAsia="Arial" w:hAnsi="Arial"/>
          <w:sz w:val="17"/>
          <w:szCs w:val="17"/>
          <w:color w:val="auto"/>
        </w:rPr>
        <w:t xml:space="preserve"> </w:t>
      </w:r>
      <w:hyperlink r:id="rId68">
        <w:r>
          <w:rPr>
            <w:rFonts w:ascii="Arial" w:cs="Arial" w:eastAsia="Arial" w:hAnsi="Arial"/>
            <w:sz w:val="17"/>
            <w:szCs w:val="17"/>
            <w:u w:val="single" w:color="auto"/>
            <w:color w:val="0000EE"/>
          </w:rPr>
          <w:t>Report on Form 10-K for the year ended December 31, 2022, filed with the SEC on February 15,</w:t>
        </w:r>
      </w:hyperlink>
      <w:r>
        <w:rPr>
          <w:rFonts w:ascii="Arial" w:cs="Arial" w:eastAsia="Arial" w:hAnsi="Arial"/>
          <w:sz w:val="17"/>
          <w:szCs w:val="17"/>
          <w:u w:val="single" w:color="auto"/>
          <w:color w:val="0000EE"/>
        </w:rPr>
        <w:t xml:space="preserve"> </w:t>
      </w:r>
      <w:hyperlink r:id="rId68">
        <w:r>
          <w:rPr>
            <w:rFonts w:ascii="Arial" w:cs="Arial" w:eastAsia="Arial" w:hAnsi="Arial"/>
            <w:sz w:val="17"/>
            <w:szCs w:val="17"/>
            <w:u w:val="single" w:color="auto"/>
            <w:color w:val="0000EE"/>
          </w:rPr>
          <w:t>2023,</w:t>
        </w:r>
        <w:r>
          <w:rPr>
            <w:rFonts w:ascii="Arial" w:cs="Arial" w:eastAsia="Arial" w:hAnsi="Arial"/>
            <w:sz w:val="17"/>
            <w:szCs w:val="17"/>
            <w:color w:val="0000EE"/>
          </w:rPr>
          <w:t xml:space="preserve"> </w:t>
        </w:r>
        <w:r>
          <w:rPr>
            <w:rFonts w:ascii="Arial" w:cs="Arial" w:eastAsia="Arial" w:hAnsi="Arial"/>
            <w:sz w:val="17"/>
            <w:szCs w:val="17"/>
            <w:color w:val="000000"/>
          </w:rPr>
          <w:t>as amended by its</w:t>
        </w:r>
        <w:r>
          <w:rPr>
            <w:rFonts w:ascii="Arial" w:cs="Arial" w:eastAsia="Arial" w:hAnsi="Arial"/>
            <w:sz w:val="17"/>
            <w:szCs w:val="17"/>
            <w:color w:val="0000EE"/>
          </w:rPr>
          <w:t xml:space="preserve"> </w:t>
        </w:r>
      </w:hyperlink>
      <w:hyperlink r:id="rId69">
        <w:r>
          <w:rPr>
            <w:rFonts w:ascii="Arial" w:cs="Arial" w:eastAsia="Arial" w:hAnsi="Arial"/>
            <w:sz w:val="17"/>
            <w:szCs w:val="17"/>
            <w:u w:val="single" w:color="auto"/>
            <w:color w:val="0000EE"/>
          </w:rPr>
          <w:t>Annual Report on Form 10-K/A filed with the SEC on March 30, 2023</w:t>
        </w:r>
      </w:hyperlink>
      <w:hyperlink r:id="rId68">
        <w:r>
          <w:rPr>
            <w:rFonts w:ascii="Arial" w:cs="Arial" w:eastAsia="Arial" w:hAnsi="Arial"/>
            <w:sz w:val="17"/>
            <w:szCs w:val="17"/>
            <w:color w:val="000000"/>
          </w:rPr>
          <w:t>,</w:t>
        </w:r>
      </w:hyperlink>
      <w:r>
        <w:rPr>
          <w:rFonts w:ascii="Arial" w:cs="Arial" w:eastAsia="Arial" w:hAnsi="Arial"/>
          <w:sz w:val="17"/>
          <w:szCs w:val="17"/>
          <w:color w:val="0000EE"/>
        </w:rPr>
        <w:t xml:space="preserve"> </w:t>
      </w:r>
      <w:r>
        <w:rPr>
          <w:rFonts w:ascii="Arial" w:cs="Arial" w:eastAsia="Arial" w:hAnsi="Arial"/>
          <w:sz w:val="17"/>
          <w:szCs w:val="17"/>
          <w:color w:val="000000"/>
        </w:rPr>
        <w:t xml:space="preserve">which is separately incorporated by reference herein), </w:t>
      </w:r>
      <w:hyperlink r:id="rId76">
        <w:r>
          <w:rPr>
            <w:rFonts w:ascii="Arial" w:cs="Arial" w:eastAsia="Arial" w:hAnsi="Arial"/>
            <w:sz w:val="17"/>
            <w:szCs w:val="17"/>
            <w:u w:val="single" w:color="auto"/>
            <w:color w:val="0000EE"/>
          </w:rPr>
          <w:t>April 5, 2023</w:t>
        </w:r>
      </w:hyperlink>
      <w:r>
        <w:rPr>
          <w:rFonts w:ascii="Arial" w:cs="Arial" w:eastAsia="Arial" w:hAnsi="Arial"/>
          <w:sz w:val="17"/>
          <w:szCs w:val="17"/>
          <w:color w:val="000000"/>
        </w:rPr>
        <w:t xml:space="preserve">, </w:t>
      </w:r>
      <w:hyperlink r:id="rId77">
        <w:r>
          <w:rPr>
            <w:rFonts w:ascii="Arial" w:cs="Arial" w:eastAsia="Arial" w:hAnsi="Arial"/>
            <w:sz w:val="17"/>
            <w:szCs w:val="17"/>
            <w:u w:val="single" w:color="auto"/>
            <w:color w:val="0000EE"/>
          </w:rPr>
          <w:t>April 14, 2023</w:t>
        </w:r>
      </w:hyperlink>
      <w:r>
        <w:rPr>
          <w:rFonts w:ascii="Arial" w:cs="Arial" w:eastAsia="Arial" w:hAnsi="Arial"/>
          <w:sz w:val="17"/>
          <w:szCs w:val="17"/>
          <w:color w:val="000000"/>
        </w:rPr>
        <w:t xml:space="preserve">, </w:t>
      </w:r>
      <w:hyperlink r:id="rId78">
        <w:r>
          <w:rPr>
            <w:rFonts w:ascii="Arial" w:cs="Arial" w:eastAsia="Arial" w:hAnsi="Arial"/>
            <w:sz w:val="17"/>
            <w:szCs w:val="17"/>
            <w:u w:val="single" w:color="auto"/>
            <w:color w:val="0000EE"/>
          </w:rPr>
          <w:t>April 26, 2023</w:t>
        </w:r>
      </w:hyperlink>
      <w:r>
        <w:rPr>
          <w:rFonts w:ascii="Arial" w:cs="Arial" w:eastAsia="Arial" w:hAnsi="Arial"/>
          <w:sz w:val="17"/>
          <w:szCs w:val="17"/>
          <w:color w:val="000000"/>
        </w:rPr>
        <w:t xml:space="preserve"> (Film No. 23849987), </w:t>
      </w:r>
      <w:hyperlink r:id="rId79">
        <w:r>
          <w:rPr>
            <w:rFonts w:ascii="Arial" w:cs="Arial" w:eastAsia="Arial" w:hAnsi="Arial"/>
            <w:sz w:val="17"/>
            <w:szCs w:val="17"/>
            <w:u w:val="single" w:color="auto"/>
            <w:color w:val="0000EE"/>
          </w:rPr>
          <w:t>June 22, 2023</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 xml:space="preserve">and </w:t>
      </w:r>
      <w:hyperlink r:id="rId80">
        <w:r>
          <w:rPr>
            <w:rFonts w:ascii="Arial" w:cs="Arial" w:eastAsia="Arial" w:hAnsi="Arial"/>
            <w:sz w:val="17"/>
            <w:szCs w:val="17"/>
            <w:u w:val="single" w:color="auto"/>
            <w:color w:val="0000EE"/>
          </w:rPr>
          <w:t>August 1, 2023</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(Film No. 231132329).</w:t>
      </w:r>
    </w:p>
    <w:p>
      <w:pPr>
        <w:spacing w:after="0" w:line="72" w:lineRule="exact"/>
        <w:rPr>
          <w:rFonts w:ascii="Arial" w:cs="Arial" w:eastAsia="Arial" w:hAnsi="Arial"/>
          <w:sz w:val="17"/>
          <w:szCs w:val="17"/>
          <w:color w:val="000000"/>
        </w:rPr>
      </w:pPr>
    </w:p>
    <w:p>
      <w:pPr>
        <w:ind w:left="1800" w:right="679" w:hanging="180"/>
        <w:spacing w:after="0" w:line="277" w:lineRule="auto"/>
        <w:tabs>
          <w:tab w:leader="none" w:pos="1800" w:val="left"/>
        </w:tabs>
        <w:numPr>
          <w:ilvl w:val="0"/>
          <w:numId w:val="17"/>
        </w:numPr>
        <w:rPr>
          <w:rFonts w:ascii="Arial" w:cs="Arial" w:eastAsia="Arial" w:hAnsi="Arial"/>
          <w:sz w:val="18"/>
          <w:szCs w:val="18"/>
          <w:color w:val="0000EE"/>
        </w:rPr>
      </w:pPr>
      <w:hyperlink r:id="rId81">
        <w:r>
          <w:rPr>
            <w:rFonts w:ascii="Arial" w:cs="Arial" w:eastAsia="Arial" w:hAnsi="Arial"/>
            <w:sz w:val="18"/>
            <w:szCs w:val="18"/>
            <w:color w:val="auto"/>
          </w:rPr>
          <w:t xml:space="preserve">Old Safehold’s Current Reports on Form 8-K filed with the SEC on </w:t>
        </w:r>
        <w:r>
          <w:rPr>
            <w:rFonts w:ascii="Arial" w:cs="Arial" w:eastAsia="Arial" w:hAnsi="Arial"/>
            <w:sz w:val="18"/>
            <w:szCs w:val="18"/>
            <w:u w:val="single" w:color="auto"/>
            <w:color w:val="0000EE"/>
          </w:rPr>
          <w:t>January 9,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14,</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EE"/>
          </w:rPr>
          <w:t>2023</w:t>
        </w:r>
        <w:r>
          <w:rPr>
            <w:rFonts w:ascii="Arial" w:cs="Arial" w:eastAsia="Arial" w:hAnsi="Arial"/>
            <w:sz w:val="18"/>
            <w:szCs w:val="18"/>
            <w:color w:val="0000EE"/>
          </w:rPr>
          <w:t xml:space="preserve"> </w:t>
        </w:r>
        <w:r>
          <w:rPr>
            <w:rFonts w:ascii="Arial" w:cs="Arial" w:eastAsia="Arial" w:hAnsi="Arial"/>
            <w:sz w:val="18"/>
            <w:szCs w:val="18"/>
            <w:color w:val="000000"/>
          </w:rPr>
          <w:t>(Film No. 23622593),</w:t>
        </w:r>
        <w:r>
          <w:rPr>
            <w:rFonts w:ascii="Arial" w:cs="Arial" w:eastAsia="Arial" w:hAnsi="Arial"/>
            <w:sz w:val="18"/>
            <w:szCs w:val="18"/>
            <w:color w:val="0000EE"/>
          </w:rPr>
          <w:t xml:space="preserve"> </w:t>
        </w:r>
      </w:hyperlink>
      <w:hyperlink r:id="rId82">
        <w:r>
          <w:rPr>
            <w:rFonts w:ascii="Arial" w:cs="Arial" w:eastAsia="Arial" w:hAnsi="Arial"/>
            <w:sz w:val="18"/>
            <w:szCs w:val="18"/>
            <w:u w:val="single" w:color="auto"/>
            <w:color w:val="0000EE"/>
          </w:rPr>
          <w:t>March 2, 2023</w:t>
        </w:r>
      </w:hyperlink>
      <w:hyperlink r:id="rId8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3">
        <w:r>
          <w:rPr>
            <w:rFonts w:ascii="Arial" w:cs="Arial" w:eastAsia="Arial" w:hAnsi="Arial"/>
            <w:sz w:val="18"/>
            <w:szCs w:val="18"/>
            <w:u w:val="single" w:color="auto"/>
            <w:color w:val="0000EE"/>
          </w:rPr>
          <w:t xml:space="preserve">March 9, 2023 </w:t>
        </w:r>
      </w:hyperlink>
      <w:hyperlink r:id="rId81">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84">
        <w:r>
          <w:rPr>
            <w:rFonts w:ascii="Arial" w:cs="Arial" w:eastAsia="Arial" w:hAnsi="Arial"/>
            <w:sz w:val="18"/>
            <w:szCs w:val="18"/>
            <w:u w:val="single" w:color="auto"/>
            <w:color w:val="0000EE"/>
          </w:rPr>
          <w:t>March 31, 2023</w:t>
        </w:r>
      </w:hyperlink>
      <w:hyperlink r:id="rId81">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800" w:right="559" w:hanging="180"/>
        <w:spacing w:after="0" w:line="277" w:lineRule="auto"/>
        <w:tabs>
          <w:tab w:leader="none" w:pos="1800" w:val="left"/>
        </w:tabs>
        <w:numPr>
          <w:ilvl w:val="0"/>
          <w:numId w:val="17"/>
        </w:numPr>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The description of our Common Stock contained in Exhibit 4.1 of our Current Report on F orm 8-K</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filed with the SEC on April 4, 2023.</w:t>
        </w:r>
      </w:hyperlink>
    </w:p>
    <w:p>
      <w:pPr>
        <w:sectPr>
          <w:pgSz w:w="11900" w:h="16838" w:orient="portrait"/>
          <w:cols w:equalWidth="0" w:num="1">
            <w:col w:w="9879"/>
          </w:cols>
          <w:pgMar w:left="580" w:top="90" w:right="1440" w:bottom="1440" w:gutter="0" w:footer="0" w:header="0"/>
        </w:sectPr>
      </w:pPr>
    </w:p>
    <w:p>
      <w:pPr>
        <w:spacing w:after="0" w:line="359" w:lineRule="exact"/>
        <w:rPr>
          <w:rFonts w:ascii="Arial" w:cs="Arial" w:eastAsia="Arial" w:hAnsi="Arial"/>
          <w:sz w:val="18"/>
          <w:szCs w:val="18"/>
          <w:color w:val="auto"/>
        </w:rPr>
      </w:pPr>
    </w:p>
    <w:p>
      <w:pPr>
        <w:ind w:left="5180"/>
        <w:spacing w:after="0"/>
        <w:rPr>
          <w:sz w:val="20"/>
          <w:szCs w:val="20"/>
          <w:color w:val="auto"/>
        </w:rPr>
      </w:pPr>
      <w:r>
        <w:rPr>
          <w:rFonts w:ascii="Arial" w:cs="Arial" w:eastAsia="Arial" w:hAnsi="Arial"/>
          <w:sz w:val="17"/>
          <w:szCs w:val="17"/>
          <w:color w:val="auto"/>
        </w:rPr>
        <w:t>S-20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we have sold all of the securities to which this prospectus supplement relates or this offering is otherwise terminated. Information that is “furnished” to the SEC shall not be deemed incorporated by reference into this prospectus supplement, the accompanying prospectus or the registration statement of which this prospectus supplement is part.</w:t>
      </w:r>
    </w:p>
    <w:p>
      <w:pPr>
        <w:spacing w:after="0" w:line="125"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You may obtain copies of any of these filings by contacting us as described below, or through contacting the SEC or accessing its website as described above. Documents incorporated by reference are available without charge, excluding all exhibits unless an exhibit has been specifically incorporated by reference into those documents, by requesting them in writing, by telephone or via the internet at:</w:t>
      </w:r>
    </w:p>
    <w:p>
      <w:pPr>
        <w:spacing w:after="0" w:line="104"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Safehold Inc.</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1114 Avenue of the Americas, 39th Floor</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Attention: Investor Relations Department</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(212) 930-9400</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Website: http://www.safeholdinc.com</w:t>
      </w:r>
    </w:p>
    <w:p>
      <w:pPr>
        <w:spacing w:after="0" w:line="130" w:lineRule="exact"/>
        <w:rPr>
          <w:sz w:val="20"/>
          <w:szCs w:val="20"/>
          <w:color w:val="auto"/>
        </w:rPr>
      </w:pPr>
    </w:p>
    <w:p>
      <w:pPr>
        <w:ind w:left="1260" w:right="1379" w:firstLine="360"/>
        <w:spacing w:after="0" w:line="277" w:lineRule="auto"/>
        <w:rPr>
          <w:sz w:val="20"/>
          <w:szCs w:val="20"/>
          <w:color w:val="auto"/>
        </w:rPr>
      </w:pPr>
      <w:r>
        <w:rPr>
          <w:rFonts w:ascii="Arial" w:cs="Arial" w:eastAsia="Arial" w:hAnsi="Arial"/>
          <w:sz w:val="18"/>
          <w:szCs w:val="18"/>
          <w:color w:val="auto"/>
        </w:rPr>
        <w:t>The information contained on our website is not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Certain legal and tax matters will be passed upon for us by Latham &amp; Watkins LLP, Los Angeles, California. Venable LLP, Baltimore, Maryland, will pass upon the validity of the shares of our common stock sold in this offering and certain other matters under Maryland law. Sidley Austin LLP, New York, New York, will act as counsel to the underwriters.</w:t>
      </w:r>
    </w:p>
    <w:p>
      <w:pPr>
        <w:spacing w:after="0" w:line="18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financial statements of iStar Inc. incorporated by reference in this prospectus supplement, and the effectiveness of iStar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07"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7"/>
          <w:szCs w:val="17"/>
          <w:color w:val="auto"/>
        </w:rPr>
        <w:t>The financial statements of Safehold Inc. incorporated by reference in this prospectus supplement, and the effectiveness of Safehold Inc.’s internal control over financial reporting, have been audited by Deloitte</w:t>
      </w:r>
    </w:p>
    <w:p>
      <w:pPr>
        <w:jc w:val="both"/>
        <w:ind w:left="1260" w:right="619"/>
        <w:spacing w:after="0" w:line="255" w:lineRule="auto"/>
        <w:tabs>
          <w:tab w:leader="none" w:pos="14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68580</wp:posOffset>
            </wp:positionV>
            <wp:extent cx="1619885" cy="1028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161988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600"/>
        <w:spacing w:after="0"/>
        <w:rPr>
          <w:sz w:val="20"/>
          <w:szCs w:val="20"/>
          <w:color w:val="auto"/>
        </w:rPr>
      </w:pPr>
      <w:r>
        <w:rPr>
          <w:rFonts w:ascii="Arial" w:cs="Arial" w:eastAsia="Arial" w:hAnsi="Arial"/>
          <w:sz w:val="29"/>
          <w:szCs w:val="29"/>
          <w:b w:val="1"/>
          <w:bCs w:val="1"/>
          <w:color w:val="auto"/>
        </w:rPr>
        <w:t>Safehold Inc.</w:t>
      </w:r>
    </w:p>
    <w:p>
      <w:pPr>
        <w:spacing w:after="0" w:line="202" w:lineRule="exact"/>
        <w:rPr>
          <w:sz w:val="20"/>
          <w:szCs w:val="20"/>
          <w:color w:val="auto"/>
        </w:rPr>
      </w:pPr>
    </w:p>
    <w:p>
      <w:pPr>
        <w:jc w:val="center"/>
        <w:ind w:right="-4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p>
    <w:p>
      <w:pPr>
        <w:jc w:val="center"/>
        <w:ind w:right="-499"/>
        <w:spacing w:after="0"/>
        <w:rPr>
          <w:sz w:val="20"/>
          <w:szCs w:val="20"/>
          <w:color w:val="auto"/>
        </w:rPr>
      </w:pPr>
      <w:r>
        <w:rPr>
          <w:rFonts w:ascii="Arial" w:cs="Arial" w:eastAsia="Arial" w:hAnsi="Arial"/>
          <w:sz w:val="25"/>
          <w:szCs w:val="25"/>
          <w:b w:val="1"/>
          <w:bCs w:val="1"/>
          <w:color w:val="auto"/>
        </w:rPr>
        <w:t>Preferred Stock</w:t>
      </w:r>
    </w:p>
    <w:p>
      <w:pPr>
        <w:jc w:val="center"/>
        <w:ind w:right="-499"/>
        <w:spacing w:after="0" w:line="225" w:lineRule="auto"/>
        <w:rPr>
          <w:sz w:val="20"/>
          <w:szCs w:val="20"/>
          <w:color w:val="auto"/>
        </w:rPr>
      </w:pPr>
      <w:r>
        <w:rPr>
          <w:rFonts w:ascii="Arial" w:cs="Arial" w:eastAsia="Arial" w:hAnsi="Arial"/>
          <w:sz w:val="25"/>
          <w:szCs w:val="25"/>
          <w:b w:val="1"/>
          <w:bCs w:val="1"/>
          <w:color w:val="auto"/>
        </w:rPr>
        <w:t>Debt Securities</w:t>
      </w:r>
    </w:p>
    <w:p>
      <w:pPr>
        <w:jc w:val="center"/>
        <w:ind w:right="-499"/>
        <w:spacing w:after="0" w:line="237" w:lineRule="auto"/>
        <w:rPr>
          <w:sz w:val="20"/>
          <w:szCs w:val="20"/>
          <w:color w:val="auto"/>
        </w:rPr>
      </w:pPr>
      <w:r>
        <w:rPr>
          <w:rFonts w:ascii="Arial" w:cs="Arial" w:eastAsia="Arial" w:hAnsi="Arial"/>
          <w:sz w:val="25"/>
          <w:szCs w:val="25"/>
          <w:b w:val="1"/>
          <w:bCs w:val="1"/>
          <w:color w:val="auto"/>
        </w:rPr>
        <w:t>Depositary Shares</w:t>
      </w:r>
    </w:p>
    <w:p>
      <w:pPr>
        <w:jc w:val="center"/>
        <w:ind w:right="-499"/>
        <w:spacing w:after="0" w:line="236" w:lineRule="auto"/>
        <w:rPr>
          <w:sz w:val="20"/>
          <w:szCs w:val="20"/>
          <w:color w:val="auto"/>
        </w:rPr>
      </w:pPr>
      <w:r>
        <w:rPr>
          <w:rFonts w:ascii="Arial" w:cs="Arial" w:eastAsia="Arial" w:hAnsi="Arial"/>
          <w:sz w:val="25"/>
          <w:szCs w:val="25"/>
          <w:b w:val="1"/>
          <w:bCs w:val="1"/>
          <w:color w:val="auto"/>
        </w:rPr>
        <w:t>Warrants</w:t>
      </w:r>
    </w:p>
    <w:p>
      <w:pPr>
        <w:jc w:val="center"/>
        <w:ind w:right="-499"/>
        <w:spacing w:after="0" w:line="226" w:lineRule="auto"/>
        <w:rPr>
          <w:sz w:val="20"/>
          <w:szCs w:val="20"/>
          <w:color w:val="auto"/>
        </w:rPr>
      </w:pPr>
      <w:r>
        <w:rPr>
          <w:rFonts w:ascii="Arial" w:cs="Arial" w:eastAsia="Arial" w:hAnsi="Arial"/>
          <w:sz w:val="25"/>
          <w:szCs w:val="25"/>
          <w:b w:val="1"/>
          <w:bCs w:val="1"/>
          <w:color w:val="auto"/>
        </w:rPr>
        <w:t>Rights</w:t>
      </w:r>
    </w:p>
    <w:p>
      <w:pPr>
        <w:jc w:val="center"/>
        <w:ind w:right="-499"/>
        <w:spacing w:after="0" w:line="236" w:lineRule="auto"/>
        <w:rPr>
          <w:sz w:val="20"/>
          <w:szCs w:val="20"/>
          <w:color w:val="auto"/>
        </w:rPr>
      </w:pPr>
      <w:r>
        <w:rPr>
          <w:rFonts w:ascii="Arial" w:cs="Arial" w:eastAsia="Arial" w:hAnsi="Arial"/>
          <w:sz w:val="25"/>
          <w:szCs w:val="25"/>
          <w:b w:val="1"/>
          <w:bCs w:val="1"/>
          <w:color w:val="auto"/>
        </w:rPr>
        <w:t>Units</w:t>
      </w:r>
    </w:p>
    <w:p>
      <w:pPr>
        <w:spacing w:after="0" w:line="1" w:lineRule="exact"/>
        <w:rPr>
          <w:sz w:val="20"/>
          <w:szCs w:val="20"/>
          <w:color w:val="auto"/>
        </w:rPr>
      </w:pPr>
    </w:p>
    <w:p>
      <w:pPr>
        <w:jc w:val="center"/>
        <w:ind w:right="-499"/>
        <w:spacing w:after="0"/>
        <w:rPr>
          <w:sz w:val="20"/>
          <w:szCs w:val="20"/>
          <w:color w:val="auto"/>
        </w:rPr>
      </w:pPr>
      <w:r>
        <w:rPr>
          <w:rFonts w:ascii="Arial" w:cs="Arial" w:eastAsia="Arial" w:hAnsi="Arial"/>
          <w:sz w:val="25"/>
          <w:szCs w:val="25"/>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165735</wp:posOffset>
            </wp:positionV>
            <wp:extent cx="1234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29"/>
          <w:szCs w:val="29"/>
          <w:b w:val="1"/>
          <w:bCs w:val="1"/>
          <w:color w:val="auto"/>
        </w:rPr>
        <w:t>Safehold GL Holdings LLC</w:t>
      </w:r>
    </w:p>
    <w:p>
      <w:pPr>
        <w:spacing w:after="0" w:line="216" w:lineRule="exact"/>
        <w:rPr>
          <w:sz w:val="20"/>
          <w:szCs w:val="20"/>
          <w:color w:val="auto"/>
        </w:rPr>
      </w:pPr>
    </w:p>
    <w:p>
      <w:pPr>
        <w:jc w:val="center"/>
        <w:ind w:right="-499"/>
        <w:spacing w:after="0"/>
        <w:rPr>
          <w:sz w:val="20"/>
          <w:szCs w:val="20"/>
          <w:color w:val="auto"/>
        </w:rPr>
      </w:pPr>
      <w:r>
        <w:rPr>
          <w:rFonts w:ascii="Arial" w:cs="Arial" w:eastAsia="Arial" w:hAnsi="Arial"/>
          <w:sz w:val="25"/>
          <w:szCs w:val="25"/>
          <w:b w:val="1"/>
          <w:bCs w:val="1"/>
          <w:color w:val="auto"/>
        </w:rPr>
        <w:t>Debt Securities</w:t>
      </w:r>
    </w:p>
    <w:p>
      <w:pPr>
        <w:spacing w:after="0" w:line="59" w:lineRule="exact"/>
        <w:rPr>
          <w:sz w:val="20"/>
          <w:szCs w:val="20"/>
          <w:color w:val="auto"/>
        </w:rPr>
      </w:pPr>
    </w:p>
    <w:p>
      <w:pPr>
        <w:ind w:left="500" w:right="80" w:firstLine="360"/>
        <w:spacing w:after="0" w:line="238" w:lineRule="auto"/>
        <w:rPr>
          <w:sz w:val="20"/>
          <w:szCs w:val="20"/>
          <w:color w:val="auto"/>
        </w:rPr>
      </w:pPr>
      <w:r>
        <w:rPr>
          <w:rFonts w:ascii="Arial" w:cs="Arial" w:eastAsia="Arial" w:hAnsi="Arial"/>
          <w:sz w:val="18"/>
          <w:szCs w:val="18"/>
          <w:color w:val="auto"/>
        </w:rPr>
        <w:t>Safehold Inc. may offer common stock, preferred stock, depositary shares, warrants or debt securities from time to time in one or more offerings. Safehold GL Holdings LLC may offer from time to time debt securities in one or more series, which will be fully and unconditionally guaranteed by Safehold Inc. This prospectus provides you with a general description of the securities. In addition, our selling securityholders may from time to time offer shares of our common stock on terms to be determined at the time of the offering.</w:t>
      </w:r>
    </w:p>
    <w:p>
      <w:pPr>
        <w:spacing w:after="0" w:line="40" w:lineRule="exact"/>
        <w:rPr>
          <w:sz w:val="20"/>
          <w:szCs w:val="20"/>
          <w:color w:val="auto"/>
        </w:rPr>
      </w:pPr>
    </w:p>
    <w:p>
      <w:pPr>
        <w:ind w:left="500" w:right="100" w:firstLine="360"/>
        <w:spacing w:after="0" w:line="234"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to be offered, which may include limitations on actual or constructive ownership and restrictions on transfer of the securities, in each case as may be appropriate to preserve the status of Safehold Inc. as a real estate investment trust, or REIT.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45" w:lineRule="exact"/>
        <w:rPr>
          <w:sz w:val="20"/>
          <w:szCs w:val="20"/>
          <w:color w:val="auto"/>
        </w:rPr>
      </w:pPr>
    </w:p>
    <w:p>
      <w:pPr>
        <w:ind w:left="500" w:right="100" w:firstLine="360"/>
        <w:spacing w:after="0" w:line="234"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We will provide specific information about any selling securityholders in one or more supplements to this prospectus.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46" w:lineRule="exact"/>
        <w:rPr>
          <w:sz w:val="20"/>
          <w:szCs w:val="20"/>
          <w:color w:val="auto"/>
        </w:rPr>
      </w:pPr>
    </w:p>
    <w:p>
      <w:pPr>
        <w:ind w:left="500" w:right="160" w:firstLine="360"/>
        <w:spacing w:after="0" w:line="246" w:lineRule="auto"/>
        <w:rPr>
          <w:sz w:val="20"/>
          <w:szCs w:val="20"/>
          <w:color w:val="auto"/>
        </w:rPr>
      </w:pPr>
      <w:r>
        <w:rPr>
          <w:rFonts w:ascii="Arial" w:cs="Arial" w:eastAsia="Arial" w:hAnsi="Arial"/>
          <w:sz w:val="18"/>
          <w:szCs w:val="18"/>
          <w:color w:val="auto"/>
        </w:rPr>
        <w:t>Our common stock is listed on the New York Stock Exchange, or the NYSE, under the symbol “SAFE.” On April 3, 2023, the last reported sale price of our common stock on the NYSE was $28.60 per share.</w:t>
      </w:r>
    </w:p>
    <w:p>
      <w:pPr>
        <w:spacing w:after="0" w:line="31" w:lineRule="exact"/>
        <w:rPr>
          <w:sz w:val="20"/>
          <w:szCs w:val="20"/>
          <w:color w:val="auto"/>
        </w:rPr>
      </w:pPr>
    </w:p>
    <w:p>
      <w:pPr>
        <w:ind w:left="500" w:firstLine="360"/>
        <w:spacing w:after="0" w:line="259" w:lineRule="auto"/>
        <w:rPr>
          <w:sz w:val="20"/>
          <w:szCs w:val="20"/>
          <w:color w:val="auto"/>
        </w:rPr>
      </w:pPr>
      <w:r>
        <w:rPr>
          <w:rFonts w:ascii="Arial" w:cs="Arial" w:eastAsia="Arial" w:hAnsi="Arial"/>
          <w:sz w:val="17"/>
          <w:szCs w:val="17"/>
          <w:b w:val="1"/>
          <w:bCs w:val="1"/>
          <w:color w:val="auto"/>
        </w:rPr>
        <w:t>INVESTING IN OUR SECURITIES INVOLVES RISKS. SEE THE “</w:t>
      </w:r>
      <w:r>
        <w:rPr>
          <w:rFonts w:ascii="Arial" w:cs="Arial" w:eastAsia="Arial" w:hAnsi="Arial"/>
          <w:sz w:val="17"/>
          <w:szCs w:val="17"/>
          <w:b w:val="1"/>
          <w:bCs w:val="1"/>
          <w:u w:val="single" w:color="auto"/>
          <w:color w:val="auto"/>
        </w:rPr>
        <w:t>RISK FACTORS</w:t>
      </w:r>
      <w:r>
        <w:rPr>
          <w:rFonts w:ascii="Arial" w:cs="Arial" w:eastAsia="Arial" w:hAnsi="Arial"/>
          <w:sz w:val="17"/>
          <w:szCs w:val="17"/>
          <w:b w:val="1"/>
          <w:bCs w:val="1"/>
          <w:color w:val="auto"/>
        </w:rPr>
        <w:t xml:space="preserve">” ON PAGE </w:t>
      </w:r>
      <w:r>
        <w:rPr>
          <w:rFonts w:ascii="Arial" w:cs="Arial" w:eastAsia="Arial" w:hAnsi="Arial"/>
          <w:sz w:val="17"/>
          <w:szCs w:val="17"/>
          <w:b w:val="1"/>
          <w:bCs w:val="1"/>
          <w:u w:val="single" w:color="auto"/>
          <w:color w:val="0000EE"/>
        </w:rPr>
        <w:t>5</w:t>
      </w:r>
      <w:r>
        <w:rPr>
          <w:rFonts w:ascii="Arial" w:cs="Arial" w:eastAsia="Arial" w:hAnsi="Arial"/>
          <w:sz w:val="17"/>
          <w:szCs w:val="17"/>
          <w:b w:val="1"/>
          <w:bCs w:val="1"/>
          <w:color w:val="auto"/>
        </w:rPr>
        <w:t xml:space="preserve"> OF THIS PROSPECTUS, ANY SIMILAR SECTION CONTAINED IN THE APPLICABLE PROSPECTUS SUPPLEMENT AND UNDER SIMILAR HEADINGS IN OTHER DOCUMENTS THAT ARE INCORPORATED BY REFERENCE INTO THIS PROSPECTUS CONCERNING FACTORS YOU SHOULD CONSIDER BEFORE MAKING A DECISION TO INVEST IN OUR SECURITIES.</w:t>
      </w:r>
    </w:p>
    <w:p>
      <w:pPr>
        <w:spacing w:after="0" w:line="20" w:lineRule="exact"/>
        <w:rPr>
          <w:sz w:val="20"/>
          <w:szCs w:val="20"/>
          <w:color w:val="auto"/>
        </w:rPr>
      </w:pPr>
    </w:p>
    <w:p>
      <w:pPr>
        <w:ind w:left="500" w:right="360" w:firstLine="360"/>
        <w:spacing w:after="0" w:line="367"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0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The date of this prospectus is April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0" w:right="109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ABOUT</w:t>
      </w:r>
      <w:r>
        <w:rPr>
          <w:rFonts w:ascii="Arial" w:cs="Arial" w:eastAsia="Arial" w:hAnsi="Arial"/>
          <w:sz w:val="18"/>
          <w:szCs w:val="18"/>
          <w:color w:val="000000"/>
        </w:rPr>
        <w:t>​</w:t>
      </w:r>
      <w:r>
        <w:rPr>
          <w:rFonts w:ascii="Arial" w:cs="Arial" w:eastAsia="Arial" w:hAnsi="Arial"/>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-113030</wp:posOffset>
            </wp:positionV>
            <wp:extent cx="521208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WHERE</w:t>
      </w:r>
      <w:r>
        <w:rPr>
          <w:rFonts w:ascii="Arial" w:cs="Arial" w:eastAsia="Arial" w:hAnsi="Arial"/>
          <w:sz w:val="18"/>
          <w:szCs w:val="18"/>
          <w:color w:val="000000"/>
        </w:rPr>
        <w:t>​</w:t>
      </w:r>
      <w:r>
        <w:rPr>
          <w:rFonts w:ascii="Arial" w:cs="Arial" w:eastAsia="Arial" w:hAnsi="Arial"/>
          <w:sz w:val="18"/>
          <w:szCs w:val="18"/>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44075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44075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THE</w:t>
      </w:r>
      <w:r>
        <w:rPr>
          <w:rFonts w:ascii="Arial" w:cs="Arial" w:eastAsia="Arial" w:hAnsi="Arial"/>
          <w:sz w:val="18"/>
          <w:szCs w:val="18"/>
          <w:color w:val="000000"/>
        </w:rPr>
        <w:t>​</w:t>
      </w:r>
      <w:r>
        <w:rPr>
          <w:rFonts w:ascii="Arial" w:cs="Arial" w:eastAsia="Arial" w:hAnsi="Arial"/>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RISK</w:t>
      </w:r>
      <w:r>
        <w:rPr>
          <w:rFonts w:ascii="Arial" w:cs="Arial" w:eastAsia="Arial" w:hAnsi="Arial"/>
          <w:sz w:val="18"/>
          <w:szCs w:val="18"/>
          <w:color w:val="000000"/>
        </w:rPr>
        <w:t>​</w:t>
      </w:r>
      <w:r>
        <w:rPr>
          <w:rFonts w:ascii="Arial" w:cs="Arial" w:eastAsia="Arial" w:hAnsi="Arial"/>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8204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8204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GUARANTOR</w:t>
      </w:r>
      <w:r>
        <w:rPr>
          <w:rFonts w:ascii="Arial" w:cs="Arial" w:eastAsia="Arial" w:hAnsi="Arial"/>
          <w:sz w:val="18"/>
          <w:szCs w:val="18"/>
          <w:color w:val="000000"/>
        </w:rPr>
        <w:t>​</w:t>
      </w:r>
      <w:r>
        <w:rPr>
          <w:rFonts w:ascii="Arial" w:cs="Arial" w:eastAsia="Arial" w:hAnsi="Arial"/>
          <w:sz w:val="18"/>
          <w:szCs w:val="18"/>
          <w:color w:val="0000EE"/>
        </w:rPr>
        <w:t xml:space="preserve"> DISCLOSURES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USE</w:t>
      </w:r>
      <w:r>
        <w:rPr>
          <w:rFonts w:ascii="Arial" w:cs="Arial" w:eastAsia="Arial" w:hAnsi="Arial"/>
          <w:sz w:val="18"/>
          <w:szCs w:val="18"/>
          <w:color w:val="000000"/>
        </w:rPr>
        <w:t>​</w:t>
      </w:r>
      <w:r>
        <w:rPr>
          <w:rFonts w:ascii="Arial" w:cs="Arial" w:eastAsia="Arial" w:hAnsi="Arial"/>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10375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10375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19869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19869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OTHER SECURITIES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GLOBAL</w:t>
      </w:r>
      <w:r>
        <w:rPr>
          <w:rFonts w:ascii="Arial" w:cs="Arial" w:eastAsia="Arial" w:hAnsi="Arial"/>
          <w:sz w:val="18"/>
          <w:szCs w:val="18"/>
          <w:color w:val="000000"/>
        </w:rPr>
        <w:t>​</w:t>
      </w:r>
      <w:r>
        <w:rPr>
          <w:rFonts w:ascii="Arial" w:cs="Arial" w:eastAsia="Arial" w:hAnsi="Arial"/>
          <w:sz w:val="18"/>
          <w:szCs w:val="18"/>
          <w:color w:val="0000EE"/>
        </w:rPr>
        <w:t xml:space="preser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11741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SELLING</w:t>
      </w:r>
      <w:r>
        <w:rPr>
          <w:rFonts w:ascii="Arial" w:cs="Arial" w:eastAsia="Arial" w:hAnsi="Arial"/>
          <w:sz w:val="18"/>
          <w:szCs w:val="18"/>
          <w:color w:val="000000"/>
        </w:rPr>
        <w:t>​</w:t>
      </w:r>
      <w:r>
        <w:rPr>
          <w:rFonts w:ascii="Arial" w:cs="Arial" w:eastAsia="Arial" w:hAnsi="Arial"/>
          <w:sz w:val="18"/>
          <w:szCs w:val="18"/>
          <w:color w:val="0000EE"/>
        </w:rPr>
        <w:t xml:space="preserve"> SECURITYHOLDERS</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EE"/>
        </w:rPr>
        <w:t>MATERIAL</w:t>
      </w:r>
      <w:r>
        <w:rPr>
          <w:rFonts w:ascii="Arial" w:cs="Arial" w:eastAsia="Arial" w:hAnsi="Arial"/>
          <w:sz w:val="18"/>
          <w:szCs w:val="18"/>
          <w:color w:val="000000"/>
        </w:rPr>
        <w:t>​</w:t>
      </w:r>
      <w:r>
        <w:rPr>
          <w:rFonts w:ascii="Arial" w:cs="Arial" w:eastAsia="Arial" w:hAnsi="Arial"/>
          <w:sz w:val="18"/>
          <w:szCs w:val="18"/>
          <w:color w:val="0000EE"/>
        </w:rPr>
        <w:t xml:space="preserve"> PROVISIONS OF MARYLAND LAW AND OF OUR CHARTER AND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45986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45986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FEDERAL</w:t>
      </w:r>
      <w:r>
        <w:rPr>
          <w:rFonts w:ascii="Arial" w:cs="Arial" w:eastAsia="Arial" w:hAnsi="Arial"/>
          <w:sz w:val="18"/>
          <w:szCs w:val="18"/>
          <w:color w:val="000000"/>
        </w:rPr>
        <w:t>​</w:t>
      </w:r>
      <w:r>
        <w:rPr>
          <w:rFonts w:ascii="Arial" w:cs="Arial" w:eastAsia="Arial" w:hAnsi="Arial"/>
          <w:sz w:val="18"/>
          <w:szCs w:val="18"/>
          <w:color w:val="0000EE"/>
        </w:rPr>
        <w:t xml:space="preserve"> INCOME TAX CONSIDERATIONS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PLAN</w:t>
      </w:r>
      <w:r>
        <w:rPr>
          <w:rFonts w:ascii="Arial" w:cs="Arial" w:eastAsia="Arial" w:hAnsi="Arial"/>
          <w:sz w:val="18"/>
          <w:szCs w:val="18"/>
          <w:color w:val="000000"/>
        </w:rPr>
        <w:t>​</w:t>
      </w:r>
      <w:r>
        <w:rPr>
          <w:rFonts w:ascii="Arial" w:cs="Arial" w:eastAsia="Arial" w:hAnsi="Arial"/>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134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13468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LEGAL</w:t>
      </w:r>
      <w:r>
        <w:rPr>
          <w:rFonts w:ascii="Arial" w:cs="Arial" w:eastAsia="Arial" w:hAnsi="Arial"/>
          <w:sz w:val="18"/>
          <w:szCs w:val="18"/>
          <w:color w:val="000000"/>
        </w:rPr>
        <w:t>​</w:t>
      </w:r>
      <w:r>
        <w:rPr>
          <w:rFonts w:ascii="Arial" w:cs="Arial" w:eastAsia="Arial" w:hAnsi="Arial"/>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p>
    <w:p>
      <w:pPr>
        <w:spacing w:after="0" w:line="49"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2</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4</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5</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6</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7</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8</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17</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26</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27</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31</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32</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38</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66</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67</w:t>
      </w:r>
    </w:p>
    <w:p>
      <w:pPr>
        <w:spacing w:after="0" w:line="63" w:lineRule="exact"/>
        <w:rPr>
          <w:rFonts w:ascii="Arial" w:cs="Arial" w:eastAsia="Arial" w:hAnsi="Arial"/>
          <w:sz w:val="18"/>
          <w:szCs w:val="18"/>
          <w:color w:val="auto"/>
        </w:rPr>
      </w:pPr>
    </w:p>
    <w:p>
      <w:pPr>
        <w:ind w:left="101" w:hanging="101"/>
        <w:spacing w:after="0"/>
        <w:tabs>
          <w:tab w:leader="none" w:pos="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0000EE"/>
        </w:rPr>
        <w:t>67</w:t>
      </w:r>
    </w:p>
    <w:p>
      <w:pPr>
        <w:sectPr>
          <w:pgSz w:w="11900" w:h="16838" w:orient="portrait"/>
          <w:cols w:equalWidth="0" w:num="2">
            <w:col w:w="8500" w:space="619"/>
            <w:col w:w="760"/>
          </w:cols>
          <w:pgMar w:left="580" w:top="90"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or the SEC, as a “well-known seasoned issuer” as defined in Rule 405 under the Securities Act of 1933, as amended (the “Securities Act”), using a “shelf” registration process. By using a shelf registration statement, we may sell securities from time to time and in one or more offerings and the selling securityholders to be named in a supplement to this prospectus may, from time to time, sell shares of common stock in one or more offerings as described in this prospectus. Each time that we or the selling securityholders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or incorporated by reference into this prospectus with respect to that offering. If there is any inconsistency between the information in or incorporated by reference into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2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Neither we nor any selling securityholder has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Neither we nor any selling securityholder will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Unless otherwise indicated or unless the context requires otherwise, references in this prospectus to:</w:t>
      </w:r>
    </w:p>
    <w:p>
      <w:pPr>
        <w:spacing w:after="0" w:line="35" w:lineRule="exact"/>
        <w:rPr>
          <w:sz w:val="20"/>
          <w:szCs w:val="20"/>
          <w:color w:val="auto"/>
        </w:rPr>
      </w:pPr>
    </w:p>
    <w:p>
      <w:pPr>
        <w:ind w:left="1260" w:right="579"/>
        <w:spacing w:after="0" w:line="269" w:lineRule="auto"/>
        <w:tabs>
          <w:tab w:leader="none" w:pos="1489"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“Safehold Inc.,” “we,” “us,” “our” or “our company” mean Safehold Inc., a Maryland corporation formerly known as iStar Inc., together with our consolidated subsidiaries, including Safehold GL Holdings LLC, a Delaware limited liability company, of which we are the managing member and to which we refer in this prospectus as our “operating company,” (ii)​ “iStar” mean iStar Inc., a Maryland corporation, prior to its merger with Old Safehold (as defined below) and (iii) “Old Safehold” mean Safehold Inc., a Maryland corporation, prior to its merger with and into iStar Inc. When we refer to “you,” we mean the potential holders of the applicable class or series of securities.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Available Information</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07"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Our website address is www.safeholdinc.com. The information on our website, however, is not, and should not be deemed to be, a part of this prospectus.</w:t>
      </w:r>
    </w:p>
    <w:p>
      <w:pPr>
        <w:spacing w:after="0" w:line="103" w:lineRule="exact"/>
        <w:rPr>
          <w:sz w:val="20"/>
          <w:szCs w:val="20"/>
          <w:color w:val="auto"/>
        </w:rPr>
      </w:pPr>
    </w:p>
    <w:p>
      <w:pPr>
        <w:ind w:left="1260" w:right="439" w:firstLine="360"/>
        <w:spacing w:after="0" w:line="260" w:lineRule="auto"/>
        <w:rPr>
          <w:sz w:val="20"/>
          <w:szCs w:val="20"/>
          <w:color w:val="auto"/>
        </w:rPr>
      </w:pPr>
      <w:r>
        <w:rPr>
          <w:rFonts w:ascii="Arial" w:cs="Arial" w:eastAsia="Arial" w:hAnsi="Arial"/>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as provided above,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Incorporation by Reference</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19"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63" w:lineRule="exact"/>
        <w:rPr>
          <w:sz w:val="20"/>
          <w:szCs w:val="20"/>
          <w:color w:val="auto"/>
        </w:rPr>
      </w:pPr>
    </w:p>
    <w:p>
      <w:pPr>
        <w:ind w:left="1800" w:right="419" w:hanging="180"/>
        <w:spacing w:after="0" w:line="253" w:lineRule="auto"/>
        <w:tabs>
          <w:tab w:leader="none" w:pos="1800" w:val="left"/>
        </w:tabs>
        <w:numPr>
          <w:ilvl w:val="0"/>
          <w:numId w:val="21"/>
        </w:numPr>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Our Annual Report on Form 10-K for the year ended December 31, 2022, filed with the SEC on</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February 22, 2023</w:t>
        </w:r>
        <w:r>
          <w:rPr>
            <w:rFonts w:ascii="Arial" w:cs="Arial" w:eastAsia="Arial" w:hAnsi="Arial"/>
            <w:sz w:val="18"/>
            <w:szCs w:val="18"/>
            <w:color w:val="0000EE"/>
          </w:rPr>
          <w:t xml:space="preserve"> </w:t>
        </w:r>
        <w:r>
          <w:rPr>
            <w:rFonts w:ascii="Arial" w:cs="Arial" w:eastAsia="Arial" w:hAnsi="Arial"/>
            <w:sz w:val="18"/>
            <w:szCs w:val="18"/>
            <w:color w:val="000000"/>
          </w:rPr>
          <w:t xml:space="preserve">(other than the audited financial statements of Old Safehold for the years </w:t>
        </w:r>
      </w:hyperlink>
      <w:r>
        <w:rPr>
          <w:rFonts w:ascii="Arial" w:cs="Arial" w:eastAsia="Arial" w:hAnsi="Arial"/>
          <w:sz w:val="18"/>
          <w:szCs w:val="18"/>
          <w:color w:val="0000EE"/>
        </w:rPr>
        <w:t xml:space="preserve">ended </w:t>
      </w:r>
      <w:r>
        <w:rPr>
          <w:rFonts w:ascii="Arial" w:cs="Arial" w:eastAsia="Arial" w:hAnsi="Arial"/>
          <w:sz w:val="18"/>
          <w:szCs w:val="18"/>
          <w:color w:val="000000"/>
        </w:rPr>
        <w:t xml:space="preserve">December 31, 2022, December 31, 2021 and December 31, 2020, the related notes and the report of the independent registered public accounting firm thereto incorporated by reference in Item 15 (a) </w:t>
      </w:r>
      <w:hyperlink r:id="rId68">
        <w:r>
          <w:rPr>
            <w:rFonts w:ascii="Arial" w:cs="Arial" w:eastAsia="Arial" w:hAnsi="Arial"/>
            <w:sz w:val="18"/>
            <w:szCs w:val="18"/>
            <w:color w:val="000000"/>
          </w:rPr>
          <w:t xml:space="preserve">and (c) and the information included in Exhibit 99.1, which are included in Old </w:t>
        </w:r>
        <w:r>
          <w:rPr>
            <w:rFonts w:ascii="Arial" w:cs="Arial" w:eastAsia="Arial" w:hAnsi="Arial"/>
            <w:sz w:val="18"/>
            <w:szCs w:val="18"/>
            <w:u w:val="single" w:color="auto"/>
            <w:color w:val="0000EE"/>
          </w:rPr>
          <w:t>Safehold’s Annual</w:t>
        </w:r>
      </w:hyperlink>
      <w:r>
        <w:rPr>
          <w:rFonts w:ascii="Arial" w:cs="Arial" w:eastAsia="Arial" w:hAnsi="Arial"/>
          <w:sz w:val="18"/>
          <w:szCs w:val="18"/>
          <w:color w:val="000000"/>
        </w:rPr>
        <w:t xml:space="preserve"> </w:t>
      </w:r>
      <w:hyperlink r:id="rId68">
        <w:r>
          <w:rPr>
            <w:rFonts w:ascii="Arial" w:cs="Arial" w:eastAsia="Arial" w:hAnsi="Arial"/>
            <w:sz w:val="18"/>
            <w:szCs w:val="18"/>
            <w:u w:val="single" w:color="auto"/>
            <w:color w:val="0000EE"/>
          </w:rPr>
          <w:t>Report on Form 10-K for the year ended December 31, 2022, filed with the SEC on February 15,</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2023</w:t>
        </w:r>
        <w:r>
          <w:rPr>
            <w:rFonts w:ascii="Arial" w:cs="Arial" w:eastAsia="Arial" w:hAnsi="Arial"/>
            <w:sz w:val="18"/>
            <w:szCs w:val="18"/>
            <w:color w:val="000000"/>
          </w:rPr>
          <w:t>, as amended by its</w:t>
        </w:r>
        <w:r>
          <w:rPr>
            <w:rFonts w:ascii="Arial" w:cs="Arial" w:eastAsia="Arial" w:hAnsi="Arial"/>
            <w:sz w:val="18"/>
            <w:szCs w:val="18"/>
            <w:color w:val="0000EE"/>
          </w:rPr>
          <w:t xml:space="preserve"> </w:t>
        </w:r>
      </w:hyperlink>
      <w:hyperlink r:id="rId69">
        <w:r>
          <w:rPr>
            <w:rFonts w:ascii="Arial" w:cs="Arial" w:eastAsia="Arial" w:hAnsi="Arial"/>
            <w:sz w:val="18"/>
            <w:szCs w:val="18"/>
            <w:u w:val="single" w:color="auto"/>
            <w:color w:val="0000EE"/>
          </w:rPr>
          <w:t>Annual Report on Form 10-K/A filed with the SEC on March 30, 2023</w:t>
        </w:r>
      </w:hyperlink>
      <w:hyperlink r:id="rId68">
        <w:r>
          <w:rPr>
            <w:rFonts w:ascii="Arial" w:cs="Arial" w:eastAsia="Arial" w:hAnsi="Arial"/>
            <w:sz w:val="18"/>
            <w:szCs w:val="18"/>
            <w:color w:val="000000"/>
          </w:rPr>
          <w:t>,</w:t>
        </w:r>
      </w:hyperlink>
      <w:r>
        <w:rPr>
          <w:rFonts w:ascii="Arial" w:cs="Arial" w:eastAsia="Arial" w:hAnsi="Arial"/>
          <w:sz w:val="18"/>
          <w:szCs w:val="18"/>
          <w:color w:val="0000EE"/>
        </w:rPr>
        <w:t xml:space="preserve"> </w:t>
      </w:r>
      <w:hyperlink r:id="rId70">
        <w:r>
          <w:rPr>
            <w:rFonts w:ascii="Arial" w:cs="Arial" w:eastAsia="Arial" w:hAnsi="Arial"/>
            <w:sz w:val="18"/>
            <w:szCs w:val="18"/>
            <w:color w:val="000000"/>
          </w:rPr>
          <w:t xml:space="preserve">which is separately incorporated by reference herein), as amended by our </w:t>
        </w:r>
        <w:r>
          <w:rPr>
            <w:rFonts w:ascii="Arial" w:cs="Arial" w:eastAsia="Arial" w:hAnsi="Arial"/>
            <w:sz w:val="18"/>
            <w:szCs w:val="18"/>
            <w:u w:val="single" w:color="auto"/>
            <w:color w:val="0000EE"/>
          </w:rPr>
          <w:t>Annual Report on Form 10-</w:t>
        </w:r>
      </w:hyperlink>
      <w:hyperlink r:id="rId70">
        <w:r>
          <w:rPr>
            <w:rFonts w:ascii="Arial" w:cs="Arial" w:eastAsia="Arial" w:hAnsi="Arial"/>
            <w:sz w:val="18"/>
            <w:szCs w:val="18"/>
            <w:u w:val="single" w:color="auto"/>
            <w:color w:val="0000EE"/>
          </w:rPr>
          <w:t>K/A filed with the SEC on March 30, 2023.</w:t>
        </w:r>
      </w:hyperlink>
    </w:p>
    <w:p>
      <w:pPr>
        <w:spacing w:after="0" w:line="88" w:lineRule="exact"/>
        <w:rPr>
          <w:rFonts w:ascii="Arial" w:cs="Arial" w:eastAsia="Arial" w:hAnsi="Arial"/>
          <w:sz w:val="18"/>
          <w:szCs w:val="18"/>
          <w:u w:val="single" w:color="auto"/>
          <w:color w:val="0000EE"/>
        </w:rPr>
      </w:pPr>
    </w:p>
    <w:p>
      <w:pPr>
        <w:ind w:left="1800" w:right="499" w:hanging="180"/>
        <w:spacing w:after="0" w:line="263" w:lineRule="auto"/>
        <w:tabs>
          <w:tab w:leader="none" w:pos="1800" w:val="left"/>
        </w:tabs>
        <w:numPr>
          <w:ilvl w:val="0"/>
          <w:numId w:val="21"/>
        </w:numPr>
        <w:rPr>
          <w:rFonts w:ascii="Arial" w:cs="Arial" w:eastAsia="Arial" w:hAnsi="Arial"/>
          <w:sz w:val="18"/>
          <w:szCs w:val="18"/>
          <w:u w:val="single" w:color="auto"/>
          <w:color w:val="0000EE"/>
        </w:rPr>
      </w:pPr>
      <w:hyperlink r:id="rId68">
        <w:r>
          <w:rPr>
            <w:rFonts w:ascii="Arial" w:cs="Arial" w:eastAsia="Arial" w:hAnsi="Arial"/>
            <w:sz w:val="18"/>
            <w:szCs w:val="18"/>
            <w:color w:val="auto"/>
          </w:rPr>
          <w:t xml:space="preserve">Old </w:t>
        </w:r>
        <w:r>
          <w:rPr>
            <w:rFonts w:ascii="Arial" w:cs="Arial" w:eastAsia="Arial" w:hAnsi="Arial"/>
            <w:sz w:val="18"/>
            <w:szCs w:val="18"/>
            <w:u w:val="single" w:color="auto"/>
            <w:color w:val="0000EE"/>
          </w:rPr>
          <w:t>Safehold’s Annual Report on Form 10-K for the year ended December 31, 2022, filed with the</w:t>
        </w:r>
      </w:hyperlink>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EE"/>
          </w:rPr>
          <w:t>SEC on February 15, 2023</w:t>
        </w:r>
        <w:r>
          <w:rPr>
            <w:rFonts w:ascii="Arial" w:cs="Arial" w:eastAsia="Arial" w:hAnsi="Arial"/>
            <w:sz w:val="18"/>
            <w:szCs w:val="18"/>
            <w:color w:val="000000"/>
          </w:rPr>
          <w:t>, as amended by its</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Annual Report on Form 10-K/A filed with the SEC on</w:t>
        </w:r>
      </w:hyperlink>
      <w:r>
        <w:rPr>
          <w:rFonts w:ascii="Arial" w:cs="Arial" w:eastAsia="Arial" w:hAnsi="Arial"/>
          <w:sz w:val="18"/>
          <w:szCs w:val="18"/>
          <w:color w:val="0000EE"/>
        </w:rPr>
        <w:t xml:space="preserve"> </w:t>
      </w:r>
      <w:hyperlink r:id="rId69">
        <w:r>
          <w:rPr>
            <w:rFonts w:ascii="Arial" w:cs="Arial" w:eastAsia="Arial" w:hAnsi="Arial"/>
            <w:sz w:val="18"/>
            <w:szCs w:val="18"/>
            <w:u w:val="single" w:color="auto"/>
            <w:color w:val="0000EE"/>
          </w:rPr>
          <w:t>March 30, 2023.</w:t>
        </w:r>
      </w:hyperlink>
    </w:p>
    <w:p>
      <w:pPr>
        <w:spacing w:after="0" w:line="75" w:lineRule="exact"/>
        <w:rPr>
          <w:rFonts w:ascii="Arial" w:cs="Arial" w:eastAsia="Arial" w:hAnsi="Arial"/>
          <w:sz w:val="18"/>
          <w:szCs w:val="18"/>
          <w:u w:val="single" w:color="auto"/>
          <w:color w:val="0000EE"/>
        </w:rPr>
      </w:pPr>
    </w:p>
    <w:p>
      <w:pPr>
        <w:ind w:left="1800" w:right="479" w:hanging="180"/>
        <w:spacing w:after="0" w:line="271" w:lineRule="auto"/>
        <w:tabs>
          <w:tab w:leader="none" w:pos="1800" w:val="left"/>
        </w:tabs>
        <w:numPr>
          <w:ilvl w:val="0"/>
          <w:numId w:val="21"/>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with the SEC on </w:t>
      </w:r>
      <w:hyperlink r:id="rId73">
        <w:r>
          <w:rPr>
            <w:rFonts w:ascii="Arial" w:cs="Arial" w:eastAsia="Arial" w:hAnsi="Arial"/>
            <w:sz w:val="17"/>
            <w:szCs w:val="17"/>
            <w:u w:val="single" w:color="auto"/>
            <w:color w:val="0000EE"/>
          </w:rPr>
          <w:t>March 2,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the information furnished pursuant to Item 7.01), </w:t>
      </w:r>
      <w:hyperlink r:id="rId74">
        <w:r>
          <w:rPr>
            <w:rFonts w:ascii="Arial" w:cs="Arial" w:eastAsia="Arial" w:hAnsi="Arial"/>
            <w:sz w:val="17"/>
            <w:szCs w:val="17"/>
            <w:u w:val="single" w:color="auto"/>
            <w:color w:val="0000EE"/>
          </w:rPr>
          <w:t>March 9,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109">
        <w:r>
          <w:rPr>
            <w:rFonts w:ascii="Arial" w:cs="Arial" w:eastAsia="Arial" w:hAnsi="Arial"/>
            <w:sz w:val="17"/>
            <w:szCs w:val="17"/>
            <w:u w:val="single" w:color="auto"/>
            <w:color w:val="0000EE"/>
          </w:rPr>
          <w:t>April 4,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the audited financial statements of Old Safehold for the years ended December 31, 2022, December 31, 2021 and December 31, 2020, the related notes and the report of the independent registered public accounting </w:t>
      </w:r>
      <w:hyperlink r:id="rId68">
        <w:r>
          <w:rPr>
            <w:rFonts w:ascii="Arial" w:cs="Arial" w:eastAsia="Arial" w:hAnsi="Arial"/>
            <w:sz w:val="17"/>
            <w:szCs w:val="17"/>
            <w:color w:val="auto"/>
          </w:rPr>
          <w:t xml:space="preserve">firm thereto included in Item 9.01 (a) and Exhibit 99.7, which are included in Old </w:t>
        </w:r>
        <w:r>
          <w:rPr>
            <w:rFonts w:ascii="Arial" w:cs="Arial" w:eastAsia="Arial" w:hAnsi="Arial"/>
            <w:sz w:val="17"/>
            <w:szCs w:val="17"/>
            <w:u w:val="single" w:color="auto"/>
            <w:color w:val="0000EE"/>
          </w:rPr>
          <w:t>Safehold’s Annual</w:t>
        </w:r>
      </w:hyperlink>
      <w:r>
        <w:rPr>
          <w:rFonts w:ascii="Arial" w:cs="Arial" w:eastAsia="Arial" w:hAnsi="Arial"/>
          <w:sz w:val="17"/>
          <w:szCs w:val="17"/>
          <w:color w:val="auto"/>
        </w:rPr>
        <w:t xml:space="preserve"> </w:t>
      </w:r>
      <w:hyperlink r:id="rId68">
        <w:r>
          <w:rPr>
            <w:rFonts w:ascii="Arial" w:cs="Arial" w:eastAsia="Arial" w:hAnsi="Arial"/>
            <w:sz w:val="17"/>
            <w:szCs w:val="17"/>
            <w:u w:val="single" w:color="auto"/>
            <w:color w:val="0000EE"/>
          </w:rPr>
          <w:t>Report on Form 10-K for the year ended December 31, 2022, filed with the SEC on February 15,</w:t>
        </w:r>
      </w:hyperlink>
      <w:r>
        <w:rPr>
          <w:rFonts w:ascii="Arial" w:cs="Arial" w:eastAsia="Arial" w:hAnsi="Arial"/>
          <w:sz w:val="17"/>
          <w:szCs w:val="17"/>
          <w:u w:val="single" w:color="auto"/>
          <w:color w:val="0000EE"/>
        </w:rPr>
        <w:t xml:space="preserve"> </w:t>
      </w:r>
      <w:hyperlink r:id="rId68">
        <w:r>
          <w:rPr>
            <w:rFonts w:ascii="Arial" w:cs="Arial" w:eastAsia="Arial" w:hAnsi="Arial"/>
            <w:sz w:val="17"/>
            <w:szCs w:val="17"/>
            <w:u w:val="single" w:color="auto"/>
            <w:color w:val="0000EE"/>
          </w:rPr>
          <w:t>2023</w:t>
        </w:r>
        <w:r>
          <w:rPr>
            <w:rFonts w:ascii="Arial" w:cs="Arial" w:eastAsia="Arial" w:hAnsi="Arial"/>
            <w:sz w:val="17"/>
            <w:szCs w:val="17"/>
            <w:color w:val="000000"/>
          </w:rPr>
          <w:t>, as amended by its</w:t>
        </w:r>
        <w:r>
          <w:rPr>
            <w:rFonts w:ascii="Arial" w:cs="Arial" w:eastAsia="Arial" w:hAnsi="Arial"/>
            <w:sz w:val="17"/>
            <w:szCs w:val="17"/>
            <w:color w:val="0000EE"/>
          </w:rPr>
          <w:t xml:space="preserve"> </w:t>
        </w:r>
      </w:hyperlink>
      <w:hyperlink r:id="rId69">
        <w:r>
          <w:rPr>
            <w:rFonts w:ascii="Arial" w:cs="Arial" w:eastAsia="Arial" w:hAnsi="Arial"/>
            <w:sz w:val="17"/>
            <w:szCs w:val="17"/>
            <w:u w:val="single" w:color="auto"/>
            <w:color w:val="0000EE"/>
          </w:rPr>
          <w:t>Annual Report on Form 10-K/A filed with the SEC on March 30, 2023</w:t>
        </w:r>
      </w:hyperlink>
      <w:hyperlink r:id="rId68">
        <w:r>
          <w:rPr>
            <w:rFonts w:ascii="Arial" w:cs="Arial" w:eastAsia="Arial" w:hAnsi="Arial"/>
            <w:sz w:val="17"/>
            <w:szCs w:val="17"/>
            <w:color w:val="000000"/>
          </w:rPr>
          <w:t>,</w:t>
        </w:r>
      </w:hyperlink>
      <w:r>
        <w:rPr>
          <w:rFonts w:ascii="Arial" w:cs="Arial" w:eastAsia="Arial" w:hAnsi="Arial"/>
          <w:sz w:val="17"/>
          <w:szCs w:val="17"/>
          <w:color w:val="0000EE"/>
        </w:rPr>
        <w:t xml:space="preserve"> </w:t>
      </w:r>
      <w:r>
        <w:rPr>
          <w:rFonts w:ascii="Arial" w:cs="Arial" w:eastAsia="Arial" w:hAnsi="Arial"/>
          <w:sz w:val="17"/>
          <w:szCs w:val="17"/>
          <w:color w:val="000000"/>
        </w:rPr>
        <w:t>which is separately incorporated by reference herein).</w:t>
      </w:r>
    </w:p>
    <w:p>
      <w:pPr>
        <w:spacing w:after="0" w:line="56" w:lineRule="exact"/>
        <w:rPr>
          <w:rFonts w:ascii="Arial" w:cs="Arial" w:eastAsia="Arial" w:hAnsi="Arial"/>
          <w:sz w:val="17"/>
          <w:szCs w:val="17"/>
          <w:color w:val="0000EE"/>
        </w:rPr>
      </w:pPr>
    </w:p>
    <w:p>
      <w:pPr>
        <w:ind w:left="1800" w:right="679" w:hanging="180"/>
        <w:spacing w:after="0" w:line="277" w:lineRule="auto"/>
        <w:tabs>
          <w:tab w:leader="none" w:pos="1800" w:val="left"/>
        </w:tabs>
        <w:numPr>
          <w:ilvl w:val="0"/>
          <w:numId w:val="21"/>
        </w:numPr>
        <w:rPr>
          <w:rFonts w:ascii="Arial" w:cs="Arial" w:eastAsia="Arial" w:hAnsi="Arial"/>
          <w:sz w:val="18"/>
          <w:szCs w:val="18"/>
          <w:color w:val="0000EE"/>
        </w:rPr>
      </w:pPr>
      <w:hyperlink r:id="rId81">
        <w:r>
          <w:rPr>
            <w:rFonts w:ascii="Arial" w:cs="Arial" w:eastAsia="Arial" w:hAnsi="Arial"/>
            <w:sz w:val="18"/>
            <w:szCs w:val="18"/>
            <w:color w:val="auto"/>
          </w:rPr>
          <w:t xml:space="preserve">Old Safehold’s Current Reports on Form 8-K filed with the SEC on </w:t>
        </w:r>
        <w:r>
          <w:rPr>
            <w:rFonts w:ascii="Arial" w:cs="Arial" w:eastAsia="Arial" w:hAnsi="Arial"/>
            <w:sz w:val="18"/>
            <w:szCs w:val="18"/>
            <w:u w:val="single" w:color="auto"/>
            <w:color w:val="0000EE"/>
          </w:rPr>
          <w:t>January 9,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14,</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EE"/>
          </w:rPr>
          <w:t>2023</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2">
        <w:r>
          <w:rPr>
            <w:rFonts w:ascii="Arial" w:cs="Arial" w:eastAsia="Arial" w:hAnsi="Arial"/>
            <w:sz w:val="18"/>
            <w:szCs w:val="18"/>
            <w:u w:val="single" w:color="auto"/>
            <w:color w:val="0000EE"/>
          </w:rPr>
          <w:t>March 2, 2023</w:t>
        </w:r>
      </w:hyperlink>
      <w:hyperlink r:id="rId8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3">
        <w:r>
          <w:rPr>
            <w:rFonts w:ascii="Arial" w:cs="Arial" w:eastAsia="Arial" w:hAnsi="Arial"/>
            <w:sz w:val="18"/>
            <w:szCs w:val="18"/>
            <w:u w:val="single" w:color="auto"/>
            <w:color w:val="0000EE"/>
          </w:rPr>
          <w:t xml:space="preserve">March 9, 2023 </w:t>
        </w:r>
      </w:hyperlink>
      <w:hyperlink r:id="rId81">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84">
        <w:r>
          <w:rPr>
            <w:rFonts w:ascii="Arial" w:cs="Arial" w:eastAsia="Arial" w:hAnsi="Arial"/>
            <w:sz w:val="18"/>
            <w:szCs w:val="18"/>
            <w:u w:val="single" w:color="auto"/>
            <w:color w:val="0000EE"/>
          </w:rPr>
          <w:t>March 31, 2023</w:t>
        </w:r>
      </w:hyperlink>
      <w:hyperlink r:id="rId81">
        <w:r>
          <w:rPr>
            <w:rFonts w:ascii="Arial" w:cs="Arial" w:eastAsia="Arial" w:hAnsi="Arial"/>
            <w:sz w:val="18"/>
            <w:szCs w:val="18"/>
            <w:color w:val="000000"/>
          </w:rPr>
          <w:t>.</w:t>
        </w:r>
      </w:hyperlink>
    </w:p>
    <w:p>
      <w:pPr>
        <w:sectPr>
          <w:pgSz w:w="11900" w:h="16838" w:orient="portrait"/>
          <w:cols w:equalWidth="0" w:num="1">
            <w:col w:w="9879"/>
          </w:cols>
          <w:pgMar w:left="580" w:top="90" w:right="1440" w:bottom="1440" w:gutter="0" w:footer="0" w:header="0"/>
        </w:sectPr>
      </w:pPr>
    </w:p>
    <w:p>
      <w:pPr>
        <w:spacing w:after="0" w:line="359" w:lineRule="exact"/>
        <w:rPr>
          <w:rFonts w:ascii="Arial" w:cs="Arial" w:eastAsia="Arial" w:hAnsi="Arial"/>
          <w:sz w:val="18"/>
          <w:szCs w:val="18"/>
          <w:color w:val="0000EE"/>
        </w:rPr>
      </w:pPr>
    </w:p>
    <w:p>
      <w:pPr>
        <w:ind w:left="5320"/>
        <w:spacing w:after="0"/>
        <w:rPr>
          <w:sz w:val="20"/>
          <w:szCs w:val="20"/>
          <w:color w:val="auto"/>
        </w:rPr>
      </w:pPr>
      <w:r>
        <w:rPr>
          <w:rFonts w:ascii="Arial" w:cs="Arial" w:eastAsia="Arial" w:hAnsi="Arial"/>
          <w:sz w:val="13"/>
          <w:szCs w:val="13"/>
          <w:color w:val="auto"/>
        </w:rPr>
        <w:t>2</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(the “Exchange Act”), after the date of this prospectus and prior to the termination of the offering of the securities described in this prospectus but excluding any information furnished to, rather than filed with, the SEC (including our Compensation Committee report and performance graph or any information furnished pursuant to Items 2.02 or 7.01 of Form 8-K or related exhibits furnished pursuant to Item 9.01 of Form 8-K), will also be incorporated by reference into this prospectus and deemed to be part of this prospectus from the date of the filing of such reports and documents.</w:t>
      </w:r>
    </w:p>
    <w:p>
      <w:pPr>
        <w:spacing w:after="0" w:line="124"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by writing or telephoning us at the following address or telephone number:</w:t>
      </w:r>
    </w:p>
    <w:p>
      <w:pPr>
        <w:spacing w:after="0" w:line="8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Safehold Inc.</w:t>
      </w:r>
    </w:p>
    <w:p>
      <w:pPr>
        <w:jc w:val="center"/>
        <w:ind w:right="-840"/>
        <w:spacing w:after="0" w:line="217" w:lineRule="auto"/>
        <w:rPr>
          <w:sz w:val="20"/>
          <w:szCs w:val="20"/>
          <w:color w:val="auto"/>
        </w:rPr>
      </w:pPr>
      <w:r>
        <w:rPr>
          <w:rFonts w:ascii="Arial" w:cs="Arial" w:eastAsia="Arial" w:hAnsi="Arial"/>
          <w:sz w:val="18"/>
          <w:szCs w:val="18"/>
          <w:color w:val="auto"/>
        </w:rPr>
        <w:t>1114 Avenue of the Americas, 39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jc w:val="center"/>
        <w:ind w:right="-84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Attention: Investor Relations Department</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(212) 930-9400</w:t>
      </w:r>
    </w:p>
    <w:p>
      <w:pPr>
        <w:spacing w:after="0" w:line="130" w:lineRule="exact"/>
        <w:rPr>
          <w:sz w:val="20"/>
          <w:szCs w:val="20"/>
          <w:color w:val="auto"/>
        </w:rPr>
      </w:pPr>
    </w:p>
    <w:p>
      <w:pPr>
        <w:ind w:left="1260" w:right="1299" w:firstLine="360"/>
        <w:spacing w:after="0" w:line="308"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THE COMPANY</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are a publicly-traded company that operates our business through one reportable segment by acquiring, managing and capitalizing ground leases. We believe that our business has characteristics comparable to a high-grade, fixed income investment business, but with certain unique advantages. Relative to alternative fixed income investments generally, our ground leases typically benefit from built-in growth derived from contractual base rent increases (either at a specified percentage or consumer price index based, or both), and the opportunity to realize value from residual rights to take ownership of the buildings and other improvements on our land at no additional cost to us. We believe that these features offer us the opportunity to realize superior risk-adjusted total returns when compared to certain alternative highly-rated investments.</w:t>
      </w:r>
    </w:p>
    <w:p>
      <w:pPr>
        <w:spacing w:after="0" w:line="129"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Ground leases generally represent the ownership of land underlying commercial real estate projects that is net leased on a long-term basis (base terms are typically 30 to 99 years, often with tenant renewal options) by the fee owner of the land (landlord) to the owners/operators of the real estate projects built thereon (“Ground Lease”), or what we refer to as a Safehold</w:t>
      </w:r>
      <w:r>
        <w:rPr>
          <w:rFonts w:ascii="Arial" w:cs="Arial" w:eastAsia="Arial" w:hAnsi="Arial"/>
          <w:sz w:val="26"/>
          <w:szCs w:val="26"/>
          <w:color w:val="auto"/>
          <w:vertAlign w:val="subscript"/>
        </w:rPr>
        <w:t>TM</w:t>
      </w:r>
      <w:r>
        <w:rPr>
          <w:rFonts w:ascii="Arial" w:cs="Arial" w:eastAsia="Arial" w:hAnsi="Arial"/>
          <w:sz w:val="18"/>
          <w:szCs w:val="18"/>
          <w:color w:val="auto"/>
        </w:rPr>
        <w:t>. The property is generally leased on a triple net basis with the tenant generally responsible for taxes, maintenance and insurance as well as all operating costs and capital expenditures. Ground Leases typically provide that at the end of the lease term or upon tenant default and the termination of the Ground Lease upon such default, the land, building and all improvements revert to the landlord. We have become the industry leader in Ground Leases by demonstrating the value of the product to real estate investors, owners, operators and developers and expanding their use throughout major metropolitan areas.</w:t>
      </w:r>
    </w:p>
    <w:p>
      <w:pPr>
        <w:spacing w:after="0" w:line="120"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Our common stock is listed on the New York Stock Exchange under the symbol “SAFE.” We elected to be treated as a REIT for U.S. federal income tax purposes, commencing with the tax year ended December 31, 1998. We conduct all of our business and own all of our properties through our subsidiary operating company, Safehold GL Holdings LLC.</w:t>
      </w:r>
    </w:p>
    <w:p>
      <w:pPr>
        <w:spacing w:after="0" w:line="82"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Our principal executive offices are located at 1114 Avenue of the Americas, 39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New York 10036, and our telephone number is (212) 930-9400. Our website is www.safeholdinc.com. Information contained in or that can be accessed through our website is not part of, and is not incorporated by reference into, this prospectus or any applicable prospectus supplement. The foregoing information about us is only a general summary and is not intended to be comprehensive. For additional information about us, you should refer to the information under “Where You Can Find More Information; Incorporation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459" w:firstLine="360"/>
        <w:spacing w:after="0" w:line="270" w:lineRule="auto"/>
        <w:rPr>
          <w:rFonts w:ascii="Arial" w:cs="Arial" w:eastAsia="Arial" w:hAnsi="Arial"/>
          <w:sz w:val="17"/>
          <w:szCs w:val="17"/>
          <w:color w:val="0000EE"/>
        </w:rPr>
      </w:pPr>
      <w:r>
        <w:rPr>
          <w:rFonts w:ascii="Arial" w:cs="Arial" w:eastAsia="Arial" w:hAnsi="Arial"/>
          <w:sz w:val="17"/>
          <w:szCs w:val="17"/>
          <w:color w:val="auto"/>
        </w:rPr>
        <w:t xml:space="preserve">Investment in any securities offered pursuant to this prospectus and the applicable prospectus supplement involves risks. You should carefully consider the risk factors incorporated by reference in </w:t>
      </w:r>
      <w:hyperlink r:id="rId113">
        <w:r>
          <w:rPr>
            <w:rFonts w:ascii="Arial" w:cs="Arial" w:eastAsia="Arial" w:hAnsi="Arial"/>
            <w:sz w:val="17"/>
            <w:szCs w:val="17"/>
            <w:u w:val="single" w:color="auto"/>
            <w:color w:val="0000EE"/>
          </w:rPr>
          <w:t>Exhibit 99.3</w:t>
        </w:r>
        <w:r>
          <w:rPr>
            <w:rFonts w:ascii="Arial" w:cs="Arial" w:eastAsia="Arial" w:hAnsi="Arial"/>
            <w:sz w:val="17"/>
            <w:szCs w:val="17"/>
            <w:color w:val="0000EE"/>
          </w:rPr>
          <w:t xml:space="preserve"> </w:t>
        </w:r>
      </w:hyperlink>
      <w:r>
        <w:rPr>
          <w:rFonts w:ascii="Arial" w:cs="Arial" w:eastAsia="Arial" w:hAnsi="Arial"/>
          <w:sz w:val="17"/>
          <w:szCs w:val="17"/>
          <w:color w:val="000000"/>
        </w:rPr>
        <w:t>to</w:t>
      </w:r>
      <w:r>
        <w:rPr>
          <w:rFonts w:ascii="Arial" w:cs="Arial" w:eastAsia="Arial" w:hAnsi="Arial"/>
          <w:sz w:val="17"/>
          <w:szCs w:val="17"/>
          <w:color w:val="0000EE"/>
        </w:rPr>
        <w:t xml:space="preserve"> </w:t>
      </w:r>
      <w:r>
        <w:rPr>
          <w:rFonts w:ascii="Arial" w:cs="Arial" w:eastAsia="Arial" w:hAnsi="Arial"/>
          <w:sz w:val="17"/>
          <w:szCs w:val="17"/>
          <w:color w:val="000000"/>
        </w:rPr>
        <w:t>our</w:t>
      </w:r>
      <w:r>
        <w:rPr>
          <w:rFonts w:ascii="Arial" w:cs="Arial" w:eastAsia="Arial" w:hAnsi="Arial"/>
          <w:sz w:val="17"/>
          <w:szCs w:val="17"/>
          <w:color w:val="0000EE"/>
        </w:rPr>
        <w:t xml:space="preserve"> </w:t>
      </w:r>
      <w:hyperlink r:id="rId114">
        <w:r>
          <w:rPr>
            <w:rFonts w:ascii="Arial" w:cs="Arial" w:eastAsia="Arial" w:hAnsi="Arial"/>
            <w:sz w:val="17"/>
            <w:szCs w:val="17"/>
            <w:u w:val="single" w:color="auto"/>
            <w:color w:val="0000EE"/>
          </w:rPr>
          <w:t>Current Report on Form 8-K filed with the SEC on April 4, 2023</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any subsequent</w:t>
      </w:r>
      <w:r>
        <w:rPr>
          <w:rFonts w:ascii="Arial" w:cs="Arial" w:eastAsia="Arial" w:hAnsi="Arial"/>
          <w:sz w:val="17"/>
          <w:szCs w:val="17"/>
          <w:color w:val="0000EE"/>
        </w:rPr>
        <w:t xml:space="preserve"> </w:t>
      </w:r>
      <w:r>
        <w:rPr>
          <w:rFonts w:ascii="Arial" w:cs="Arial" w:eastAsia="Arial" w:hAnsi="Arial"/>
          <w:sz w:val="17"/>
          <w:szCs w:val="17"/>
          <w:color w:val="000000"/>
        </w:rPr>
        <w:t>Annual Reports on Form 10-K and any subsequent Quarterly Reports on Form 10-Q and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GUARANTOR DISCLOSURES</w:t>
      </w:r>
    </w:p>
    <w:p>
      <w:pPr>
        <w:spacing w:after="0" w:line="162"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Safehold Inc. may guarantee debt securities of the operating company as described in “Description of Debt Securities.” Any such guarantees by Safehold Inc. will be full, irrevocable, unconditional and absolute joint and several guarantees to the holders of each series of such outstanding guaranteed debt securities. The Company owns all of its assets and conducts all of its operations through the operating company and the operating company is consolidated into Safehold Inc.’s financial statements.</w:t>
      </w:r>
    </w:p>
    <w:p>
      <w:pPr>
        <w:spacing w:after="0" w:line="109"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8"/>
          <w:szCs w:val="18"/>
          <w:color w:val="auto"/>
        </w:rPr>
        <w:t>The Company and the operating company have filed this prospectus with the SEC registering, among other securities, debt securities of the operating company, which will be fully and unconditionally guaranteed by the Company. Pursuant to Rule 3-10 of Regulation S-X, subsidiary issuers of obligations guaranteed by the parent are not required to provide separate financial statements, provided that the subsidiary obligor is consolidated into the parent company’s consolidated financial statements, the parent guarantee is “full and unconditional” and, subject to certain exceptions as set forth below, the alternative disclosure required by Rule 13-01 is provided, which includes narrative disclosure and summarized financial information. Accordingly, separate consolidated financial statements of the operating company have not been presented.</w:t>
      </w:r>
    </w:p>
    <w:p>
      <w:pPr>
        <w:spacing w:after="0" w:line="115"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Furthermore, as permitted under Rule 13-01(a)(4)(vi) of Regulation S-X, we have excluded the summarized financial information for the operating company because the assets, liabilities and results of operations of the operating company are not materially different than the corresponding amounts in Safehold Inc.’s consolidated financial statements incorporated by reference herein, and management believes such summarized financial information would be repetitive and would not provide incremental value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Unless we indicate otherwise in the applicable prospectus supplement, we intend to contribute the net proceeds from any sale of offered securities by us to our operating company. Our operating company will use the net proceeds from us or from any sale of offered securities by it as set forth in the applicable prospectus supplement. We will not receive any of the proceeds from the sale of common stock being offered by any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DESCRIPTION OF CAPITAL STOCK</w:t>
      </w:r>
    </w:p>
    <w:p>
      <w:pPr>
        <w:spacing w:after="0" w:line="162"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This prospectus describes the general terms of the common stock, $0.01 par value per share (the “common stock”), and preferred stock, $0.01 par value per share (the “preferred stock”), Safehold Inc. may offer. For a more detailed description of these securities, you should read the applicable provisions of the Maryland General Corporation Law (as amended from time to time, the “MGCL”), our amended and restated charter (“charter”) and our second amended and restated bylaws (“bylaws”). As used in this “Description of Capital Stock,” references to “our company,” “we,” “us” or “our” refer solely to Safehold Inc. and not to any of its subsidiaries, unless otherwise expressly stated or the context otherwise requires.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When we offer to sell a particular class or series of common stock, we will describe the specific terms of the class or series in a prospectus supplement. Accordingly, for a description of the terms of any class or series of common stock, you must refer to both the prospectus supplement relating to that class or series and the description of stock in this prospectus. To the extent the information contained in the prospectus supplement differs from this summary description, you should rely on the information in the prospectus supplement.</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General</w:t>
      </w:r>
    </w:p>
    <w:p>
      <w:pPr>
        <w:spacing w:after="0" w:line="144"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Our charter provides that we may issue up to 400,000,000 shares of common stock. Our charter authorizes our board of directors (our “board of directors”), with the approval of a majority of the entire board of directors and without any action by our stockholders, to amend our charter to increase or decrease the aggregate number of authorized shares of stock or the number of authorized shares of any class or series of our stock that we have authority to issue. As of March 31, 2023, approximately 63,929,647 shares of our common stock were issued and outstanding. Under Maryland law, stockholders are not generally liable for our debts or obligations solely as a result of their status as stockholders.</w:t>
      </w:r>
    </w:p>
    <w:p>
      <w:pPr>
        <w:spacing w:after="0" w:line="11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Subject to the provisions of our charter regarding the restrictions on ownership and transfer of our stock and except as may otherwise be specified in our charter, each outstanding share of common stock entitles the holder thereof to one vote on all matters on which the stockholders of common stock are entitled to vote, including the election of directors, and, except as provided with respect to any other class or series of stock, the holders of shares of common stock will vote together as a single class and will possess the exclusive voting power. Each of our directors is elected by our stockholders to serve until the next annual meeting and until his or her successor is duly elected and qualifies. There is no cumulative voting in the election of our directors.</w:t>
      </w:r>
    </w:p>
    <w:p>
      <w:pPr>
        <w:spacing w:after="0" w:line="12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Holders of shares of common stock generally have no preference, conversion, exchange, sinking fund or redemption rights and generally have no appraisal rights unless our board of directors determines that appraisal rights apply, with respect to all or any such classes or series of stock, to one or more transactions occurring after the date of such determination in connection with which holders of such shares would otherwise be entitled to exercise appraisal rights. Holders of shares of common stock generally have no preemptive rights to subscribe for any securities of our company; however, we have granted contractual top-up rights to certain stockholders, as discussed below under “Stockholders Agreements with Certain Investors.” Subject to the provisions of our charter regarding the restrictions on ownership and transfer of our stock and except as otherwise provided in our charter, shares of common stock have equal distribution, liquidation and other rights.</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Power to Reclassify Our Unissued Shares of Stock</w:t>
      </w:r>
    </w:p>
    <w:p>
      <w:pPr>
        <w:spacing w:after="0" w:line="144"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Our charter authorizes our board of directors to classify and reclassify any unissued shares of common stock or preferred stock into other classes or series of stock. Our board of directors could authorize the issuance of shares of common stock or preferred stock with terms and conditions that may have the effect of delaying, deferring or preventing a change in control or other transaction that might involve a premium price on our shares of common stock or otherwise be in the best interest of our stockholders.</w:t>
      </w:r>
    </w:p>
    <w:p>
      <w:pPr>
        <w:spacing w:after="0" w:line="36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right="779"/>
        <w:spacing w:after="0" w:line="277" w:lineRule="auto"/>
        <w:rPr>
          <w:sz w:val="20"/>
          <w:szCs w:val="20"/>
          <w:color w:val="auto"/>
        </w:rPr>
      </w:pPr>
      <w:r>
        <w:rPr>
          <w:rFonts w:ascii="Arial" w:cs="Arial" w:eastAsia="Arial" w:hAnsi="Arial"/>
          <w:sz w:val="18"/>
          <w:szCs w:val="18"/>
          <w:i w:val="1"/>
          <w:iCs w:val="1"/>
          <w:color w:val="auto"/>
        </w:rPr>
        <w:t>Power to Increase or Decrease Authorized Shares of Common Stock and Issue Additional Shares of Common Stock and Preferred Stock</w:t>
      </w:r>
    </w:p>
    <w:p>
      <w:pPr>
        <w:spacing w:after="0" w:line="89" w:lineRule="exact"/>
        <w:rPr>
          <w:sz w:val="20"/>
          <w:szCs w:val="20"/>
          <w:color w:val="auto"/>
        </w:rPr>
      </w:pPr>
    </w:p>
    <w:p>
      <w:pPr>
        <w:ind w:left="1260" w:right="479" w:firstLine="360"/>
        <w:spacing w:after="0" w:line="242" w:lineRule="auto"/>
        <w:rPr>
          <w:sz w:val="20"/>
          <w:szCs w:val="20"/>
          <w:color w:val="auto"/>
        </w:rPr>
      </w:pPr>
      <w:r>
        <w:rPr>
          <w:rFonts w:ascii="Arial" w:cs="Arial" w:eastAsia="Arial" w:hAnsi="Arial"/>
          <w:sz w:val="18"/>
          <w:szCs w:val="18"/>
          <w:color w:val="auto"/>
        </w:rPr>
        <w:t>We believe the power of our board of directors to amend our charter from time to time to increase or decrease the number of authorized shares of stock, to issue additional authorized but unissued shares of common stock or preferred stock and to classify or reclassify unissued shares of common stock or preferred stock and thereafter to issue such classified or reclassified shares of stock will provide us with increased flexibility in structuring possible future financings and acquisitions and in meeting other needs that might arise. The additional classes or series, as well as the additional shares of common stock, will be available for issuance without further action by our stockholders, unless such approval is required by applicable law or the rules of any stock exchange or automated quotation system on which our securities may be listed or traded. Depending upon the terms of the particular class or series, a new class or series may delay, defer or prevent a change in control or other transaction that might involve a premium price for our shares of common stock or otherwise be in the best interest of our stockholders. See “Material Provisions of Maryland Law and of Our Charter and Bylaws — Anti-takeover Effects of Maryland Law and Our Charter and Bylaws.”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Restrictions on Ownership and Transfer</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In order for us to qualify as a REIT under the Internal Revenue Code of 1986, as amended, or the Code, our shares of stock must be beneficially owned by 100 or more persons during at least 335 days of a taxable year of 12 months (other than the first year for which an election to be a REIT has been made) or during a proportionate part of a shorter taxable year. In addition, no more than 50% of the value of the outstanding shares of stock may be owned, directly or indirectly, by five or fewer individuals (as defined in the Code to include certain entities) during the last half of any taxable year (other than the first year for which an election to be a REIT has been made). To qualify as a REIT, we must satisfy other requirements as well. See “Federal Income Tax Considerations — Requirements for Qualification as a REIT.”</w:t>
      </w:r>
    </w:p>
    <w:p>
      <w:pPr>
        <w:spacing w:after="0" w:line="10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Our charter contains restrictions on the ownership and transfer of our shares of common stock and other outstanding shares of stock. The relevant sections of our charter provide that no person or entity may own, or be deemed to own, by virtue of the applicable constructive ownership provisions of the Code, more than 9.8% in value or number of shares, whichever is more restrictive, of the outstanding shares of our common stock (the common stock ownership limit), or 9.8% in value or number of shares, whichever is more restrictive, of the outstanding shares of all classes and series of our capital stock (the aggregate stock ownership limit). We refer to the common stock ownership limit and the aggregate stock ownership limit collectively as the ownership limits. A person or entity that, but for operation of the ownership limits or another restriction on ownership and transfer of our stock as described below, would beneficially own or be deemed to beneficially own, by virtue of the applicable constructive ownership provisions of the Code, shares of our stock and/or, if appropriate in the context, a person or entity that would have been the record owner of such shares of our stock is referred to as a prohibited owner.</w:t>
      </w:r>
    </w:p>
    <w:p>
      <w:pPr>
        <w:spacing w:after="0" w:line="107"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The constructive ownership rules under the Code are complex and may cause shares of stock owned actually or constructively by a group of related individuals and/or entities to be owned constructively by one individual or entity. As a result, the acquisition of less than 9.8% in value or number of shares, whichever is more restrictive, of the outstanding shares of our common stock or 9.8% in value or number of shares, whichever is more restrictive, of the outstanding shares of all classes or series of our stock (or the acquisition of an interest in an entity that owns, actually or constructively, shares of our stock) by an individual or entity, could, nevertheless, cause that individual or entity, or another individual or entity, to own shares constructively in excess of the ownership limits.</w:t>
      </w:r>
    </w:p>
    <w:p>
      <w:pPr>
        <w:spacing w:after="0" w:line="11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Our board of directors may, in its sole and absolute discretion and subject to the receipt of such certain representations, covenants and undertakings deemed reasonably necessary by the board of directors, prospectively or retroactively, exempt a person from the ownership limits and establish an excepted holder limit for such person. However, our board of directors may not exempt any person whose ownership of our outstanding stock would result in our being “closely held” within the meaning of Section 856(h) of the Code (without regard to whether the ownership interest is held during the last half of a taxable year) or otherwise would result in our failing to qualify as a REIT. In order to be considered by the board of directors for exemption, a person also must provide our board of directors with information and undertakings</w:t>
      </w:r>
    </w:p>
    <w:p>
      <w:pPr>
        <w:spacing w:after="0" w:line="36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spacing w:after="0" w:line="257" w:lineRule="auto"/>
        <w:rPr>
          <w:sz w:val="20"/>
          <w:szCs w:val="20"/>
          <w:color w:val="auto"/>
        </w:rPr>
      </w:pPr>
      <w:r>
        <w:rPr>
          <w:rFonts w:ascii="Arial" w:cs="Arial" w:eastAsia="Arial" w:hAnsi="Arial"/>
          <w:sz w:val="17"/>
          <w:szCs w:val="17"/>
          <w:color w:val="auto"/>
        </w:rPr>
        <w:t>deemed satisfactory to our board of directors that such person’s ownership of stock in excess of the ownership limits would not cause us to own (directly or indirectly) an interest in a tenant that is described in Section 856(d)(2)(B) of the Code if the income derived by us (either directly or indirectly through one or more partnerships or limited liability companies) from such tenant for our taxable year during which such determination is being made would reasonably be expected to equal or exceed the lesser of (i) one percent (1%) of our gross income (as determined for purposes of Section 856(c) of the Code), or (ii) an amount that would cause us to fail to satisfy any of the gross income requirements of Section 856(c) of the Code. The person also must agree that any violation or attempted violation of these restrictions will result in the automatic transfer to a trust of the shares of stock causing the violation. As a condition of its waiver, our board of directors may require an opinion of counsel or IRS ruling satisfactory to our board of directors with respect to our qualification as a REIT. We have granted a waiver to Star Holdings, a Maryland statutory trust (“Star Holdings”), and each entity in which Star Holdings owns a direct or indirect interest, to own up to 13,522,651 shares of our common stock in the aggregate.</w:t>
      </w:r>
    </w:p>
    <w:p>
      <w:pPr>
        <w:spacing w:after="0" w:line="11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In connection with the waiver of the ownership limits, creating an excepted holder limit or at any other time, our board of directors may, in its sole and absolute discretion, from time to time increase or decrease the ownership limits subject to the restrictions in the paragraph above; provided, however, that the ownership limits may not be decreased or increased if, after giving effect to such decrease or increase, five or fewer persons could own or beneficially own in the aggregate, more than 49.9% in value of our capital stock then outstanding. Prior to the modification of the ownership limits, our board of directors may require such opinions of counsel, affidavits, undertakings or agreements as it may deem necessary or advisable in order to determine or ensure our qualification as a REIT. Reduced ownership limits will not apply to any person or entity whose percentage ownership in our shares of common stock or stock of all classes and series, as applicable, is in excess of such decreased ownership limits until such time as such person’s or entity’s percentage ownership of our capital stock equals or falls below the decreased ownership limits, but any further acquisition of shares of our capital stock in excess of such percentage ownership of our shares of capital stock will be in violation of the ownership limits.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charter further prohibits:</w:t>
      </w:r>
    </w:p>
    <w:p>
      <w:pPr>
        <w:spacing w:after="0" w:line="117" w:lineRule="exact"/>
        <w:rPr>
          <w:sz w:val="20"/>
          <w:szCs w:val="20"/>
          <w:color w:val="auto"/>
        </w:rPr>
      </w:pPr>
    </w:p>
    <w:p>
      <w:pPr>
        <w:ind w:left="1800" w:right="419" w:hanging="180"/>
        <w:spacing w:after="0" w:line="254"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(taking into account applicable attribution rules under the Code) shares of our stock that would result in our being “closely held” under Section 856(h) of the Code or otherwise cause us to fail to qualify as a REIT (including, without limitation, any person beneficially or constructively owning shares of our stock that would result in us owning (actually or constructively) an interest in a tenant that is described in Section 856(d)(2)(B) of the Code if the income derived by us from such tenant would cause us to fail to satisfy any of the gross income requirements of Section 856(c) of the Code); and</w:t>
      </w:r>
    </w:p>
    <w:p>
      <w:pPr>
        <w:spacing w:after="0" w:line="86"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from transferring our shares of stock if such transfer would result in our shares of stock being beneficially owned by fewer than 100 persons (determined, as a general matter, without reference to any attribution rules).</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Any person who acquires or attempts or intends to acquire beneficial or constructive ownership of shares of our stock that will or may violate the ownership limits or any of the foregoing restrictions on ownership and transfer will be required to give written notice immediately to us (or, in the case of a proposed or attempted acquisition, at least 15 days prior written notice to us) and provide us with such other information as we may request in order to determine the effect, if any, of such transfer on our qualification as a REIT.</w:t>
      </w:r>
    </w:p>
    <w:p>
      <w:pPr>
        <w:spacing w:after="0" w:line="11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If any transfer of shares of our stock would result in shares of our stock being beneficially owned by fewer than 100 persons, such transfer will be null and void and the intended transferee will acquire no rights in such shares. In addition, if any purported transfer of shares of our stock or any other event would otherwise result in any person violating the ownership limits or such other limit established by our board of directors or in our being “closely held” under Section 856(h) of the Code or otherwise failing to qualify as a REIT, then generally that number of shares (rounded up to the nearest whole share) that would cause us to violate such restrictions will be automatically transferred to, and held by, a trust for the exclusive benefit of one or more charitable organizations selected by us and the intended transferee will acquire no rights in such shares. The automatic transfer will be effective as of the close of business on the business day prior to the</w:t>
      </w:r>
    </w:p>
    <w:p>
      <w:pPr>
        <w:sectPr>
          <w:pgSz w:w="11900" w:h="16838" w:orient="portrait"/>
          <w:cols w:equalWidth="0" w:num="1">
            <w:col w:w="9879"/>
          </w:cols>
          <w:pgMar w:left="580" w:top="90" w:right="1440" w:bottom="1440" w:gutter="0" w:footer="0" w:header="0"/>
        </w:sectPr>
      </w:pPr>
    </w:p>
    <w:p>
      <w:pPr>
        <w:spacing w:after="0" w:line="38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45" w:lineRule="auto"/>
        <w:rPr>
          <w:sz w:val="20"/>
          <w:szCs w:val="20"/>
          <w:color w:val="auto"/>
        </w:rPr>
      </w:pPr>
      <w:r>
        <w:rPr>
          <w:rFonts w:ascii="Arial" w:cs="Arial" w:eastAsia="Arial" w:hAnsi="Arial"/>
          <w:sz w:val="18"/>
          <w:szCs w:val="18"/>
          <w:color w:val="auto"/>
        </w:rPr>
        <w:t>date of the violative transfer or other event that results in a transfer to the trust. Any dividend or other distribution paid to the prohibited owner, prior to our discovery that the shares had been automatically transferred to a trust as described above, must be repaid to the trustee upon demand for the benefit of the charitable beneficiary of the trust. If the transfer to the trust as described above is not automatically effective, for any reason, to prevent violation of the applicable ownership limits, or our being “closely held” under Section 856(h) of the Code or otherwise failing to qualify as a REIT or the ownership and transfer restrictions described above, then our charter provides that the transfer of the shares will be null and void and the intended transferee will acquire no rights in such shares of stock.</w:t>
      </w:r>
    </w:p>
    <w:p>
      <w:pPr>
        <w:spacing w:after="0" w:line="11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Shares of stock transferred to the trustee are deemed offered for sale to us, or our designee, at a price per share equal to the lesser of (i) the price paid by the prohibited owner for the shares (or, in the event of a gift, devise or other such transaction, the last reported sales price reported on the NYSE (or other applicable exchange) on the day of the event which resulted in the transfer of such shares of stock to the trust) and</w:t>
      </w:r>
    </w:p>
    <w:p>
      <w:pPr>
        <w:spacing w:after="0" w:line="2" w:lineRule="exact"/>
        <w:rPr>
          <w:sz w:val="20"/>
          <w:szCs w:val="20"/>
          <w:color w:val="auto"/>
        </w:rPr>
      </w:pPr>
    </w:p>
    <w:p>
      <w:pPr>
        <w:ind w:left="1260" w:right="419"/>
        <w:spacing w:after="0" w:line="257" w:lineRule="auto"/>
        <w:tabs>
          <w:tab w:leader="none" w:pos="154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market price on the date we, or our designee, accepts such offer. We have the right to accept such offer until the trustee has sold the shares of our stock held in the trust pursuant to the clauses discussed below. Upon a sale to us, the interest of the charitable beneficiary in the shares sold terminates, the trustee must distribute the net proceeds of the sale to the prohibited owner but the trustee may reduce the amount payable to the prohibited owner by the amount of dividends and other distributions which have been paid to the prohibited owner and are owed by the prohibited owner to the trustee. To the extent the prohibited owner would receive an amount for such shares that exceeds the amount that such prohibited owner would have been entitled to receive had the trustee sold the shares held in the trust to a third party, such excess shall be retained by the trustee for the benefit of the charitable beneficiary.</w:t>
      </w:r>
    </w:p>
    <w:p>
      <w:pPr>
        <w:spacing w:after="0" w:line="112"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If we do not buy the shares, the trustee must, within 20 days of receiving notice from us of the transfer of shares to the trust, sell the shares of capital stock to a person designated by the trustee who could own the shares without violating the ownership limitations set forth in the charter. Upon such sale, the interest of the charitable beneficiary in the shares sold shall terminate and the trustee must distribute to the prohibited owner an amount equal to the lesser of (i) the price paid by the prohibited owner for the shares (or, in the event of a gift, devise or other such transaction, the last reported sales price reported on the NYSE (or other applicable exchange) on the day of the event which resulted in the transfer of such shares of stock to the trust) and (ii) the sales proceeds (net of commissions and other expenses of sale) received by the trustee for the shares. The trustee will reduce the amount payable to the prohibited owner by the amount of dividends and other distributions which have been paid to the prohibited owner and are owed by the prohibited owner to the trustee. Any net sales proceeds in excess of the amount payable to the prohibited owner will be immediately paid to the beneficiary of the trust and any dividend or other distribution paid to trustee shall be held in trust for the charitable beneficiary. In addition, if, prior to discovery by us that shares of stock have been transferred to a trust, such shares of stock are sold by a prohibited owner, then such shares will be deemed to have been sold on behalf of the trust and to the extent that the prohibited owner received an amount for such shares that exceeds the amount that such prohibited owner was entitled to receive, such excess amount will be paid to the trustee upon demand. The prohibited owner has no rights in the shares held by the trustee.</w:t>
      </w:r>
    </w:p>
    <w:p>
      <w:pPr>
        <w:spacing w:after="0" w:line="109"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The trustee will be designated by us and will be unaffiliated with us and with any prohibited owner. Prior to the sale of any shares by the trust, the trustee will receive, in trust for the beneficiary of the trust, all dividends and other distributions paid by us with respect to the shares held in trust and may also exercise all voting rights with respect to the shares held in trust. These rights will be exercised for the exclusive benefit of the beneficiary of the trust. Any dividend or other distribution paid prior to our discovery that shares of stock have been transferred to the trust will be paid by the recipient to the trustee upon demand. Any dividend or other distribution authorized but unpaid will be paid when due to the trustee.</w:t>
      </w:r>
    </w:p>
    <w:p>
      <w:pPr>
        <w:spacing w:after="0" w:line="110"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Subject to Maryland law, effective as of the date that the shares have been transferred to the trust, the trustee will have the authority, at the trustee’s sole discretion:</w:t>
      </w:r>
    </w:p>
    <w:p>
      <w:pPr>
        <w:spacing w:after="0" w:line="62" w:lineRule="exact"/>
        <w:rPr>
          <w:sz w:val="20"/>
          <w:szCs w:val="20"/>
          <w:color w:val="auto"/>
        </w:rPr>
      </w:pPr>
    </w:p>
    <w:p>
      <w:pPr>
        <w:ind w:left="1800" w:right="77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rescind as void any vote cast by a prohibited owner prior to our discovery that the shares have been transferred to the trust; and</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recast the vote in accordance with the desires of the trustee acting for the benefit of the beneficiary of the trust.</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However, if we have already taken irreversible corporate action, then the trustee may not rescind and recast the vote.</w:t>
      </w:r>
    </w:p>
    <w:p>
      <w:pPr>
        <w:spacing w:after="0" w:line="89"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In addition, if our board of directors determine that a proposed transfer would violate the restrictions on ownership and transfer of our shares of stock set forth in our charter, our board of directors will take such action as it deems or they deem advisable to refuse to give effect to or to prevent such transfer, including, but not limited to, causing us to redeem the shares of stock, refusing to give effect to the transfer on our books or instituting proceedings to enjoin the transfer.</w:t>
      </w:r>
    </w:p>
    <w:p>
      <w:pPr>
        <w:spacing w:after="0" w:line="118"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Every owner of 5% or more (or such lower percentage as required by the Code or the regulations</w:t>
      </w:r>
    </w:p>
    <w:p>
      <w:pPr>
        <w:spacing w:after="0" w:line="12"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auto"/>
        </w:rPr>
        <w:t>promulgated thereunder) of the outstanding shares of our capital stock at any time during our taxable year, within 30 days after the end of each taxable year, is required to give us written notice, stating the stockholder’s name and address, the number of shares of each class and series of our stock that the stockholder beneficially owns and a description of the manner in which the shares are held. Each such owner must provide us with such additional information as we may request in order to determine the effect, if any, of the stockholder’s beneficial ownership on our qualification as a REIT and to ensure compliance with the ownership limits. In addition, each stockholder must provide us with such information as we may request in order to determine our qualification as a REIT and to comply with the requirements of any taxing authority or governmental authority or to determine such compliance.</w:t>
      </w:r>
    </w:p>
    <w:p>
      <w:pPr>
        <w:spacing w:after="0" w:line="125"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Any certificates, or written statements of information delivered in lieu of certificates, representing shares of our stock will bear a legend referring to the restrictions described above.</w:t>
      </w:r>
    </w:p>
    <w:p>
      <w:pPr>
        <w:spacing w:after="0" w:line="103"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These restrictions on ownership and transfer will not apply if our board of directors determines that it is no longer in our best interests to qualify as a REIT or that compliance with such provisions is no longer required for REIT qualification.</w:t>
      </w:r>
    </w:p>
    <w:p>
      <w:pPr>
        <w:spacing w:after="0" w:line="107"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7"/>
          <w:szCs w:val="17"/>
          <w:color w:val="auto"/>
        </w:rPr>
        <w:t>These ownership limits could delay, defer or prevent a transaction or a change in control that might involve a premium price for our common stock or otherwise be in the best interest of our stockholders.</w:t>
      </w:r>
    </w:p>
    <w:p>
      <w:pPr>
        <w:spacing w:after="0" w:line="14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Transfer Agent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When we offer to sell a particular class or series of preferred stock, we will describe the specific terms of the class or series in a prospectus supplement. Accordingly, for a description of the terms of any class or series of preferred stock, you must refer to both the prospectus supplement relating to that class or series and the description of stock in this prospectus. To the extent the information contained in the prospectus supplement differs from this summary description, you should rely on the information in the prospectus supplement.</w:t>
      </w:r>
    </w:p>
    <w:p>
      <w:pPr>
        <w:spacing w:after="0" w:line="20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General</w:t>
      </w:r>
    </w:p>
    <w:p>
      <w:pPr>
        <w:spacing w:after="0" w:line="144"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Our charter provides that we may issue up to 50,000,000 shares of preferred stock. As of March 31, 2023, we had no shares of preferred stock issued and outstanding.</w:t>
      </w:r>
    </w:p>
    <w:p>
      <w:pPr>
        <w:spacing w:after="0" w:line="89"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Our charter authorizes our board of directors to classify and reclassify any unissued shares of preferred stock into one or more classes or series of preferred stock. Prior to issuance of shares of each new class or series, our board of directors is required by the MGCL and our charter to set, subject to the provisions of our charter regarding the restrictions on ownership and transfer of our stock, the preferences, conversion or other rights, voting powers, restrictions, limitations as to dividends or other distributions, qualifications or terms or conditions of redemption of each such class or series. As a result, our board of directors could authorize the issuance of shares of preferred stock that have priority over shares of our common stock with respect to dividends or other distributions or rights upon liquidation or with other terms and conditions that could have the effect of delaying, deferring or preventing a transaction or a change of control of our company that might involve a premium price for holders of our common stock or that our common stockholders otherwise believe to be in their best interests.</w:t>
      </w: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The specific terms of a particular class or series of preferred stock will be described in the prospectus supplement relating to that class or series, including a prospectus supplement providing that preferred stock may be issuable upon the exercise of warrants or the exercise or conversion of other securities we issue. The description of preferred stock set forth below and the description of the terms of a particular class or series of preferred stock set forth in the applicable prospectus supplement do not purport to be complete and are qualified in their entirety by reference to the articles supplementary or other charter provisions relating to that class or series.</w:t>
      </w:r>
    </w:p>
    <w:p>
      <w:pPr>
        <w:spacing w:after="0" w:line="120"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Under Maryland law, stockholders are not generally liable for our debts or obligations solely as a result of their status as stockholders.</w:t>
      </w:r>
    </w:p>
    <w:p>
      <w:pPr>
        <w:spacing w:after="0" w:line="89"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The preferences and other terms of the preferred stock of each class or series will be fixed by the articles supplementary relating to such class or series. A prospectus supplement, relating to each class or series, will specify the terms of the class or series of preferred stock as follows:</w:t>
      </w:r>
    </w:p>
    <w:p>
      <w:pPr>
        <w:spacing w:after="0" w:line="74"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par value of such class or series of preferred stock,</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shares of such class or series of preferred stock offered, the liquidation preference per share and the offering price of such class or series of preferred stock,</w:t>
      </w:r>
    </w:p>
    <w:p>
      <w:pPr>
        <w:spacing w:after="0" w:line="4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thereof applicable to such class or series of preferred stock,</w:t>
      </w:r>
    </w:p>
    <w:p>
      <w:pPr>
        <w:spacing w:after="0" w:line="62" w:lineRule="exact"/>
        <w:rPr>
          <w:rFonts w:ascii="Arial" w:cs="Arial" w:eastAsia="Arial" w:hAnsi="Arial"/>
          <w:sz w:val="18"/>
          <w:szCs w:val="18"/>
          <w:color w:val="auto"/>
        </w:rPr>
      </w:pPr>
    </w:p>
    <w:p>
      <w:pPr>
        <w:ind w:left="1800" w:right="459" w:hanging="180"/>
        <w:spacing w:after="0" w:line="308"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whether dividends on such class or series of preferred stock are cumulative or not and, if cumulative, the date from which dividends on such class or series of preferred stock shall accumulate,</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 for a sinking fund, if any, for such class or series of preferred stock,</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 for redemption, if applicable, of such class or series of preferred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listing of such class or series of preferred stock on any securities exchange,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preemptive rights, if any, of such class or series of preferred stock,</w:t>
      </w:r>
    </w:p>
    <w:p>
      <w:pPr>
        <w:spacing w:after="0" w:line="117" w:lineRule="exact"/>
        <w:rPr>
          <w:rFonts w:ascii="Arial" w:cs="Arial" w:eastAsia="Arial" w:hAnsi="Arial"/>
          <w:sz w:val="18"/>
          <w:szCs w:val="18"/>
          <w:color w:val="auto"/>
        </w:rPr>
      </w:pPr>
    </w:p>
    <w:p>
      <w:pPr>
        <w:ind w:left="1800" w:right="459" w:hanging="180"/>
        <w:spacing w:after="0" w:line="286"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terms and conditions, if applicable, upon which shares such class or series of preferred stock will be convertible into shares of our common stock or shares of any other class or series of our stock or other securities, including the conversion price (or manner of calculation thereof),</w:t>
      </w:r>
    </w:p>
    <w:p>
      <w:pPr>
        <w:spacing w:after="0" w:line="57" w:lineRule="exact"/>
        <w:rPr>
          <w:rFonts w:ascii="Arial" w:cs="Arial" w:eastAsia="Arial" w:hAnsi="Arial"/>
          <w:sz w:val="17"/>
          <w:szCs w:val="17"/>
          <w:color w:val="auto"/>
        </w:rPr>
      </w:pPr>
    </w:p>
    <w:p>
      <w:pPr>
        <w:ind w:left="1800" w:right="51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discussion of any additional material federal income tax consequences applicable to an investment in such class or series of preferred stock,</w:t>
      </w:r>
    </w:p>
    <w:p>
      <w:pPr>
        <w:spacing w:after="0" w:line="48"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limitations on actual, beneficial and constructive ownership and restrictions on transfer, in each case as may be appropriate to assist us to preserve our status as a REIT,</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relative ranking and preferences of such class or series of preferred stock as to dividend rights and rights upon liquidation, dissolution or winding up of the affairs of our company,</w:t>
      </w:r>
    </w:p>
    <w:p>
      <w:pPr>
        <w:spacing w:after="0" w:line="48"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stock ranking senior to or on parity with such class or series of preferred stock as to dividend rights and rights upon liquidation, dissolution or winding up of the affairs of our company,</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voting rights of such class or series of preferred stock, and</w:t>
      </w:r>
    </w:p>
    <w:p>
      <w:pPr>
        <w:spacing w:after="0" w:line="117"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such class or series of preferred stock.</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Rank</w:t>
      </w:r>
    </w:p>
    <w:p>
      <w:pPr>
        <w:spacing w:after="0" w:line="144"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Unless otherwise specified in the applicable prospectus supplement, each class or series of preferred stock will, with respect to dividend rights and rights upon liquidation, dissolution or winding up of our company, rank: (1) senior to all classes or series of our common stock, and to any other class or series of our stock expressly designated as ranking junior to such class or series of preferred stock; (2) on parity with any class or series of our stock expressly designated as ranking on parity with such class or series of preferred stock; and (3) junior to any other class or series of our stock expressly designated as ranking senior to such class or series of preferred stock.</w:t>
      </w:r>
    </w:p>
    <w:p>
      <w:pPr>
        <w:sectPr>
          <w:pgSz w:w="11900" w:h="16838" w:orient="portrait"/>
          <w:cols w:equalWidth="0" w:num="1">
            <w:col w:w="9879"/>
          </w:cols>
          <w:pgMar w:left="580" w:top="90" w:right="1440" w:bottom="1440" w:gutter="0" w:footer="0" w:header="0"/>
        </w:sectPr>
      </w:pPr>
    </w:p>
    <w:p>
      <w:pPr>
        <w:spacing w:after="0" w:line="37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Conversion Rights</w:t>
      </w:r>
    </w:p>
    <w:p>
      <w:pPr>
        <w:spacing w:after="0" w:line="158" w:lineRule="exact"/>
        <w:rPr>
          <w:sz w:val="20"/>
          <w:szCs w:val="20"/>
          <w:color w:val="auto"/>
        </w:rPr>
      </w:pPr>
    </w:p>
    <w:p>
      <w:pPr>
        <w:ind w:left="1260" w:right="479" w:firstLine="360"/>
        <w:spacing w:after="0" w:line="244" w:lineRule="auto"/>
        <w:rPr>
          <w:sz w:val="20"/>
          <w:szCs w:val="20"/>
          <w:color w:val="auto"/>
        </w:rPr>
      </w:pPr>
      <w:r>
        <w:rPr>
          <w:rFonts w:ascii="Arial" w:cs="Arial" w:eastAsia="Arial" w:hAnsi="Arial"/>
          <w:sz w:val="18"/>
          <w:szCs w:val="18"/>
          <w:color w:val="auto"/>
        </w:rPr>
        <w:t>The terms and conditions, if any, upon which any shares of any class or series of preferred stock are convertible into shares of our common stock or shares of any other class or series of our stock or other securities will be set forth in the applicable prospectus supplement relating thereto. Such terms will include the number of shares of our common stock or the number of shares of such other class or series of our stock or other securities into which the shares of preferred stock are convertible, the conversion price (or manner of calculation thereof), the conversion period, provisions as to whether conversion will be at the option of the holders of such class or series of preferred stock, the events requiring an adjustment of the conversion price and provisions affecting conversion in the event of the redemption of such class or series of preferred stock.</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Restrictions on Ownership and Transfer</w:t>
      </w:r>
    </w:p>
    <w:p>
      <w:pPr>
        <w:spacing w:after="0" w:line="15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To assist us in complying with certain federal income tax requirements applicable to REITs, we expect that each class or series of preferred stock offered pursuant to this prospectus will be subject to certain restrictions relating to the ownership and transfer of such class or series of preferred stock set forth in our charter, including the articles supplementary for each such class or series. The applicable prospectus supplement will specify any ownership limitations relating to such class or series. See “— Common Stock — Restrictions on Ownership and Transfer” for a description of the restrictions on ownership and transfer applicable to shares of our common stock and to shares of our capital stock in the aggregate (including any and all classes or series of our preferred stock).</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Caret Units</w:t>
      </w:r>
    </w:p>
    <w:p>
      <w:pPr>
        <w:spacing w:after="0" w:line="162"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We have created units of limited liability company interest in our operating company, which we refer to as Caret units, that generally entitle holders to amounts equal to the net proceeds from the disposition of Ground Lease assets in excess of the cost borne by us to acquire such Ground Lease assets (including amounts paid to the tenant in connection with the initial development of improvements at the properties). However, we are entitled to deduct from the amount payable to holders of Caret units on account of such net proceeds: (i) accrued unpaid rent under the applicable Ground Lease; and (ii) (a) unrecovered acquisition costs borne by our operating company in connection with other Ground Lease assets that were disposed following the termination of the applicable Ground Lease by reason of default of tenants, and</w:t>
      </w:r>
    </w:p>
    <w:p>
      <w:pPr>
        <w:spacing w:after="0" w:line="3" w:lineRule="exact"/>
        <w:rPr>
          <w:sz w:val="20"/>
          <w:szCs w:val="20"/>
          <w:color w:val="auto"/>
        </w:rPr>
      </w:pPr>
    </w:p>
    <w:p>
      <w:pPr>
        <w:ind w:left="1260" w:right="419"/>
        <w:spacing w:after="0" w:line="251" w:lineRule="auto"/>
        <w:tabs>
          <w:tab w:leader="none" w:pos="15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unrecovered costs relating to the issuance, maintenance and management of Caret units as a separate security, among other costs. The number of authorized Caret units is a fixed amount. We have an equity incentive plan providing for grants of Caret units (the “Caret Plan”) to our directors, officers and employees and other eligible participants. Such grants are subject to stock price hurdles and time-based service conditions. As of March 31, 2023, we hold 8,000,000 Caret units, representing 82.2% of the then-outstanding Caret units and 66.67% of the then-authorized Caret units. As of March 31, 2023, participants in the CARET Plan hold 1,499,757 Caret units, representing 15.41% of the then-outstanding Caret units and 12.50% of the then-authorized Caret units. As of March 31, 2023, third-party investors hold 231,071 Caret units, representing 2.37% of the then-outstanding Caret units and 1.93% of the then-authorized Caret units. We may choose to sell a portion of the Caret units we hold to third parties in the future, which would reduce our percentage interest (and indirectly the interest of our stockholders) in cash distributions in respect of Caret units. Issuances of additional shares of our common stock will reduce an individual stockholder’s indirect interest in Caret units, while the interests of Caret unit holders are fixed. Conflicts of interest could arise between the interests of holders of Caret units and holders of our common stock with respect to decisions of whether to issue additional common stock and extend, sell or hold a Ground Lease or combined property in the future.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Agreements with Certain Investors</w:t>
      </w:r>
    </w:p>
    <w:p>
      <w:pPr>
        <w:spacing w:after="0" w:line="162"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i w:val="1"/>
          <w:iCs w:val="1"/>
          <w:color w:val="auto"/>
        </w:rPr>
        <w:t>SFTY Venture LLC</w:t>
      </w:r>
      <w:r>
        <w:rPr>
          <w:rFonts w:ascii="Arial" w:cs="Arial" w:eastAsia="Arial" w:hAnsi="Arial"/>
          <w:sz w:val="17"/>
          <w:szCs w:val="17"/>
          <w:color w:val="auto"/>
        </w:rPr>
        <w:t>. In connection with our merger with Old Safehold, we assumed Old Safehold’s</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a stockholder’s agreement with SFTY Venture LLC, which made an investment in Old Safehold prior to its initial public offering. The stockholder’s agreement with SFTY Ventures LLC provides the investor the right to purchase additional shares of our common stock up to an amount equal to 10% of future issuances of common stock by us in single issuances of at least $1 million, and on a quarterly basis</w:t>
      </w:r>
    </w:p>
    <w:p>
      <w:pPr>
        <w:sectPr>
          <w:pgSz w:w="11900" w:h="16838" w:orient="portrait"/>
          <w:cols w:equalWidth="0" w:num="1">
            <w:col w:w="9879"/>
          </w:cols>
          <w:pgMar w:left="580" w:top="90" w:right="1440" w:bottom="1440" w:gutter="0" w:footer="0" w:header="0"/>
        </w:sectPr>
      </w:pPr>
    </w:p>
    <w:p>
      <w:pPr>
        <w:spacing w:after="0" w:line="35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spacing w:after="0" w:line="257" w:lineRule="auto"/>
        <w:rPr>
          <w:sz w:val="20"/>
          <w:szCs w:val="20"/>
          <w:color w:val="auto"/>
        </w:rPr>
      </w:pPr>
      <w:r>
        <w:rPr>
          <w:rFonts w:ascii="Arial" w:cs="Arial" w:eastAsia="Arial" w:hAnsi="Arial"/>
          <w:sz w:val="17"/>
          <w:szCs w:val="17"/>
          <w:color w:val="auto"/>
        </w:rPr>
        <w:t>in respect of other issuances. The purchase price paid by SFTY Venture LLC will generally be the same price as the price per share implied by the transaction that resulted in the relevant issuance. SFTY Venture LLC will also have the right to designate a non-voting board observer and participate as a co- investor in real estate investments for which we are seeking co-investment partners. The foregoing rights are conditioned on SFTY Venture LLC owning at least the lesser of (i) 5.0% of our outstanding common stock and (ii) common stock with a value of $50 million. Based solely on a Schedule 13D filed with the SEC on December 27, 2021, SFTY Venture LLC holds 2,125,000 shares of common stock, or 3.3% based on approximately 63,929,647 shares of common stock outstanding as of March 31, 2023. GIC Real Estate, Inc., the investment manager for SFTY Venture LLC, has the power to vote and dispose of the 2,125,000 shares held directly by SFTY Venture LLC. GIC Real Estate, Inc. shares such powers with GIC Real Estate Private Limited and GIC Private Limited. In addition to the shares held by SFTY Ventures LLC, GIC Private Limited holds 2,123,435 shares of common stock. Jesse Hom, our director, is an employee of GIC Real Estate Private Limited, and affiliate of SFTY Venture LLC.</w:t>
      </w:r>
    </w:p>
    <w:p>
      <w:pPr>
        <w:spacing w:after="0" w:line="114" w:lineRule="exact"/>
        <w:rPr>
          <w:sz w:val="20"/>
          <w:szCs w:val="20"/>
          <w:color w:val="auto"/>
        </w:rPr>
      </w:pPr>
    </w:p>
    <w:p>
      <w:pPr>
        <w:jc w:val="center"/>
        <w:ind w:right="-460"/>
        <w:spacing w:after="0"/>
        <w:tabs>
          <w:tab w:leader="none" w:pos="120" w:val="left"/>
        </w:tabs>
        <w:rPr>
          <w:sz w:val="20"/>
          <w:szCs w:val="20"/>
          <w:color w:val="auto"/>
        </w:rPr>
      </w:pPr>
      <w:r>
        <w:rPr>
          <w:rFonts w:ascii="Arial" w:cs="Arial" w:eastAsia="Arial" w:hAnsi="Arial"/>
          <w:sz w:val="18"/>
          <w:szCs w:val="18"/>
          <w:i w:val="1"/>
          <w:iCs w:val="1"/>
          <w:color w:val="auto"/>
        </w:rPr>
        <w:t>MSD Partners, L.P.</w:t>
      </w:r>
      <w:r>
        <w:rPr>
          <w:sz w:val="20"/>
          <w:szCs w:val="20"/>
          <w:color w:val="auto"/>
        </w:rPr>
        <w:tab/>
      </w:r>
      <w:r>
        <w:rPr>
          <w:rFonts w:ascii="Arial" w:cs="Arial" w:eastAsia="Arial" w:hAnsi="Arial"/>
          <w:sz w:val="17"/>
          <w:szCs w:val="17"/>
          <w:color w:val="auto"/>
        </w:rPr>
        <w:t>On August 10, 2022, iStar, Old Safehold and MSD Partners, L.P. (“MSD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Partners”) entered into a stock purchase agreement pursuant to which MSD Partners agreed to purchase</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5,405,406 shares of Old Safehold common stock from iStar for an aggregate purchase price of</w:t>
      </w:r>
    </w:p>
    <w:p>
      <w:pPr>
        <w:ind w:left="1260"/>
        <w:spacing w:after="0"/>
        <w:rPr>
          <w:sz w:val="20"/>
          <w:szCs w:val="20"/>
          <w:color w:val="auto"/>
        </w:rPr>
      </w:pPr>
      <w:r>
        <w:rPr>
          <w:rFonts w:ascii="Arial" w:cs="Arial" w:eastAsia="Arial" w:hAnsi="Arial"/>
          <w:sz w:val="17"/>
          <w:szCs w:val="17"/>
          <w:color w:val="auto"/>
        </w:rPr>
        <w:t>$200,000,022.00, or $37.00 per share, payable in cash (the “MSD Stock Purchase”). MSD Partners’ rights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and obligations under the stock purchase agreement were subsequently assigned to certain of its affiliates. In</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connection with the closing of the MSD Stock Purchase on March 31, 2023, immediately prior to the</w:t>
      </w:r>
    </w:p>
    <w:p>
      <w:pPr>
        <w:ind w:left="1260"/>
        <w:spacing w:after="0"/>
        <w:rPr>
          <w:sz w:val="20"/>
          <w:szCs w:val="20"/>
          <w:color w:val="auto"/>
        </w:rPr>
      </w:pPr>
      <w:r>
        <w:rPr>
          <w:rFonts w:ascii="Arial" w:cs="Arial" w:eastAsia="Arial" w:hAnsi="Arial"/>
          <w:sz w:val="17"/>
          <w:szCs w:val="17"/>
          <w:color w:val="auto"/>
        </w:rPr>
        <w:t>effective time of the merger between us and Old Safehold, we and the affiliates of MSD Partners entered</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into a stockholder’s agreement (the “MSD Stockholder’s Agreement”), which became effective at the</w:t>
      </w:r>
    </w:p>
    <w:p>
      <w:pPr>
        <w:ind w:left="1260"/>
        <w:spacing w:after="0"/>
        <w:rPr>
          <w:sz w:val="20"/>
          <w:szCs w:val="20"/>
          <w:color w:val="auto"/>
        </w:rPr>
      </w:pPr>
      <w:r>
        <w:rPr>
          <w:rFonts w:ascii="Arial" w:cs="Arial" w:eastAsia="Arial" w:hAnsi="Arial"/>
          <w:sz w:val="18"/>
          <w:szCs w:val="18"/>
          <w:color w:val="auto"/>
        </w:rPr>
        <w:t>effective time of the merger between us and Old Safehold.</w:t>
      </w:r>
    </w:p>
    <w:p>
      <w:pPr>
        <w:spacing w:after="0" w:line="128"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The stockholder’s agreement provides the affiliates of MSD Partners with a top- up right to purchase common stock of the Company following certain new issuances of common stock by us. In respect of a new issuance, the affiliates of MSD Partners will have the right to purchase a number of shares of our common stock equal to its proportionate share of the new issuance, based on the MSD Partners affiliates’ then current percentage ownership of our common stock. The MSD Partners affiliates will pay the same price to us as third parties paid in the new issuance. New issuances pursuant to our equity compensation plans are excluded from the MSD Partners affiliates’ right.</w:t>
      </w:r>
    </w:p>
    <w:p>
      <w:pPr>
        <w:spacing w:after="0" w:line="120"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The stockholder’s agreement prohibits the MSD Partners affiliates from transferring any of our common stock it acquired in the MSD Stock Purchase on or before September 30, 2023, without our prior consent, not to be unreasonably withheld. Certain transfers to affiliates and bona fide pledges are excluded.</w:t>
      </w:r>
    </w:p>
    <w:p>
      <w:pPr>
        <w:spacing w:after="0" w:line="84"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The stockholder’s agreement also provides that (i) the affiliates of MSD Partners will be subject to certain standstill restrictions and (ii) the affiliates of MSD Partners will have the right to designate an observer to our board of directors, in each case, until such time as MSD Partners and its affiliates own less than 5.0% of our outstanding common stock, as calculated in accordance with the stockholder’s agreement.</w:t>
      </w:r>
    </w:p>
    <w:p>
      <w:pPr>
        <w:spacing w:after="0" w:line="104"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i w:val="1"/>
          <w:iCs w:val="1"/>
          <w:color w:val="auto"/>
        </w:rPr>
        <w:t>Star Holdings</w:t>
      </w:r>
      <w:r>
        <w:rPr>
          <w:rFonts w:ascii="Arial" w:cs="Arial" w:eastAsia="Arial" w:hAnsi="Arial"/>
          <w:sz w:val="18"/>
          <w:szCs w:val="18"/>
          <w:color w:val="auto"/>
        </w:rPr>
        <w:t>. At the closing of our merger with Old Safehold, we entered into the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Star Holdings, in order to establish various arrangements and restrictions with respect to the governance of our company, and certain rights and restrictions with respect to shares of our common stock owned by subsidiaries of Star Holdings, after the effective time of the merger.</w:t>
      </w:r>
    </w:p>
    <w:p>
      <w:pPr>
        <w:spacing w:after="0" w:line="119"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Pursuant to the terms of the governance agreement, Star Holdings and its subsidiaries are subject to customary restrictions on the transfer of any of our common stock held by Star Holdings or its subsidiaries for nine months following the closing date. Furthermore, Star Holdings and its subsidiaries are prohibited from transferring at any time any shares of our common stock held by Star Holdings or its subsidiaries to any person who is known by Star Holdings or its subsidiaries to be an “Activist” or “Company Competitor” (as such terms are defined in the governance agreement), or to any group that, to the knowledge of Star Holdings or its subsidiaries, includes as “Activist” or “Company Competitor,” without first obtaining our prior written consent.</w:t>
      </w:r>
    </w:p>
    <w:p>
      <w:pPr>
        <w:spacing w:after="0" w:line="111"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In addition, pursuant to the governance agreement, Star Holdings and its affiliates will be subject to customary standstill restrictions until the earliest to occur of: (a) the termination of the management agreement; (b) the date on which both (i) Star Holdings ceases to beneficially own at least 7.5% of the</w:t>
      </w:r>
    </w:p>
    <w:p>
      <w:pPr>
        <w:spacing w:after="0" w:line="3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outstanding shares of our common stock and (ii) Star Holdings is no longer managed by us or our affiliates; or (c) a “change of control” of our company (as such term is defined in the governance agreement) (together, the “restrictive period”).</w:t>
      </w:r>
    </w:p>
    <w:p>
      <w:pPr>
        <w:spacing w:after="0" w:line="116"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The standstill restrictions will limit Star Holdings’ and its affiliates’ purchases of additional shares of our common stock in excess of the ownership threshold then applicable to Star Holdings. The standstill restrictions will also restrict Star Holdings’ and its affiliates’ ability to, among other things, propose a merger or other acquisition transaction relating to all or part of our company, call a special meeting of the stockholders, submit any stockholder proposal, participate in a group for such actions, enter into any voting trust or other agreement with respect to the voting of our common stock, or seek a change in the composition of our board of directors (including seeking representation on the board).</w:t>
      </w:r>
    </w:p>
    <w:p>
      <w:pPr>
        <w:spacing w:after="0" w:line="127"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In addition, during the restrictive period, Star Holdings and its subsidiaries will vote all shares of our common stock owned by them (a) in favor all persons nominated to serve as our directors by our board of directors or its nominating and corporate governance committee, (b) against any stockholder proposal that is not recommended by our board of directors and (c) in accordance with the recommendations of our board of directors on all other proposals brought before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DEBT SECURITIES</w:t>
      </w:r>
    </w:p>
    <w:p>
      <w:pPr>
        <w:spacing w:after="0" w:line="162" w:lineRule="exact"/>
        <w:rPr>
          <w:sz w:val="20"/>
          <w:szCs w:val="20"/>
          <w:color w:val="auto"/>
        </w:rPr>
      </w:pPr>
    </w:p>
    <w:p>
      <w:pPr>
        <w:ind w:left="1260" w:right="759" w:firstLine="360"/>
        <w:spacing w:after="0" w:line="249" w:lineRule="auto"/>
        <w:rPr>
          <w:sz w:val="20"/>
          <w:szCs w:val="20"/>
          <w:color w:val="auto"/>
        </w:rPr>
      </w:pPr>
      <w:r>
        <w:rPr>
          <w:rFonts w:ascii="Arial" w:cs="Arial" w:eastAsia="Arial" w:hAnsi="Arial"/>
          <w:sz w:val="18"/>
          <w:szCs w:val="18"/>
          <w:color w:val="auto"/>
        </w:rPr>
        <w:t>As used in this “Description of Debt Securities,” references to “we,” “our” or “us” refer either to Safehold Inc. or Safehold GL Holdings LLC, as the case may be, as the issuer of the applicable series of debt securities and not to any subsidiaries, unless otherwise expressly stated or the context otherwise requires.</w:t>
      </w:r>
    </w:p>
    <w:p>
      <w:pPr>
        <w:spacing w:after="0" w:line="113"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including the terms of any related guarantees. We will also indicate in the prospectus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08" w:lineRule="exact"/>
        <w:rPr>
          <w:sz w:val="20"/>
          <w:szCs w:val="20"/>
          <w:color w:val="auto"/>
        </w:rPr>
      </w:pPr>
    </w:p>
    <w:p>
      <w:pPr>
        <w:ind w:left="1260" w:right="479" w:firstLine="360"/>
        <w:spacing w:after="0" w:line="290" w:lineRule="auto"/>
        <w:rPr>
          <w:sz w:val="20"/>
          <w:szCs w:val="20"/>
          <w:color w:val="auto"/>
        </w:rPr>
      </w:pPr>
      <w:r>
        <w:rPr>
          <w:rFonts w:ascii="Arial" w:cs="Arial" w:eastAsia="Arial" w:hAnsi="Arial"/>
          <w:sz w:val="16"/>
          <w:szCs w:val="16"/>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83"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7"/>
          <w:szCs w:val="17"/>
          <w:color w:val="auto"/>
        </w:rPr>
        <w:t>Unless otherwise specified in a prospectus supplement, the debt securities will be issued under an indenture between us and U.S. Bank Trust Company, National Association, as trustee. We have summarized select portions of the indenture below. The summary is not complete. The form of the indenture has been filed as an exhibit to the registration statement of which this prospectus is a part and you should read the indenture and debt securities carefully for provisions that may be important to you. Capitalized terms used in the summary and not defined in this prospectus have the meanings specified in the indenture.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599" w:firstLine="360"/>
        <w:spacing w:after="0" w:line="244" w:lineRule="auto"/>
        <w:rPr>
          <w:sz w:val="20"/>
          <w:szCs w:val="20"/>
          <w:color w:val="auto"/>
        </w:rPr>
      </w:pPr>
      <w:r>
        <w:rPr>
          <w:rFonts w:ascii="Arial" w:cs="Arial" w:eastAsia="Arial" w:hAnsi="Arial"/>
          <w:sz w:val="18"/>
          <w:szCs w:val="18"/>
          <w:color w:val="auto"/>
        </w:rPr>
        <w:t>The terms of each series of debt securities will be established by or pursuant to a resolution of the board of directors of Safehold Inc., in its own capacity (with respect to debt securities of Safehold Inc.) or in its capacity as the managing member of Safehold GL Holdings LLC (with respect to debt securities of Safehold GL Holdings LLC), and set forth or determined in the manner provided in such resolution, in an officer’s certificate or by a supplemental indenture. The particular terms of each series of debt securities will be described in a prospectus supplement relating to such series, including any pricing supplement or term sheet.</w:t>
      </w:r>
    </w:p>
    <w:p>
      <w:pPr>
        <w:spacing w:after="0" w:line="120" w:lineRule="exact"/>
        <w:rPr>
          <w:sz w:val="20"/>
          <w:szCs w:val="20"/>
          <w:color w:val="auto"/>
        </w:rPr>
      </w:pPr>
    </w:p>
    <w:p>
      <w:pPr>
        <w:ind w:left="1260" w:right="559" w:firstLine="360"/>
        <w:spacing w:after="0" w:line="245" w:lineRule="auto"/>
        <w:rPr>
          <w:sz w:val="20"/>
          <w:szCs w:val="20"/>
          <w:color w:val="auto"/>
        </w:rPr>
      </w:pPr>
      <w:r>
        <w:rPr>
          <w:rFonts w:ascii="Arial" w:cs="Arial" w:eastAsia="Arial" w:hAnsi="Arial"/>
          <w:sz w:val="18"/>
          <w:szCs w:val="18"/>
          <w:color w:val="auto"/>
        </w:rPr>
        <w:t>Unless otherwise specified in a prospectus supplement, the indenture will designate U.S. Bank Trust Company, National Association as the trustee for the indenture with respect to one or more series of our debt securities. U.S. Bank Trust Company, National Association, or any other specified trustee, may resign or be removed with respect to one or more series of our debt securities, and a successor trustee may be appointed to act with respect to that series.</w:t>
      </w:r>
    </w:p>
    <w:p>
      <w:pPr>
        <w:spacing w:after="0" w:line="118"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to the extent applicable:</w:t>
      </w:r>
    </w:p>
    <w:p>
      <w:pPr>
        <w:spacing w:after="0" w:line="78"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issuer of the debt securities is Safehold Inc. or Safehold GL Holdings LLC,</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03"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on which the principal on the debt securities is payable,</w:t>
      </w:r>
    </w:p>
    <w:p>
      <w:pPr>
        <w:spacing w:after="0" w:line="90" w:lineRule="exact"/>
        <w:rPr>
          <w:rFonts w:ascii="Arial" w:cs="Arial" w:eastAsia="Arial" w:hAnsi="Arial"/>
          <w:sz w:val="18"/>
          <w:szCs w:val="18"/>
          <w:color w:val="auto"/>
        </w:rPr>
      </w:pPr>
    </w:p>
    <w:p>
      <w:pPr>
        <w:ind w:left="1800" w:right="439" w:hanging="180"/>
        <w:spacing w:after="0" w:line="308"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or the method used to determine the rate or rates (including any commodity, commodity index, stock exchange index or financial index)</w:t>
      </w:r>
    </w:p>
    <w:p>
      <w:pPr>
        <w:sectPr>
          <w:pgSz w:w="11900" w:h="16838" w:orient="portrait"/>
          <w:cols w:equalWidth="0" w:num="1">
            <w:col w:w="9879"/>
          </w:cols>
          <w:pgMar w:left="580" w:top="90" w:right="1440" w:bottom="1440" w:gutter="0" w:footer="0" w:header="0"/>
        </w:sectPr>
      </w:pP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639"/>
        <w:spacing w:after="0" w:line="256" w:lineRule="auto"/>
        <w:rPr>
          <w:sz w:val="20"/>
          <w:szCs w:val="20"/>
          <w:color w:val="auto"/>
        </w:rPr>
      </w:pPr>
      <w:r>
        <w:rPr>
          <w:rFonts w:ascii="Arial" w:cs="Arial" w:eastAsia="Arial" w:hAnsi="Arial"/>
          <w:sz w:val="18"/>
          <w:szCs w:val="18"/>
          <w:color w:val="auto"/>
        </w:rPr>
        <w:t>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67" w:lineRule="exact"/>
        <w:rPr>
          <w:sz w:val="20"/>
          <w:szCs w:val="20"/>
          <w:color w:val="auto"/>
        </w:rPr>
      </w:pPr>
    </w:p>
    <w:p>
      <w:pPr>
        <w:ind w:left="1800" w:right="639" w:hanging="180"/>
        <w:spacing w:after="0" w:line="259"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place or places where principal of, and any premium and interest on, the debt securities will be payable, the method of such payment, where debt securities may be surrendered for registration of transfer or exchange and where notices and demands to us relating to the debt securities may be delivered,</w:t>
      </w:r>
    </w:p>
    <w:p>
      <w:pPr>
        <w:spacing w:after="0" w:line="78"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48"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shall be redeemed or purchased, in whole or in part, pursuant to such obligation,</w:t>
      </w:r>
    </w:p>
    <w:p>
      <w:pPr>
        <w:spacing w:after="0" w:line="78" w:lineRule="exact"/>
        <w:rPr>
          <w:rFonts w:ascii="Arial" w:cs="Arial" w:eastAsia="Arial" w:hAnsi="Arial"/>
          <w:sz w:val="18"/>
          <w:szCs w:val="18"/>
          <w:color w:val="auto"/>
        </w:rPr>
      </w:pPr>
    </w:p>
    <w:p>
      <w:pPr>
        <w:jc w:val="both"/>
        <w:ind w:left="1800" w:right="439" w:hanging="180"/>
        <w:spacing w:after="0" w:line="342" w:lineRule="auto"/>
        <w:tabs>
          <w:tab w:leader="none" w:pos="1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dates on which and the price or prices at which we will repurchase debt securities at the option of the holders of debt securities and other detailed terms and provisions of these repurchase obligations,</w:t>
      </w:r>
    </w:p>
    <w:p>
      <w:pPr>
        <w:spacing w:after="0" w:line="2" w:lineRule="exact"/>
        <w:rPr>
          <w:rFonts w:ascii="Arial" w:cs="Arial" w:eastAsia="Arial" w:hAnsi="Arial"/>
          <w:sz w:val="16"/>
          <w:szCs w:val="16"/>
          <w:color w:val="auto"/>
        </w:rPr>
      </w:pPr>
    </w:p>
    <w:p>
      <w:pPr>
        <w:ind w:left="1800" w:right="53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62"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4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62"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75"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and any premium and interest on, the debt securities will be made,</w:t>
      </w:r>
    </w:p>
    <w:p>
      <w:pPr>
        <w:spacing w:after="0" w:line="48"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payments of principal of, or any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78" w:lineRule="exact"/>
        <w:rPr>
          <w:rFonts w:ascii="Arial" w:cs="Arial" w:eastAsia="Arial" w:hAnsi="Arial"/>
          <w:sz w:val="18"/>
          <w:szCs w:val="18"/>
          <w:color w:val="auto"/>
        </w:rPr>
      </w:pPr>
    </w:p>
    <w:p>
      <w:pPr>
        <w:ind w:left="1800" w:right="459" w:hanging="180"/>
        <w:spacing w:after="0" w:line="25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any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66"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or any guarantees,</w:t>
      </w:r>
    </w:p>
    <w:p>
      <w:pPr>
        <w:spacing w:after="0" w:line="117" w:lineRule="exact"/>
        <w:rPr>
          <w:rFonts w:ascii="Arial" w:cs="Arial" w:eastAsia="Arial" w:hAnsi="Arial"/>
          <w:sz w:val="18"/>
          <w:szCs w:val="18"/>
          <w:color w:val="auto"/>
        </w:rPr>
      </w:pPr>
    </w:p>
    <w:p>
      <w:pPr>
        <w:jc w:val="both"/>
        <w:ind w:left="1800" w:right="599" w:hanging="180"/>
        <w:spacing w:after="0" w:line="311" w:lineRule="auto"/>
        <w:tabs>
          <w:tab w:leader="none" w:pos="1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(as defined below) described in this prospectus or in the indenture with respect to the debt securities and any change in the acceleration provisions described in this prospectus or in the indenture with respect to the debt securities,</w:t>
      </w:r>
    </w:p>
    <w:p>
      <w:pPr>
        <w:spacing w:after="0" w:line="40" w:lineRule="exact"/>
        <w:rPr>
          <w:rFonts w:ascii="Arial" w:cs="Arial" w:eastAsia="Arial" w:hAnsi="Arial"/>
          <w:sz w:val="16"/>
          <w:szCs w:val="16"/>
          <w:color w:val="auto"/>
        </w:rPr>
      </w:pPr>
    </w:p>
    <w:p>
      <w:pPr>
        <w:ind w:left="1800" w:right="115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described in this prospectus or in the indenture with respect to the debt securities,</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discussion of any additional material United States federal income tax considerations applicable to an investment in the debt securities,</w:t>
      </w:r>
    </w:p>
    <w:p>
      <w:pPr>
        <w:spacing w:after="0" w:line="48"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62" w:lineRule="exact"/>
        <w:rPr>
          <w:rFonts w:ascii="Arial" w:cs="Arial" w:eastAsia="Arial" w:hAnsi="Arial"/>
          <w:sz w:val="18"/>
          <w:szCs w:val="18"/>
          <w:color w:val="auto"/>
        </w:rPr>
      </w:pPr>
    </w:p>
    <w:p>
      <w:pPr>
        <w:jc w:val="both"/>
        <w:ind w:left="1800" w:right="999" w:hanging="180"/>
        <w:spacing w:after="0" w:line="308"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provisions, if any, relating to conversion or exchange of any debt securities of such series, including if applicable, the conversion or exchange price and period, provisions as to whether</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619"/>
        <w:spacing w:after="0" w:line="277" w:lineRule="auto"/>
        <w:rPr>
          <w:sz w:val="20"/>
          <w:szCs w:val="20"/>
          <w:color w:val="auto"/>
        </w:rPr>
      </w:pPr>
      <w:r>
        <w:rPr>
          <w:rFonts w:ascii="Arial" w:cs="Arial" w:eastAsia="Arial" w:hAnsi="Arial"/>
          <w:sz w:val="18"/>
          <w:szCs w:val="18"/>
          <w:color w:val="auto"/>
        </w:rPr>
        <w:t>conversion or exchange will be mandatory, the events requiring an adjustment of the conversion or exchange price and provisions affecting conversion or exchange,</w:t>
      </w:r>
    </w:p>
    <w:p>
      <w:pPr>
        <w:spacing w:after="0" w:line="62" w:lineRule="exact"/>
        <w:rPr>
          <w:sz w:val="20"/>
          <w:szCs w:val="20"/>
          <w:color w:val="auto"/>
        </w:rPr>
      </w:pPr>
    </w:p>
    <w:p>
      <w:pPr>
        <w:jc w:val="both"/>
        <w:ind w:left="1800" w:right="53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w:t>
      </w:r>
    </w:p>
    <w:p>
      <w:pPr>
        <w:spacing w:after="0" w:line="89"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debt securities are entitled to the benefits of the guarantee of any guarantor, and whether any such guarantee is made on a senior or subordinated basis and, if applicable, a description of the subordination terms of any such guarantee,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whether a person other than U.S. Bank Trust Company, National Association is to act as trustee,</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securities exchange, if any, on which the debt securities may be listed, and</w:t>
      </w:r>
    </w:p>
    <w:p>
      <w:pPr>
        <w:spacing w:after="0" w:line="117"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change in the right of the trustee or the right of the requisite holders to declare the principal amount of debt securities due and payable.</w:t>
      </w:r>
    </w:p>
    <w:p>
      <w:pPr>
        <w:spacing w:after="0" w:line="103"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90"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and Exchange</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DTC,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otherwise set forth in this prospectus or the applicable prospectus supplement, book-entry debt securities will not be issuable in certificated form.</w:t>
      </w:r>
    </w:p>
    <w:p>
      <w:pPr>
        <w:spacing w:after="0" w:line="127"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i w:val="1"/>
          <w:iCs w:val="1"/>
          <w:color w:val="auto"/>
        </w:rPr>
        <w:t>Certificated Debt Securities</w:t>
      </w:r>
      <w:r>
        <w:rPr>
          <w:rFonts w:ascii="Arial" w:cs="Arial" w:eastAsia="Arial" w:hAnsi="Arial"/>
          <w:sz w:val="17"/>
          <w:szCs w:val="17"/>
          <w:color w:val="auto"/>
        </w:rPr>
        <w:t>. You may transfer or exchange certificated debt securities at any office</w:t>
      </w:r>
      <w:r>
        <w:rPr>
          <w:rFonts w:ascii="Arial" w:cs="Arial" w:eastAsia="Arial" w:hAnsi="Arial"/>
          <w:sz w:val="17"/>
          <w:szCs w:val="17"/>
          <w:i w:val="1"/>
          <w:iCs w:val="1"/>
          <w:color w:val="auto"/>
        </w:rPr>
        <w:t xml:space="preserve"> </w:t>
      </w:r>
      <w:r>
        <w:rPr>
          <w:rFonts w:ascii="Arial" w:cs="Arial" w:eastAsia="Arial" w:hAnsi="Arial"/>
          <w:sz w:val="17"/>
          <w:szCs w:val="17"/>
          <w:color w:val="auto"/>
        </w:rPr>
        <w:t>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90"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color w:val="auto"/>
        </w:rPr>
        <w:t>You may effect the transfer of certificated debt securities and the right to receive the principal of, and any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04"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i w:val="1"/>
          <w:iCs w:val="1"/>
          <w:color w:val="auto"/>
        </w:rPr>
        <w:t>Global Debt Securities and Book-Entry System</w:t>
      </w:r>
      <w:r>
        <w:rPr>
          <w:rFonts w:ascii="Arial" w:cs="Arial" w:eastAsia="Arial" w:hAnsi="Arial"/>
          <w:sz w:val="18"/>
          <w:szCs w:val="18"/>
          <w:color w:val="auto"/>
        </w:rPr>
        <w:t>. Each global debt security representing book-entry</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will be deposited with, or on behalf of, the Depositary, and registered in the name of the Depositary or a nominee of the Depositary.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62"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ectPr>
          <w:pgSz w:w="11900" w:h="16838" w:orient="portrait"/>
          <w:cols w:equalWidth="0" w:num="1">
            <w:col w:w="9879"/>
          </w:cols>
          <w:pgMar w:left="580" w:top="90" w:right="1440" w:bottom="1440" w:gutter="0" w:footer="0" w:header="0"/>
        </w:sect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Covenants</w:t>
      </w:r>
    </w:p>
    <w:p>
      <w:pPr>
        <w:spacing w:after="0" w:line="162"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Merger, Consolidation or Sale</w:t>
      </w:r>
    </w:p>
    <w:p>
      <w:pPr>
        <w:spacing w:after="0" w:line="148"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We may not consolidate with or merge with or into, or convey, transfer or lease all or substantially all of our properties and assets to, any person (such person, a “successor person”), unless:</w:t>
      </w:r>
    </w:p>
    <w:p>
      <w:pPr>
        <w:spacing w:after="0" w:line="65" w:lineRule="exact"/>
        <w:rPr>
          <w:sz w:val="20"/>
          <w:szCs w:val="20"/>
          <w:color w:val="auto"/>
        </w:rPr>
      </w:pPr>
    </w:p>
    <w:p>
      <w:pPr>
        <w:ind w:left="1620" w:right="499" w:firstLine="360"/>
        <w:spacing w:after="0" w:line="249" w:lineRule="auto"/>
        <w:tabs>
          <w:tab w:leader="none" w:pos="2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the surviving entity or the successor person (if other than Safehold Inc. or Safehold GL Holdings LLC) is a corporation, partnership, trust or other entity organized and validly existing under the laws of any U.S. domestic jurisdiction and expressly assumes our obligations on the debt securities and under the indenture; and</w:t>
      </w:r>
    </w:p>
    <w:p>
      <w:pPr>
        <w:spacing w:after="0" w:line="113" w:lineRule="exact"/>
        <w:rPr>
          <w:rFonts w:ascii="Arial" w:cs="Arial" w:eastAsia="Arial" w:hAnsi="Arial"/>
          <w:sz w:val="18"/>
          <w:szCs w:val="18"/>
          <w:color w:val="auto"/>
        </w:rPr>
      </w:pPr>
    </w:p>
    <w:p>
      <w:pPr>
        <w:ind w:left="1620" w:right="679" w:firstLine="360"/>
        <w:spacing w:after="0" w:line="261" w:lineRule="auto"/>
        <w:tabs>
          <w:tab w:leader="none" w:pos="2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103" w:lineRule="exact"/>
        <w:rPr>
          <w:sz w:val="20"/>
          <w:szCs w:val="20"/>
          <w:color w:val="auto"/>
        </w:rPr>
      </w:pPr>
    </w:p>
    <w:p>
      <w:pPr>
        <w:ind w:left="1260" w:right="719" w:firstLine="360"/>
        <w:spacing w:after="0" w:line="256" w:lineRule="auto"/>
        <w:rPr>
          <w:sz w:val="20"/>
          <w:szCs w:val="20"/>
          <w:color w:val="auto"/>
        </w:rPr>
      </w:pPr>
      <w:r>
        <w:rPr>
          <w:rFonts w:ascii="Arial" w:cs="Arial" w:eastAsia="Arial" w:hAnsi="Arial"/>
          <w:sz w:val="18"/>
          <w:szCs w:val="18"/>
          <w:color w:val="auto"/>
        </w:rPr>
        <w:t>We must deliver to the trustee prior to the consummation of the proposed transaction an officer’s certificate to the foregoing effect and an opinion of counsel stating that the proposed transaction and any supplemental indenture comply with the indenture.</w:t>
      </w:r>
    </w:p>
    <w:p>
      <w:pPr>
        <w:spacing w:after="0" w:line="107"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In the event of any transaction described in and complying with the conditions listed in the immediately preceding paragraphs in which we are not the continuing entity, the successor person formed or remaining shall succeed, and be substituted for, and may exercise every right and power of ours, and we shall be discharged from our obligations under the debt securities and the indenture.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Guarantees</w:t>
      </w:r>
    </w:p>
    <w:p>
      <w:pPr>
        <w:spacing w:after="0" w:line="148" w:lineRule="exact"/>
        <w:rPr>
          <w:sz w:val="20"/>
          <w:szCs w:val="20"/>
          <w:color w:val="auto"/>
        </w:rPr>
      </w:pPr>
    </w:p>
    <w:p>
      <w:pPr>
        <w:ind w:left="1260" w:right="499" w:firstLine="360"/>
        <w:spacing w:after="0" w:line="244" w:lineRule="auto"/>
        <w:rPr>
          <w:sz w:val="20"/>
          <w:szCs w:val="20"/>
          <w:color w:val="auto"/>
        </w:rPr>
      </w:pPr>
      <w:r>
        <w:rPr>
          <w:rFonts w:ascii="Arial" w:cs="Arial" w:eastAsia="Arial" w:hAnsi="Arial"/>
          <w:sz w:val="18"/>
          <w:szCs w:val="18"/>
          <w:color w:val="auto"/>
        </w:rPr>
        <w:t>Unless otherwise described in the applicable prospectus supplement, the debt securities issued by Safehold GL Holdings LLC will be fully and unconditionally guaranteed by Safehold Inc. These guarantees will be joint and several obligations of the guarantor. If a series of debt securities is so guaranteed, an indenture, or a supplemental indenture thereto, will be executed by the guarantor. The obligations of the guarantor under the guarantee will be limited as necessary to prevent that guarantee from constituting a fraudulent conveyance under applicable law. The terms of the guarantee will be set forth in the applicable prospectus supplement.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w:t>
      </w:r>
    </w:p>
    <w:p>
      <w:pPr>
        <w:spacing w:after="0" w:line="148"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The following events constitute Events of Default, unless otherwise provided by resolution of the board of directors, supplemental indenture or officer’s certificate:</w:t>
      </w:r>
    </w:p>
    <w:p>
      <w:pPr>
        <w:spacing w:after="0" w:line="89" w:lineRule="exact"/>
        <w:rPr>
          <w:sz w:val="20"/>
          <w:szCs w:val="20"/>
          <w:color w:val="auto"/>
        </w:rPr>
      </w:pPr>
    </w:p>
    <w:p>
      <w:pPr>
        <w:ind w:left="1620" w:right="499" w:firstLine="360"/>
        <w:spacing w:after="0" w:line="249" w:lineRule="auto"/>
        <w:tabs>
          <w:tab w:leader="none" w:pos="22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the payment of any interest on any debt security when it becomes due and payable, and continuance of such default for a period of 30 days (unless the entire amount of such payment is deposited by us with the trustee or with a paying agent prior to 11:00 a.m., New York City time, on the 30th day of such period);</w:t>
      </w:r>
    </w:p>
    <w:p>
      <w:pPr>
        <w:spacing w:after="0" w:line="113" w:lineRule="exact"/>
        <w:rPr>
          <w:rFonts w:ascii="Arial" w:cs="Arial" w:eastAsia="Arial" w:hAnsi="Arial"/>
          <w:sz w:val="18"/>
          <w:szCs w:val="18"/>
          <w:color w:val="auto"/>
        </w:rPr>
      </w:pPr>
    </w:p>
    <w:p>
      <w:pPr>
        <w:ind w:left="2240" w:hanging="260"/>
        <w:spacing w:after="0"/>
        <w:tabs>
          <w:tab w:leader="none" w:pos="2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the payment of principal of any debt security at maturity;</w:t>
      </w:r>
    </w:p>
    <w:p>
      <w:pPr>
        <w:spacing w:after="0" w:line="144" w:lineRule="exact"/>
        <w:rPr>
          <w:rFonts w:ascii="Arial" w:cs="Arial" w:eastAsia="Arial" w:hAnsi="Arial"/>
          <w:sz w:val="18"/>
          <w:szCs w:val="18"/>
          <w:color w:val="auto"/>
        </w:rPr>
      </w:pPr>
    </w:p>
    <w:p>
      <w:pPr>
        <w:ind w:left="1620" w:right="419" w:firstLine="360"/>
        <w:spacing w:after="0" w:line="245" w:lineRule="auto"/>
        <w:tabs>
          <w:tab w:leader="none" w:pos="22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by us under the debt security of that series or the indenture (other than defaults pursuant to paragraph (a) or (b) above or pursuant to a covenant or warranty that has been included in the indenture solely for the benefit of a series of securities other than that series), which default continues uncured for a period of 60 days after there has been given, by registered or certified mail, to us by the trustee, or to us and the trustee by the holders of not less than 25% in principal amount of the outstanding debt securities of that series a written notice specifying such default or breach and requiring it to be remedied and stating that such notice is a notice of default;</w:t>
      </w:r>
    </w:p>
    <w:p>
      <w:pPr>
        <w:spacing w:after="0" w:line="118" w:lineRule="exact"/>
        <w:rPr>
          <w:rFonts w:ascii="Arial" w:cs="Arial" w:eastAsia="Arial" w:hAnsi="Arial"/>
          <w:sz w:val="18"/>
          <w:szCs w:val="18"/>
          <w:color w:val="auto"/>
        </w:rPr>
      </w:pPr>
    </w:p>
    <w:p>
      <w:pPr>
        <w:ind w:left="1620" w:right="679" w:firstLine="360"/>
        <w:spacing w:after="0" w:line="261" w:lineRule="auto"/>
        <w:tabs>
          <w:tab w:leader="none" w:pos="2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us, or any guarantor;</w:t>
      </w: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620" w:right="859" w:firstLine="360"/>
        <w:spacing w:after="0" w:line="278" w:lineRule="auto"/>
        <w:tabs>
          <w:tab w:leader="none" w:pos="2239"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other Event of Default provided with respect to debt securities of that series, which is specified in a resolution of the board of directors, a supplemental indenture to the indenture or an officer’s certificate, in accordance with the applicable provisions of the indenture.</w:t>
      </w:r>
    </w:p>
    <w:p>
      <w:pPr>
        <w:spacing w:after="0" w:line="90"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“Default” means any event which is, or after notice or passage of time or both would be, an Event of Default.</w:t>
      </w:r>
    </w:p>
    <w:p>
      <w:pPr>
        <w:spacing w:after="0" w:line="103"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or our subsidiaries’ indebtedness outstanding from time to time.</w:t>
      </w:r>
    </w:p>
    <w:p>
      <w:pPr>
        <w:spacing w:after="0" w:line="114"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If an Event of Default with respect to debt securities of any series at the time outstanding occurs and is continuing, then in every such case the trustee or the holders of not less than 25% in principal amount of the outstanding debt securities of that series may declare the principal amount (or, if any securities of that series are discount securities, such portion of the principal amount as may be specified in the terms of such debt securities) of and accrued and unpaid interest, if any, on all of the debt securities of that series to be due and payable immediately, by a notice in writing to us (and to the trustee if given by holders), and upon any such declaration such principal amount (or specified amount) and accrued and unpaid interest, if any, will become immediately due and payable. In the case of an Event of Default resulting from certain events of bankruptcy, insolvency or reorganization, the principal amount (or specified amount) of and accrued and unpaid interest, if any, on all outstanding debt securities will ipso facto become and be immediately due and payable without any declaration or other act on the part of the trustee or any holder of outstanding debt securities. At any time after a declaration of acceleration with respect to debt securities of any series has been made and before a judgment or decree for payment of the money due has been obtained by the trustee, the holders of a majority in principal amount of the outstanding debt securities of that series, by notice in writing to our operating company and the trustee,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09" w:lineRule="exact"/>
        <w:rPr>
          <w:sz w:val="20"/>
          <w:szCs w:val="20"/>
          <w:color w:val="auto"/>
        </w:rPr>
      </w:pPr>
    </w:p>
    <w:p>
      <w:pPr>
        <w:ind w:left="1260" w:right="519" w:firstLine="360"/>
        <w:spacing w:after="0" w:line="244" w:lineRule="auto"/>
        <w:rPr>
          <w:sz w:val="20"/>
          <w:szCs w:val="20"/>
          <w:color w:val="auto"/>
        </w:rPr>
      </w:pPr>
      <w:r>
        <w:rPr>
          <w:rFonts w:ascii="Arial" w:cs="Arial" w:eastAsia="Arial" w:hAnsi="Arial"/>
          <w:sz w:val="18"/>
          <w:szCs w:val="18"/>
          <w:color w:val="auto"/>
        </w:rPr>
        <w:t>The indenture provides that the trustee will be under no obligation to exercise any of its rights or powers under the indenture unless the trustee receives indemnity satisfactory to it against any cost, liability or expense that might be incurred by it in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20" w:lineRule="exact"/>
        <w:rPr>
          <w:sz w:val="20"/>
          <w:szCs w:val="20"/>
          <w:color w:val="auto"/>
        </w:rPr>
      </w:pPr>
    </w:p>
    <w:p>
      <w:pPr>
        <w:ind w:left="1260" w:right="659" w:firstLine="360"/>
        <w:spacing w:after="0" w:line="248" w:lineRule="auto"/>
        <w:rPr>
          <w:sz w:val="20"/>
          <w:szCs w:val="20"/>
          <w:color w:val="auto"/>
        </w:rPr>
      </w:pPr>
      <w:r>
        <w:rPr>
          <w:rFonts w:ascii="Arial" w:cs="Arial" w:eastAsia="Arial" w:hAnsi="Arial"/>
          <w:sz w:val="18"/>
          <w:szCs w:val="18"/>
          <w:color w:val="auto"/>
        </w:rPr>
        <w:t>No holder of any debt security shall have any right to institute any proceeding, judicial or otherwise, with respect to the indenture, or for the appointment of a receiver or trustee, or for any other remedy hereunder, unless:</w:t>
      </w:r>
    </w:p>
    <w:p>
      <w:pPr>
        <w:spacing w:after="0" w:line="114" w:lineRule="exact"/>
        <w:rPr>
          <w:sz w:val="20"/>
          <w:szCs w:val="20"/>
          <w:color w:val="auto"/>
        </w:rPr>
      </w:pPr>
    </w:p>
    <w:p>
      <w:pPr>
        <w:ind w:left="1620" w:right="539" w:firstLine="360"/>
        <w:spacing w:after="0" w:line="277" w:lineRule="auto"/>
        <w:tabs>
          <w:tab w:leader="none" w:pos="22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debt securities;</w:t>
      </w:r>
    </w:p>
    <w:p>
      <w:pPr>
        <w:spacing w:after="0" w:line="89" w:lineRule="exact"/>
        <w:rPr>
          <w:rFonts w:ascii="Arial" w:cs="Arial" w:eastAsia="Arial" w:hAnsi="Arial"/>
          <w:sz w:val="18"/>
          <w:szCs w:val="18"/>
          <w:color w:val="auto"/>
        </w:rPr>
      </w:pPr>
    </w:p>
    <w:p>
      <w:pPr>
        <w:jc w:val="both"/>
        <w:ind w:left="1620" w:right="739" w:firstLine="360"/>
        <w:spacing w:after="0" w:line="248" w:lineRule="auto"/>
        <w:tabs>
          <w:tab w:leader="none" w:pos="2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have made written request to the trustee to institute proceedings in respect of such Event of Default in its own name as trustee;</w:t>
      </w:r>
    </w:p>
    <w:p>
      <w:pPr>
        <w:spacing w:after="0" w:line="114" w:lineRule="exact"/>
        <w:rPr>
          <w:rFonts w:ascii="Arial" w:cs="Arial" w:eastAsia="Arial" w:hAnsi="Arial"/>
          <w:sz w:val="18"/>
          <w:szCs w:val="18"/>
          <w:color w:val="auto"/>
        </w:rPr>
      </w:pPr>
    </w:p>
    <w:p>
      <w:pPr>
        <w:ind w:left="1620" w:right="499" w:firstLine="360"/>
        <w:spacing w:after="0" w:line="256" w:lineRule="auto"/>
        <w:tabs>
          <w:tab w:leader="none" w:pos="22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reasonably satisfactory to the trustee against the costs, claims, expenses and liabilities that might be incurred by the trustee in compliance with such request;</w:t>
      </w:r>
    </w:p>
    <w:p>
      <w:pPr>
        <w:spacing w:after="0" w:line="107" w:lineRule="exact"/>
        <w:rPr>
          <w:rFonts w:ascii="Arial" w:cs="Arial" w:eastAsia="Arial" w:hAnsi="Arial"/>
          <w:sz w:val="18"/>
          <w:szCs w:val="18"/>
          <w:color w:val="auto"/>
        </w:rPr>
      </w:pPr>
    </w:p>
    <w:p>
      <w:pPr>
        <w:ind w:left="1620" w:right="479" w:firstLine="360"/>
        <w:spacing w:after="0" w:line="261" w:lineRule="auto"/>
        <w:tabs>
          <w:tab w:leader="none" w:pos="2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right="699" w:firstLine="360"/>
        <w:spacing w:after="0" w:line="308" w:lineRule="auto"/>
        <w:tabs>
          <w:tab w:leader="none" w:pos="2239"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 direction inconsistent with such written request has been given to the trustee during such 60-day period by the holders of a majority in principal amount of the outstanding debt securities.</w:t>
      </w:r>
    </w:p>
    <w:p>
      <w:pPr>
        <w:spacing w:after="0" w:line="79"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and any premium and interest on, that debt security on or after the due dates expressed in that debt security and to institute suit for the enforcement of payment.</w:t>
      </w:r>
    </w:p>
    <w:p>
      <w:pPr>
        <w:spacing w:after="0" w:line="119"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The indenture requires us, within 120 days after the end of our fiscal year, to furnish to the trustee a statement as to compliance with the indenture. If a Default or Event of Default occurs and is continuing with respect to the debt securities of any series and if it is known to a Responsible Officer of the trustee, the trustee shall mail to each holder of the debt securities of that series notice of a Default or Event of Default within 90 days after it occurs.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i w:val="1"/>
          <w:iCs w:val="1"/>
          <w:color w:val="auto"/>
        </w:rPr>
        <w:t xml:space="preserve">Legal Defeasance. </w:t>
      </w:r>
      <w:r>
        <w:rPr>
          <w:rFonts w:ascii="Arial" w:cs="Arial" w:eastAsia="Arial" w:hAnsi="Arial"/>
          <w:sz w:val="18"/>
          <w:szCs w:val="18"/>
          <w:color w:val="auto"/>
        </w:rPr>
        <w:t>The indenture provides that, unless otherwise provided by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series of debt securities, we 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money and/or Foreign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any premium and interest on, and any mandatory sinking fund payments in respect of the debt securities of that series on the stated maturity of those payments in accordance with the terms of the indenture and those debt securities.</w:t>
      </w:r>
    </w:p>
    <w:p>
      <w:pPr>
        <w:spacing w:after="0" w:line="124" w:lineRule="exact"/>
        <w:rPr>
          <w:sz w:val="20"/>
          <w:szCs w:val="20"/>
          <w:color w:val="auto"/>
        </w:rPr>
      </w:pPr>
    </w:p>
    <w:p>
      <w:pPr>
        <w:ind w:left="1260" w:right="439" w:firstLine="360"/>
        <w:spacing w:after="0" w:line="290" w:lineRule="auto"/>
        <w:rPr>
          <w:sz w:val="20"/>
          <w:szCs w:val="20"/>
          <w:color w:val="auto"/>
        </w:rPr>
      </w:pPr>
      <w:r>
        <w:rPr>
          <w:rFonts w:ascii="Arial" w:cs="Arial" w:eastAsia="Arial" w:hAnsi="Arial"/>
          <w:sz w:val="16"/>
          <w:szCs w:val="16"/>
          <w:color w:val="auto"/>
        </w:rPr>
        <w:t>This discharge may occur only if, among other things, we have delivered to the trustee an opinion of counsel stating that we have received from, or there has been published by, the United States Internal Revenue Service, or IRS,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98"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applicable series of debt securities, upon compliance with certain conditions:</w:t>
      </w:r>
    </w:p>
    <w:p>
      <w:pPr>
        <w:spacing w:after="0" w:line="62" w:lineRule="exact"/>
        <w:rPr>
          <w:sz w:val="20"/>
          <w:szCs w:val="20"/>
          <w:color w:val="auto"/>
        </w:rPr>
      </w:pPr>
    </w:p>
    <w:p>
      <w:pPr>
        <w:ind w:left="1800" w:right="559" w:hanging="180"/>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“Merger, Consolidation or Sale” and certain other covenants set forth in the indenture, as well as any additional covenants that may be set forth in the applicable prospectus supplement, and</w:t>
      </w:r>
    </w:p>
    <w:p>
      <w:pPr>
        <w:spacing w:after="0" w:line="75"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or covenant defeasance.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conditions include:</w:t>
      </w:r>
    </w:p>
    <w:p>
      <w:pPr>
        <w:spacing w:after="0" w:line="117" w:lineRule="exact"/>
        <w:rPr>
          <w:sz w:val="20"/>
          <w:szCs w:val="20"/>
          <w:color w:val="auto"/>
        </w:rPr>
      </w:pPr>
    </w:p>
    <w:p>
      <w:pPr>
        <w:ind w:left="1800" w:right="419" w:hanging="180"/>
        <w:spacing w:after="0" w:line="254"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money and/or Foreign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any premium and interest on,</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59"/>
        <w:spacing w:after="0" w:line="263" w:lineRule="auto"/>
        <w:rPr>
          <w:sz w:val="20"/>
          <w:szCs w:val="20"/>
          <w:color w:val="auto"/>
        </w:rPr>
      </w:pPr>
      <w:r>
        <w:rPr>
          <w:rFonts w:ascii="Arial" w:cs="Arial" w:eastAsia="Arial" w:hAnsi="Arial"/>
          <w:sz w:val="18"/>
          <w:szCs w:val="18"/>
          <w:color w:val="auto"/>
        </w:rPr>
        <w:t>and any mandatory sinking fund payments in respect of the debt securities of that series on the stated maturity of those payments in accordance with the terms of the indenture and those debt securities, and</w:t>
      </w:r>
    </w:p>
    <w:p>
      <w:pPr>
        <w:spacing w:after="0" w:line="89" w:lineRule="exact"/>
        <w:rPr>
          <w:sz w:val="20"/>
          <w:szCs w:val="20"/>
          <w:color w:val="auto"/>
        </w:rPr>
      </w:pPr>
    </w:p>
    <w:p>
      <w:pPr>
        <w:ind w:left="1800" w:right="499" w:hanging="180"/>
        <w:spacing w:after="0" w:line="275"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95"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i w:val="1"/>
          <w:iCs w:val="1"/>
          <w:color w:val="auto"/>
        </w:rPr>
        <w:t>Covenant Defeasance and Events of Default</w:t>
      </w:r>
      <w:r>
        <w:rPr>
          <w:rFonts w:ascii="Arial" w:cs="Arial" w:eastAsia="Arial" w:hAnsi="Arial"/>
          <w:sz w:val="17"/>
          <w:szCs w:val="17"/>
          <w:color w:val="auto"/>
        </w:rPr>
        <w:t>. In the event we exercise our option to effect covenant</w:t>
      </w:r>
      <w:r>
        <w:rPr>
          <w:rFonts w:ascii="Arial" w:cs="Arial" w:eastAsia="Arial" w:hAnsi="Arial"/>
          <w:sz w:val="17"/>
          <w:szCs w:val="17"/>
          <w:i w:val="1"/>
          <w:iCs w:val="1"/>
          <w:color w:val="auto"/>
        </w:rPr>
        <w:t xml:space="preserve"> </w:t>
      </w:r>
      <w:r>
        <w:rPr>
          <w:rFonts w:ascii="Arial" w:cs="Arial" w:eastAsia="Arial" w:hAnsi="Arial"/>
          <w:sz w:val="17"/>
          <w:szCs w:val="17"/>
          <w:color w:val="auto"/>
        </w:rPr>
        <w:t>defeasance with respect to any series of debt securities and the debt securities of that series are declared due and payable because of the occurrence of any Event of Default, the amount of money and/or U.S. government obligations or money and/or Foreign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In such a case, we would remain liable for those payments.</w:t>
      </w:r>
    </w:p>
    <w:p>
      <w:pPr>
        <w:spacing w:after="0" w:line="110"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“Foreign Government Obligations” means, with respect to debt securities of any series that are denominated in a currency other than U.S. dollars,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Satisfaction and Discharge</w:t>
      </w:r>
    </w:p>
    <w:p>
      <w:pPr>
        <w:spacing w:after="0" w:line="162"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The indenture will be discharged and will cease to be of further effect (except as to surviving rights or registration of transfer or exchange of the debt securities, as expressly provided for in the indenture) as to all outstanding debt securities when:</w:t>
      </w:r>
    </w:p>
    <w:p>
      <w:pPr>
        <w:spacing w:after="0" w:line="76"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2160" w:right="659" w:hanging="180"/>
        <w:spacing w:after="0" w:line="263" w:lineRule="auto"/>
        <w:tabs>
          <w:tab w:leader="none" w:pos="2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the debt securities theretofore authenticated and delivered (except lost, stolen or destroyed debt securities which have been replaced or paid) have been delivered to the trustee for cancellation; or</w:t>
      </w:r>
    </w:p>
    <w:p>
      <w:pPr>
        <w:spacing w:after="0" w:line="75" w:lineRule="exact"/>
        <w:rPr>
          <w:rFonts w:ascii="Arial" w:cs="Arial" w:eastAsia="Arial" w:hAnsi="Arial"/>
          <w:sz w:val="18"/>
          <w:szCs w:val="18"/>
          <w:color w:val="auto"/>
        </w:rPr>
      </w:pPr>
    </w:p>
    <w:p>
      <w:pPr>
        <w:ind w:left="2160" w:right="419" w:hanging="180"/>
        <w:spacing w:after="0" w:line="289" w:lineRule="auto"/>
        <w:tabs>
          <w:tab w:leader="none" w:pos="21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debt securities not theretofore delivered to the trustee for cancellation have become due and payable or will become due and payable at their maturity within one year, have been called for redemption or are to be called for redemption within one year, or are deemed paid and discharged pursuant to the legal defeasance provisions of the indenture, and we have irrevocably deposited or caused to be irrevocably deposited with the trustee as trust funds in trust cash or noncallable U.S. government obligations in an amount sufficient to pay and discharge the entire indebtedness on such debt securities not theretofore delivered to the trustee for cancellation, for principal and interest to the date of such deposit (in the case of debt securities which have become due and payable) or to the maturity date or redemption date, as the case may be;</w:t>
      </w:r>
    </w:p>
    <w:p>
      <w:pPr>
        <w:spacing w:after="0" w:line="71" w:lineRule="exact"/>
        <w:rPr>
          <w:rFonts w:ascii="Arial" w:cs="Arial" w:eastAsia="Arial" w:hAnsi="Arial"/>
          <w:sz w:val="16"/>
          <w:szCs w:val="16"/>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and</w:t>
      </w:r>
    </w:p>
    <w:p>
      <w:pPr>
        <w:spacing w:after="0" w:line="117"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all conditions precedent provided for in the indenture relating to the satisfaction and discharge of the indenture have been complied with.</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and Waiver</w:t>
      </w:r>
    </w:p>
    <w:p>
      <w:pPr>
        <w:spacing w:after="0" w:line="162"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We and the trustee may modify and amend the indenture or the debt securities of any series without the consent of any holder of any debt security:</w:t>
      </w:r>
    </w:p>
    <w:p>
      <w:pPr>
        <w:spacing w:after="0" w:line="62" w:lineRule="exact"/>
        <w:rPr>
          <w:sz w:val="20"/>
          <w:szCs w:val="20"/>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“Merger, Consolidation or Sale,”</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559" w:hanging="180"/>
        <w:spacing w:after="0" w:line="263"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 provided that the uncertificated debt securities are issued in registered form for purposes of Section 163(f) of the Code,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add covenants or events of default for the benefit of the holders of debt securities of any series,</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90"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debt securities of any series as permitted by the indenture,</w:t>
      </w:r>
    </w:p>
    <w:p>
      <w:pPr>
        <w:spacing w:after="0" w:line="48"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62"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comply with requirements of the Securities and Exchange Commission in order to effect or maintain the qualification of the indenture under the Trust Indenture Act,</w:t>
      </w:r>
    </w:p>
    <w:p>
      <w:pPr>
        <w:spacing w:after="0" w:line="48" w:lineRule="exact"/>
        <w:rPr>
          <w:rFonts w:ascii="Arial" w:cs="Arial" w:eastAsia="Arial" w:hAnsi="Arial"/>
          <w:sz w:val="18"/>
          <w:szCs w:val="18"/>
          <w:color w:val="auto"/>
        </w:rPr>
      </w:pPr>
    </w:p>
    <w:p>
      <w:pPr>
        <w:ind w:left="1800" w:right="111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reflect the release of a guarantor of the debt securities in accordance with the terms of the indenture, or</w:t>
      </w:r>
    </w:p>
    <w:p>
      <w:pPr>
        <w:spacing w:after="0" w:line="48"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add guarantors with respect to any or all of the debt securities or to secure any or all of the debt securities or the guarantees.</w:t>
      </w:r>
    </w:p>
    <w:p>
      <w:pPr>
        <w:spacing w:after="0" w:line="89" w:lineRule="exact"/>
        <w:rPr>
          <w:sz w:val="20"/>
          <w:szCs w:val="20"/>
          <w:color w:val="auto"/>
        </w:rPr>
      </w:pPr>
    </w:p>
    <w:p>
      <w:pPr>
        <w:ind w:left="1260" w:right="559" w:firstLine="360"/>
        <w:spacing w:after="0" w:line="249"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73" w:lineRule="exact"/>
        <w:rPr>
          <w:sz w:val="20"/>
          <w:szCs w:val="20"/>
          <w:color w:val="auto"/>
        </w:rPr>
      </w:pPr>
    </w:p>
    <w:p>
      <w:pPr>
        <w:ind w:left="1800" w:right="107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48"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48"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90" w:lineRule="exact"/>
        <w:rPr>
          <w:rFonts w:ascii="Arial" w:cs="Arial" w:eastAsia="Arial" w:hAnsi="Arial"/>
          <w:sz w:val="18"/>
          <w:szCs w:val="18"/>
          <w:color w:val="auto"/>
        </w:rPr>
      </w:pPr>
    </w:p>
    <w:p>
      <w:pPr>
        <w:ind w:left="1800" w:right="619" w:hanging="180"/>
        <w:spacing w:after="0" w:line="259"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or any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the principal of, or any premium or interest on, any debt security payable in any currency other than that stated in the debt security,</w:t>
      </w:r>
    </w:p>
    <w:p>
      <w:pPr>
        <w:spacing w:after="0" w:line="48"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or any premium or interest on, those debt securities and to institute suit for the enforcement of any such payment and to waivers or amendments,</w:t>
      </w:r>
    </w:p>
    <w:p>
      <w:pPr>
        <w:spacing w:after="0" w:line="65"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provided that such redemption is made at our operating company’s option, or</w:t>
      </w:r>
    </w:p>
    <w:p>
      <w:pPr>
        <w:spacing w:after="0" w:line="48" w:lineRule="exact"/>
        <w:rPr>
          <w:rFonts w:ascii="Arial" w:cs="Arial" w:eastAsia="Arial" w:hAnsi="Arial"/>
          <w:sz w:val="18"/>
          <w:szCs w:val="18"/>
          <w:color w:val="auto"/>
        </w:rPr>
      </w:pPr>
    </w:p>
    <w:p>
      <w:pPr>
        <w:jc w:val="both"/>
        <w:ind w:left="1800" w:right="499" w:hanging="180"/>
        <w:spacing w:after="0" w:line="263"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debt securities of that series are entitled to the benefit of a guarantee, release any guarantor of such series other than as provided in the indenture or modify the guarantee in any manner adverse to the holders.</w:t>
      </w:r>
    </w:p>
    <w:p>
      <w:pPr>
        <w:spacing w:after="0" w:line="103"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Except for certain specified provisions, the holders of at least a majority in principal amount of the outstanding debt securities of any series may on behalf of the holders of all debt securities of that series</w:t>
      </w:r>
    </w:p>
    <w:p>
      <w:pPr>
        <w:sectPr>
          <w:pgSz w:w="11900" w:h="16838" w:orient="portrait"/>
          <w:cols w:equalWidth="0" w:num="1">
            <w:col w:w="9879"/>
          </w:cols>
          <w:pgMar w:left="580" w:top="90" w:right="1440" w:bottom="1440" w:gutter="0" w:footer="0" w:header="0"/>
        </w:sectPr>
      </w:pPr>
    </w:p>
    <w:p>
      <w:pPr>
        <w:spacing w:after="0" w:line="30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waive our compliance with provisions of the indenture. The holders of a majority in principal amount of the outstanding debt securities of any series may on behalf of the holders of all of the debt securities of such series waive any past default under the indenture with respect to that series and its consequences, except a default in the payment of the principal of, or any premium or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Regarding the Trustee</w:t>
      </w:r>
    </w:p>
    <w:p>
      <w:pPr>
        <w:spacing w:after="0" w:line="162"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Unless otherwise specified in a prospectus supplement, U.S. Bank Trust Company, National Association will initially act as the trustee, registrar and paying agent for the debt securities, subject to replacement at our option as provided in the indenture.</w:t>
      </w:r>
    </w:p>
    <w:p>
      <w:pPr>
        <w:spacing w:after="0" w:line="116"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If an Event of Default occurs and is continuing, the trustee will be required to use the same degree of care and skill a prudent person would exercise or use under the circumstances in the conduct of its own affairs. The trustee will become obligated to exercise any of its powers under the indenture at the request of any of the holders of the required percentage under the indenture only after those holders have offered, and, if requested, provided the trustee indemnity satisfactory to it.</w:t>
      </w:r>
    </w:p>
    <w:p>
      <w:pPr>
        <w:spacing w:after="0" w:line="107"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If the trustee becomes one of our creditors, it will be subject to limitations on its rights to obtain payment of claims or to realize on some property received for any such claim, as security or otherwise. The trustee is permitted to engage in other transactions with us. If, however, it acquires any conflicting interest, it must eliminate that conflict or resign.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62"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No director, officer, employee, or stockholder will have any liability for any of our obligations under the debt securities, the indenture, any guarantees or for any claim based on, in respect of, or by reason of, such obligations or their creation. Each holder of debt securities by accepting a note waives and releases all such liability. The waiver and release are part of the consideration for issuance of the debt securities. The waiver may not be effective to waive liabilities under the federal securities laws.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62"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The indenture, the debt securities and any guarantees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DESCRIPTION OF OTHER SECURITIES</w:t>
      </w:r>
    </w:p>
    <w:p>
      <w:pPr>
        <w:spacing w:after="0" w:line="162" w:lineRule="exact"/>
        <w:rPr>
          <w:sz w:val="20"/>
          <w:szCs w:val="20"/>
          <w:color w:val="auto"/>
        </w:rPr>
      </w:pPr>
    </w:p>
    <w:p>
      <w:pPr>
        <w:ind w:left="1260" w:right="979" w:firstLine="360"/>
        <w:spacing w:after="0" w:line="308" w:lineRule="auto"/>
        <w:rPr>
          <w:sz w:val="20"/>
          <w:szCs w:val="20"/>
          <w:color w:val="auto"/>
        </w:rPr>
      </w:pPr>
      <w:r>
        <w:rPr>
          <w:rFonts w:ascii="Arial" w:cs="Arial" w:eastAsia="Arial" w:hAnsi="Arial"/>
          <w:sz w:val="17"/>
          <w:szCs w:val="17"/>
          <w:color w:val="auto"/>
        </w:rPr>
        <w:t>We will set forth in the applicable prospectus supplement a description of any depositary shares, warrants, rights or units issued by us that may be offered and sold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Book-Entry, Delivery and Form</w:t>
      </w:r>
    </w:p>
    <w:p>
      <w:pPr>
        <w:spacing w:after="0" w:line="162"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DTC has advised us that it is:</w:t>
      </w:r>
    </w:p>
    <w:p>
      <w:pPr>
        <w:spacing w:after="0" w:line="117" w:lineRule="exact"/>
        <w:rPr>
          <w:sz w:val="20"/>
          <w:szCs w:val="20"/>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5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14" w:lineRule="exact"/>
        <w:rPr>
          <w:sz w:val="20"/>
          <w:szCs w:val="20"/>
          <w:color w:val="auto"/>
        </w:rPr>
      </w:pPr>
    </w:p>
    <w:p>
      <w:pPr>
        <w:ind w:left="1260" w:right="479" w:firstLine="360"/>
        <w:spacing w:after="0" w:line="258"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13"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19"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7"/>
          <w:szCs w:val="17"/>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ectPr>
          <w:pgSz w:w="11900" w:h="16838" w:orient="portrait"/>
          <w:cols w:equalWidth="0" w:num="1">
            <w:col w:w="9879"/>
          </w:cols>
          <w:pgMar w:left="580" w:top="90" w:right="1440" w:bottom="1440" w:gutter="0" w:footer="0" w:header="0"/>
        </w:sectPr>
      </w:pPr>
    </w:p>
    <w:p>
      <w:pPr>
        <w:spacing w:after="0" w:line="34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39" w:firstLine="360"/>
        <w:spacing w:after="0" w:line="278" w:lineRule="auto"/>
        <w:rPr>
          <w:sz w:val="20"/>
          <w:szCs w:val="20"/>
          <w:color w:val="auto"/>
        </w:rPr>
      </w:pPr>
      <w:r>
        <w:rPr>
          <w:rFonts w:ascii="Arial" w:cs="Arial" w:eastAsia="Arial" w:hAnsi="Arial"/>
          <w:sz w:val="17"/>
          <w:szCs w:val="17"/>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90"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07" w:lineRule="exact"/>
        <w:rPr>
          <w:sz w:val="20"/>
          <w:szCs w:val="20"/>
          <w:color w:val="auto"/>
        </w:rPr>
      </w:pPr>
    </w:p>
    <w:p>
      <w:pPr>
        <w:ind w:left="1260" w:right="619" w:firstLine="360"/>
        <w:spacing w:after="0" w:line="245"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18" w:lineRule="exact"/>
        <w:rPr>
          <w:sz w:val="20"/>
          <w:szCs w:val="20"/>
          <w:color w:val="auto"/>
        </w:rPr>
      </w:pPr>
    </w:p>
    <w:p>
      <w:pPr>
        <w:ind w:left="1260" w:right="539" w:firstLine="360"/>
        <w:spacing w:after="0" w:line="244" w:lineRule="auto"/>
        <w:rPr>
          <w:sz w:val="20"/>
          <w:szCs w:val="20"/>
          <w:color w:val="auto"/>
        </w:rPr>
      </w:pPr>
      <w:r>
        <w:rPr>
          <w:rFonts w:ascii="Arial" w:cs="Arial" w:eastAsia="Arial" w:hAnsi="Arial"/>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1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14" w:lineRule="exact"/>
        <w:rPr>
          <w:sz w:val="20"/>
          <w:szCs w:val="20"/>
          <w:color w:val="auto"/>
        </w:rPr>
      </w:pPr>
    </w:p>
    <w:p>
      <w:pPr>
        <w:ind w:left="1260" w:right="479" w:firstLine="360"/>
        <w:spacing w:after="0" w:line="249"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13"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14" w:lineRule="exact"/>
        <w:rPr>
          <w:sz w:val="20"/>
          <w:szCs w:val="20"/>
          <w:color w:val="auto"/>
        </w:rPr>
      </w:pPr>
    </w:p>
    <w:p>
      <w:pPr>
        <w:jc w:val="both"/>
        <w:ind w:left="1260" w:right="419" w:firstLine="360"/>
        <w:spacing w:after="0" w:line="256"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07"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63" w:lineRule="exact"/>
        <w:rPr>
          <w:sz w:val="20"/>
          <w:szCs w:val="20"/>
          <w:color w:val="auto"/>
        </w:rPr>
      </w:pPr>
    </w:p>
    <w:p>
      <w:pPr>
        <w:ind w:left="1800" w:right="519" w:hanging="180"/>
        <w:spacing w:after="0" w:line="25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79"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an Event of Default has occurred and is continuing with respect to such series of securities,</w:t>
      </w:r>
    </w:p>
    <w:p>
      <w:pPr>
        <w:spacing w:after="0" w:line="158" w:lineRule="exact"/>
        <w:rPr>
          <w:sz w:val="20"/>
          <w:szCs w:val="20"/>
          <w:color w:val="auto"/>
        </w:rPr>
      </w:pPr>
    </w:p>
    <w:p>
      <w:pPr>
        <w:ind w:left="1260" w:right="559"/>
        <w:spacing w:after="0" w:line="246"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5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19"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13" w:lineRule="exact"/>
        <w:rPr>
          <w:sz w:val="20"/>
          <w:szCs w:val="20"/>
          <w:color w:val="auto"/>
        </w:rPr>
      </w:pPr>
    </w:p>
    <w:p>
      <w:pPr>
        <w:ind w:left="1260" w:right="599" w:firstLine="360"/>
        <w:spacing w:after="0" w:line="268" w:lineRule="auto"/>
        <w:rPr>
          <w:sz w:val="20"/>
          <w:szCs w:val="20"/>
          <w:color w:val="auto"/>
        </w:rPr>
      </w:pPr>
      <w:r>
        <w:rPr>
          <w:rFonts w:ascii="Arial" w:cs="Arial" w:eastAsia="Arial" w:hAnsi="Arial"/>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99"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99"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21"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w:t>
      </w:r>
    </w:p>
    <w:p>
      <w:pPr>
        <w:spacing w:after="0" w:line="158" w:lineRule="exact"/>
        <w:rPr>
          <w:sz w:val="20"/>
          <w:szCs w:val="20"/>
          <w:color w:val="auto"/>
        </w:rPr>
      </w:pPr>
    </w:p>
    <w:p>
      <w:pPr>
        <w:ind w:left="1260" w:right="559" w:firstLine="360"/>
        <w:spacing w:after="0" w:line="324" w:lineRule="auto"/>
        <w:rPr>
          <w:sz w:val="20"/>
          <w:szCs w:val="20"/>
          <w:color w:val="auto"/>
        </w:rPr>
      </w:pPr>
      <w:r>
        <w:rPr>
          <w:rFonts w:ascii="Arial" w:cs="Arial" w:eastAsia="Arial" w:hAnsi="Arial"/>
          <w:sz w:val="16"/>
          <w:szCs w:val="16"/>
          <w:color w:val="auto"/>
        </w:rPr>
        <w:t>The information in this section of this prospectus concerning DTC, Clearstream, Euroclear and their respective book-entry systems has been obtained from sources that we believe to be reliable, but we do not</w:t>
      </w:r>
    </w:p>
    <w:p>
      <w:pPr>
        <w:sectPr>
          <w:pgSz w:w="11900" w:h="16838" w:orient="portrait"/>
          <w:cols w:equalWidth="0" w:num="1">
            <w:col w:w="9879"/>
          </w:cols>
          <w:pgMar w:left="580" w:top="90" w:right="1440" w:bottom="1440" w:gutter="0" w:footer="0" w:header="0"/>
        </w:sectPr>
      </w:pPr>
    </w:p>
    <w:p>
      <w:pPr>
        <w:spacing w:after="0" w:line="31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SELLING SECURITYHOLDERS</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MATERIAL PROVISIONS OF MARYLAND LAW AND OF OUR CHARTER AND BYLAWS</w:t>
      </w:r>
    </w:p>
    <w:p>
      <w:pPr>
        <w:spacing w:after="0" w:line="162" w:lineRule="exact"/>
        <w:rPr>
          <w:sz w:val="20"/>
          <w:szCs w:val="20"/>
          <w:color w:val="auto"/>
        </w:rPr>
      </w:pPr>
    </w:p>
    <w:p>
      <w:pPr>
        <w:ind w:left="1260" w:right="559" w:firstLine="360"/>
        <w:spacing w:after="0" w:line="268" w:lineRule="auto"/>
        <w:rPr>
          <w:sz w:val="20"/>
          <w:szCs w:val="20"/>
          <w:color w:val="auto"/>
        </w:rPr>
      </w:pPr>
      <w:r>
        <w:rPr>
          <w:rFonts w:ascii="Arial" w:cs="Arial" w:eastAsia="Arial" w:hAnsi="Arial"/>
          <w:sz w:val="17"/>
          <w:szCs w:val="17"/>
          <w:i w:val="1"/>
          <w:iCs w:val="1"/>
          <w:color w:val="auto"/>
        </w:rPr>
        <w:t>The following summary of certain provisions of Maryland law and of our charter and bylaws does not purport to be complete and is subject to and qualified in its entirety by reference to Maryland law and our charter and bylaws, copies of which are filed as exhibits to the registration statement of which this prospectus is part. See “Where You Can Find More Information; Incorporation by Reference.”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Board of Directors</w:t>
      </w:r>
    </w:p>
    <w:p>
      <w:pPr>
        <w:spacing w:after="0" w:line="162" w:lineRule="exact"/>
        <w:rPr>
          <w:sz w:val="20"/>
          <w:szCs w:val="20"/>
          <w:color w:val="auto"/>
        </w:rPr>
      </w:pPr>
    </w:p>
    <w:p>
      <w:pPr>
        <w:ind w:left="1260" w:right="799" w:firstLine="360"/>
        <w:spacing w:after="0" w:line="278" w:lineRule="auto"/>
        <w:rPr>
          <w:sz w:val="20"/>
          <w:szCs w:val="20"/>
          <w:color w:val="auto"/>
        </w:rPr>
      </w:pPr>
      <w:r>
        <w:rPr>
          <w:rFonts w:ascii="Arial" w:cs="Arial" w:eastAsia="Arial" w:hAnsi="Arial"/>
          <w:sz w:val="17"/>
          <w:szCs w:val="17"/>
          <w:color w:val="auto"/>
        </w:rPr>
        <w:t>Our charter and bylaws provide that the number of directors of our company may be established, increased or decreased only by a majority of our entire board of directors but may not be fewer than the minimum number required by the MGCL nor, unless our bylaws are amended, more than 15.</w:t>
      </w:r>
    </w:p>
    <w:p>
      <w:pPr>
        <w:spacing w:after="0" w:line="90" w:lineRule="exact"/>
        <w:rPr>
          <w:sz w:val="20"/>
          <w:szCs w:val="20"/>
          <w:color w:val="auto"/>
        </w:rPr>
      </w:pPr>
    </w:p>
    <w:p>
      <w:pPr>
        <w:ind w:left="1260" w:right="479" w:firstLine="360"/>
        <w:spacing w:after="0" w:line="245" w:lineRule="auto"/>
        <w:rPr>
          <w:sz w:val="20"/>
          <w:szCs w:val="20"/>
          <w:color w:val="auto"/>
        </w:rPr>
      </w:pPr>
      <w:r>
        <w:rPr>
          <w:rFonts w:ascii="Arial" w:cs="Arial" w:eastAsia="Arial" w:hAnsi="Arial"/>
          <w:sz w:val="18"/>
          <w:szCs w:val="18"/>
          <w:color w:val="auto"/>
        </w:rPr>
        <w:t>Each of our directors is elected by our stockholders to serve until the next annual meeting of stockholders and until his or her successor is duly elected and qualifies. Holders of shares of our common stock will have no right to cumulative voting in the election of directors. Directors are elected by a plurality of all the votes cast in the election of directors at any meeting of stockholders duly called and at which a quorum is present.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Removal of Directors</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7"/>
          <w:szCs w:val="17"/>
          <w:color w:val="auto"/>
        </w:rPr>
        <w:t>Our charter provides that, subject to the rights of holders of one or more classes or series of preferred stock to elect or remove one or more directors, any director or the entire board of directors may be removed only for cause and only by the affirmative vote of at least two-thirds of the votes entitled to be cast generally in the election of directors. Cause means, with respect to any particular director, a conviction of a felony or a final judgment of a court of competent jurisdiction holding that such director caused demonstrable, material harm to us through bad faith or active and deliberate dishonesty.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Combinations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Under the MGCL, certain “business combinations” ​(including a merger, consolidation, share exchange or, in certain circumstances, an asset transfer or issuance or reclassification of equity securities) between a Maryland corporation and an interested stockholder (defined generally as any person who beneficially owns, directly or indirectly, 10% or more of the voting power of the corporation’s outstanding voting stock or an affiliate or associate of the corporation who, at any time within the two-year period prior to the date in question, was the beneficial owner of 10% or more of the voting power of the then outstanding stock of the corporation) or an affiliate of such an interested stockholder are prohibited for five years after the most recent date on which the interested stockholder becomes an interested stockholder. Thereafter, any such business combination must generally be recommended by the board of directors of such corporation and approved by the affirmative vote of at least (i) 80% of the votes entitled to be cast by holders of outstanding voting stock of the corporation and (ii) two- 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 A person is not an interested stockholder under the statute if the board of directors approved in advance the transaction by which the person otherwise would have become an interested stockholder. The board of directors may provide that its approval is subject to compliance with any terms and conditions determined by it.</w:t>
      </w:r>
    </w:p>
    <w:p>
      <w:pPr>
        <w:spacing w:after="0" w:line="117"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color w:val="auto"/>
        </w:rPr>
        <w:t>These provisions of the MGCL do not apply, however, to business combinations that are approved or exempted by a board of directors prior to the time that the interested stockholder becomes an interested stockholder. Pursuant to the statute, our board of directors has by resolution exempted business combinations between us and any other person and, consequently, the five-year prohibition and the supermajority vote requirements will not apply to business combinations between us and any person as described above. As a result, any person described above may be able to enter into business combinations with us that may not be in the best interest of our stockholders without compliance by our company with the supermajority vote requirements and other provisions of the statute.</w:t>
      </w:r>
    </w:p>
    <w:p>
      <w:pPr>
        <w:spacing w:after="0" w:line="3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We cannot assure you our board of directors will not opt to be subject to such business combination provisions in the future. However, an alteration or repeal of the resolution described above will not have any effect on any business combinations that have been consummated or upon any agreements existing at the time of such modification or repeal. If our board of directors opts back into the business combination statute, the business combination statute may discourage others from trying to acquire control of us and increase the difficulty of consummating any offer.</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 Share Acquisitions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MGCL provides that “control shares” of a Maryland corporation acquired in a “control share acquisition” have no voting rights except to the extent approved by the affirmative vote of two-thirds of the votes entitled to be cast on the matter, excluding shares of stock in a corporation in respect of which any of the following persons is entitled to exercise or direct the exercise of the voting power of such shares in the election of directors: (i) a person who makes or proposes to make a control share acquisition; (ii) an officer of the corporation; or (iii) an employee of the corporation who is also a director of the corporation. “Control shares” are voting shares of stock which, if aggregated with all other such shares of stock previously acquired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(a) one-tenth or more but less than one-third; (b) one-third or more but less than a majority; or (c) a majority or more of all voting power. Control shares do not include shares that the acquiring person is then entitled to vote as a result of having previously obtained stockholder approval or shares acquired directly from the corporation. A “control share acquisition” means the acquisition, directly or indirectly, of ownership of, or the power to direct the exercise of voting power with respect to, issued and outstanding control shares, subject to certain exceptions.</w:t>
      </w:r>
    </w:p>
    <w:p>
      <w:pPr>
        <w:spacing w:after="0" w:line="130"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7"/>
          <w:szCs w:val="17"/>
          <w:color w:val="auto"/>
        </w:rPr>
        <w:t>A person who has made or proposes to make a control share acquisition, upon satisfaction of certain conditions (including an undertaking to pay expenses and making an “acquiring person statement” as described in the MGCL), may compel the corporation to call a special meeting of stockholders to be held within 50 days of demand to consider the voting rights of the shares. If no request for a meeting is made, the corporation may itself present the question at any stockholders’ meeting.</w:t>
      </w:r>
    </w:p>
    <w:p>
      <w:pPr>
        <w:spacing w:after="0" w:line="103"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of any meeting of stockholders at which the voting rights of such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 The control share acquisition statute does not apply to</w:t>
      </w:r>
    </w:p>
    <w:p>
      <w:pPr>
        <w:spacing w:after="0" w:line="4" w:lineRule="exact"/>
        <w:rPr>
          <w:sz w:val="20"/>
          <w:szCs w:val="20"/>
          <w:color w:val="auto"/>
        </w:rPr>
      </w:pPr>
    </w:p>
    <w:p>
      <w:pPr>
        <w:ind w:left="1260" w:right="1219"/>
        <w:spacing w:after="0" w:line="321" w:lineRule="auto"/>
        <w:tabs>
          <w:tab w:leader="none" w:pos="14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shares acquired in a merger, consolidation or share exchange if the corporation is a party to the transaction or (ii) acquisitions approved or exempted by the charter or bylaws of the corporation.</w:t>
      </w:r>
    </w:p>
    <w:p>
      <w:pPr>
        <w:spacing w:after="0" w:line="59"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Our bylaws contain a provision exempting from the control share acquisition statute any acquisitions by any person of shares of our stock. There is no assurance that such provision will not be amended or eliminated at any time in the future.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Subtitle 8</w:t>
      </w:r>
    </w:p>
    <w:p>
      <w:pPr>
        <w:spacing w:after="0" w:line="148" w:lineRule="exact"/>
        <w:rPr>
          <w:sz w:val="20"/>
          <w:szCs w:val="20"/>
          <w:color w:val="auto"/>
        </w:rPr>
      </w:pPr>
    </w:p>
    <w:p>
      <w:pPr>
        <w:ind w:left="1260" w:right="579" w:firstLine="360"/>
        <w:spacing w:after="0" w:line="249" w:lineRule="auto"/>
        <w:rPr>
          <w:sz w:val="20"/>
          <w:szCs w:val="20"/>
          <w:color w:val="auto"/>
        </w:rPr>
      </w:pPr>
      <w:r>
        <w:rPr>
          <w:rFonts w:ascii="Arial" w:cs="Arial" w:eastAsia="Arial" w:hAnsi="Arial"/>
          <w:sz w:val="18"/>
          <w:szCs w:val="18"/>
          <w:color w:val="auto"/>
        </w:rPr>
        <w:t>Subtitle 8 of Title 3 of the MGCL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the charter or bylaws, to any or all of five provisions:</w:t>
      </w:r>
    </w:p>
    <w:p>
      <w:pPr>
        <w:spacing w:after="0" w:line="73" w:lineRule="exact"/>
        <w:rPr>
          <w:sz w:val="20"/>
          <w:szCs w:val="20"/>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the remaining directors and for the remainder of the full term of class of directors in which the vacancy occurred;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majority requirement for the calling of a special meeting of stockholders.</w:t>
      </w:r>
    </w:p>
    <w:p>
      <w:pPr>
        <w:spacing w:after="0" w:line="144"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We have not elected to be subject to any of the provisions of Subtitle 8. Moreover, our charter provides that, without the affirmative vote of a majority of the votes cast on the matter by our stockholders entitled to vote generally in the election of directors, we may not elect to be subject to any of the provisions of Subtitle 8.</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Amendments to Our Charter and Bylaws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Our charter generally may be amended only with the approval of our board of directors and the affirmative vote of the stockholders entitled to cast a majority of all of the votes entitled to be cast on the matter. However, our board of directors, without stockholder approval, has the power under our charter to amend our charter from time to time to increase or decrease the aggregate number of shares of stock or the number of shares of stock of any class or series that we are authorized to issue, to authorize us to issue authorized but unissued shares of our common stock or preferred stock and to classify or reclassify any unissued shares of our common stock or preferred stock into one or more classes or series of stock and set the terms of such newly classified or reclassified shares. See “Description of Common Stock — Power to Reclassify Our Unissued Shares of Stock” and “Description of Common Stock — Power to Increase or Decrease Authorized Shares of Common Stock and Issue Additional Shares of Common Stock and Preferred Stock.”</w:t>
      </w:r>
    </w:p>
    <w:p>
      <w:pPr>
        <w:spacing w:after="0" w:line="125" w:lineRule="exact"/>
        <w:rPr>
          <w:sz w:val="20"/>
          <w:szCs w:val="20"/>
          <w:color w:val="auto"/>
        </w:rPr>
      </w:pPr>
    </w:p>
    <w:p>
      <w:pPr>
        <w:ind w:left="1260" w:right="459" w:firstLine="360"/>
        <w:spacing w:after="0" w:line="249" w:lineRule="auto"/>
        <w:rPr>
          <w:sz w:val="20"/>
          <w:szCs w:val="20"/>
          <w:color w:val="auto"/>
        </w:rPr>
      </w:pPr>
      <w:r>
        <w:rPr>
          <w:rFonts w:ascii="Arial" w:cs="Arial" w:eastAsia="Arial" w:hAnsi="Arial"/>
          <w:sz w:val="18"/>
          <w:szCs w:val="18"/>
          <w:color w:val="auto"/>
        </w:rPr>
        <w:t>Our bylaws provide that the board of directors has the power to adopt, alter or repeal any provision of our bylaws and to make new bylaws. In addition, pursuant to a binding stockholder proposal, our stockholders have the power to alter, amend or repeal our bylaws by the affirmative vote of a majority of all votes entitled to be case on the matter.</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Dissolution of Our Company</w:t>
      </w:r>
    </w:p>
    <w:p>
      <w:pPr>
        <w:spacing w:after="0" w:line="162"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The dissolution of our company must be declared advisable by a majority of our entire board of directors and approved by the affirmative vote of the stockholders entitled to cast a majority of all of the votes entitled to be cast on the matter.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Our bylaws provide that, unless we consent in writing to the selection of an alternative forum, the Circuit Court for Baltimore City, Maryland, or, if that Court does not have jurisdiction, the U.S. District Court for the District of Maryland, Baltimore Division, is the sole and exclusive forum for: (i) any derivative action or proceeding brought on our behalf; (ii) any action asserting a claim of breach of any duty owed by us or by any director or officer or other employee of the Company to us or our stockholders;</w:t>
      </w:r>
    </w:p>
    <w:p>
      <w:pPr>
        <w:spacing w:after="0" w:line="1" w:lineRule="exact"/>
        <w:rPr>
          <w:sz w:val="20"/>
          <w:szCs w:val="20"/>
          <w:color w:val="auto"/>
        </w:rPr>
      </w:pPr>
    </w:p>
    <w:p>
      <w:pPr>
        <w:ind w:left="1260" w:right="479"/>
        <w:spacing w:after="0" w:line="242" w:lineRule="auto"/>
        <w:tabs>
          <w:tab w:leader="none" w:pos="15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the Company arising pursuant to any provision of the MGCL or our charter or bylaws; or (iv) any action asserting a claim against us or any director or officer or other employee of the Company that is governed by the internal affairs doctrine.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 of Stockholders</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Under our bylaws, annual meetings of stockholders must be held each year at a date, time and place determined by our board of directors. Special meetings of stockholders may be called by the chairman of our board of directors, our chief executive officer, our president and our board of directors. Subject to the provisions of our bylaws, a special meeting of stockholders to act on any matter that may properly be considered at a meeting of stockholders must be called by our secretary upon the written request of stockholders entitled to cast a majority of all of the votes entitled to be cast on the matter at such meeting who have requested the special meeting in accordance with the procedures specified in our bylaws and provided the information and certifications required by our bylaws. Only matters set forth in the notice of a special meeting of stockholders may be considered and acted upon at such a meeting.</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 Notice of Director Nominations and New Business</w:t>
      </w:r>
    </w:p>
    <w:p>
      <w:pPr>
        <w:spacing w:after="0" w:line="162"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Our bylaws provide that, with respect to an annual meeting of stockholders, nominations of individuals for election to our board of directors and the proposal of other business to be considered by stockholders may be made only (i) pursuant to our notice of the meeting, (ii) by or at the direction of our board of directors or (iii) by a stockholder who is a stockholder of record at the record date set by the board of directors for the purpose of determining stockholders entitled to vote at the annual meeting, at the time of giving the notice required by our bylaws and at the time of the meeting (and any postponement or adjournment thereof), who is entitled to vote at the meeting in the election of each individual so nominated or on such other business and who has complied with the advance notice provisions set forth in our bylaws.</w:t>
      </w:r>
    </w:p>
    <w:p>
      <w:pPr>
        <w:spacing w:after="0" w:line="108"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With respect to special meetings of stockholders, only the business specified in our notice of meeting may be brought before the meeting. Nominations of individuals for election to our board of directors may be made only (i) by or at the direction of our board of directors or (ii) provided that the special meeting has been called in accordance with our bylaws for the purpose of electing directors, by a stockholder who is a stockholder of record at the record date set by the board of directors for the purpose of determining stockholders entitled to vote at the special meeting, at the time of giving the notice required by our bylaws and at the time of the special meeting (and any postponement or adjournment thereof), who is entitled to vote at the meeting in the election of each individual so nominated and who has complied with the advance notice provisions set forth in our bylaws.</w:t>
      </w:r>
    </w:p>
    <w:p>
      <w:pPr>
        <w:spacing w:after="0" w:line="118"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Such provisions may have the effect of precluding the consideration of stockholder proposals, including stockholder nominations for the election of directors,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Effects of Maryland Law and our Charter and Bylaws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Our charter and bylaws and Maryland law contain provisions that may delay, defer or prevent a change in control or other transaction that might involve a premium price for our shares of common stock or otherwise be in the best interest of our stockholders, including restrictions on ownership and transfer of our stock, the power of our board to authorize additional shares of capital stock and classify or reclassify capital stock without stockholder approval, limitations on the removal of directors and advance notice requirements for director nominations and stockholder proposals. Likewise, if the provision in the bylaws opting out of the control share acquisition provisions of the MGCL were to be rescinded, if the Company were to opt into the business combination provisions of the MGCL, or if our stockholders were to approve the Company’s election to be subject to a classified board or other provisions of Subtitle 8, these provisions of the MGCL could have similar anti-takeover effects.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and Limitation of Directors’ and Executive Officers’ Liability</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actual receipt of an improper benefit or profit in money, property or services or active and deliberate dishonesty that was established by a final judgment and was material to the cause of action. Our charter contains such a provision and eliminates the liability of our directors and executive officers to the maximum extent permitted by Maryland law.</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MGCL requires a Maryland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spacing w:after="0" w:line="78" w:lineRule="exact"/>
        <w:rPr>
          <w:sz w:val="20"/>
          <w:szCs w:val="20"/>
          <w:color w:val="auto"/>
        </w:rPr>
      </w:pPr>
    </w:p>
    <w:p>
      <w:pPr>
        <w:ind w:left="1800" w:right="559" w:hanging="180"/>
        <w:spacing w:after="0" w:line="308" w:lineRule="auto"/>
        <w:tabs>
          <w:tab w:leader="none" w:pos="1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act or omission of the director or officer was material to the matter giving rise to the proceeding and (i) was committed in bad faith or (ii) was the result of active and deliberate dishonesty;</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51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103"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However, under the MGCL, a Maryland corporation may not indemnify a director or officer in a suit by or in the right of the corporation, in which the director or officer was adjudged liable to the corporation or in any proceeding charging improper personal benefit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personal benefit was improperly received, is limited to expenses.</w:t>
      </w:r>
    </w:p>
    <w:p>
      <w:pPr>
        <w:spacing w:after="0" w:line="120"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In addition, the MGCL permits a Maryland corporation to advance reasonable expenses to a director or officer upon the corporation’s receipt of:</w:t>
      </w:r>
    </w:p>
    <w:p>
      <w:pPr>
        <w:spacing w:after="0" w:line="49" w:lineRule="exact"/>
        <w:rPr>
          <w:sz w:val="20"/>
          <w:szCs w:val="20"/>
          <w:color w:val="auto"/>
        </w:rPr>
      </w:pPr>
    </w:p>
    <w:p>
      <w:pPr>
        <w:ind w:left="1800" w:right="65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written affirmation by the director or officer of his or her good faith belief that he or she has met the standard of conduct necessary for indemnification by the corporation; and</w:t>
      </w:r>
    </w:p>
    <w:p>
      <w:pPr>
        <w:spacing w:after="0" w:line="48"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written undertaking by the director or officer or on the director’s or officer’s behalf to repay the amount paid or reimbursed by the corporation if it is ultimately determined that the director or officer did not meet the standard of conduct.</w:t>
      </w:r>
    </w:p>
    <w:p>
      <w:pPr>
        <w:spacing w:after="0" w:line="116" w:lineRule="exact"/>
        <w:rPr>
          <w:sz w:val="20"/>
          <w:szCs w:val="20"/>
          <w:color w:val="auto"/>
        </w:rPr>
      </w:pPr>
    </w:p>
    <w:p>
      <w:pPr>
        <w:jc w:val="both"/>
        <w:ind w:left="1260" w:right="519" w:firstLine="360"/>
        <w:spacing w:after="0" w:line="278" w:lineRule="auto"/>
        <w:rPr>
          <w:sz w:val="20"/>
          <w:szCs w:val="20"/>
          <w:color w:val="auto"/>
        </w:rPr>
      </w:pPr>
      <w:r>
        <w:rPr>
          <w:rFonts w:ascii="Arial" w:cs="Arial" w:eastAsia="Arial" w:hAnsi="Arial"/>
          <w:sz w:val="17"/>
          <w:szCs w:val="17"/>
          <w:color w:val="auto"/>
        </w:rPr>
        <w:t>Our charter and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50" w:lineRule="exact"/>
        <w:rPr>
          <w:sz w:val="20"/>
          <w:szCs w:val="20"/>
          <w:color w:val="auto"/>
        </w:rPr>
      </w:pPr>
    </w:p>
    <w:p>
      <w:pPr>
        <w:ind w:left="1800" w:right="459" w:hanging="180"/>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present or former director or officer who is made, or threatened to be made, a party to or witness in the proceeding by reason of his or her service in that capacity;</w:t>
      </w:r>
    </w:p>
    <w:p>
      <w:pPr>
        <w:spacing w:after="0" w:line="62" w:lineRule="exact"/>
        <w:rPr>
          <w:rFonts w:ascii="Arial" w:cs="Arial" w:eastAsia="Arial" w:hAnsi="Arial"/>
          <w:sz w:val="18"/>
          <w:szCs w:val="18"/>
          <w:color w:val="auto"/>
        </w:rPr>
      </w:pPr>
    </w:p>
    <w:p>
      <w:pPr>
        <w:ind w:left="1800" w:right="459" w:hanging="180"/>
        <w:spacing w:after="0" w:line="25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individual who, while a director or officer of our company and at our request, serves or has served as a director, officer, partner, member, manager or trustee of another corporation, real estate investment trust, partnership, limited liability company, joint venture, trust, employee benefit plan or other enterprise and who is made, or threatened to be made, a party to or witness in the proceeding by reason of his or her service in that capacity; or</w:t>
      </w:r>
    </w:p>
    <w:p>
      <w:pPr>
        <w:spacing w:after="0" w:line="79"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individual who served any predecessor of our company in a similar capacity, who is made or threatened to be made a party to or witness in the proceeding by reason of his or her service in such capacity.</w:t>
      </w:r>
    </w:p>
    <w:p>
      <w:pPr>
        <w:spacing w:after="0" w:line="103"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Our charter and bylaws also permit us, with the approval of our board of directors, to indemnify and advance expenses to any employee or agent of our company or a predecessor of our company.</w:t>
      </w:r>
    </w:p>
    <w:p>
      <w:pPr>
        <w:spacing w:after="0" w:line="65"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7"/>
          <w:szCs w:val="17"/>
          <w:color w:val="auto"/>
        </w:rPr>
        <w:t>We have entered into indemnification agreements with each of our directors and executive officers providing for the indemnification by us for certain liabilities and expenses incurred as a result of actions brought, or threatened to be brought, against (i) our directors and executive officers and (ii) our executive officers who are former members, managers, stockholders, directors, limited partners, general partners, officers or controlling persons of our predecessor in their capacities as such. 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Restriction on Ownership and Transfer</w:t>
      </w:r>
    </w:p>
    <w:p>
      <w:pPr>
        <w:spacing w:after="0" w:line="162"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Subject to certain exceptions, our charter provides that no person or entity may actually or beneficially own, or be deemed to own by virtue of the applicable constructive ownership provisions of the Code, more than 9.8% (in value or number of shares, whichever is more restrictive) of the outstanding shares of our common stock or more than 9.8% (in value or number of shares, whichever is more restrictive) of the</w:t>
      </w:r>
    </w:p>
    <w:p>
      <w:pPr>
        <w:sectPr>
          <w:pgSz w:w="11900" w:h="16838" w:orient="portrait"/>
          <w:cols w:equalWidth="0" w:num="1">
            <w:col w:w="9879"/>
          </w:cols>
          <w:pgMar w:left="580" w:top="90" w:right="1440" w:bottom="1440" w:gutter="0" w:footer="0" w:header="0"/>
        </w:sectPr>
      </w:pPr>
    </w:p>
    <w:p>
      <w:pPr>
        <w:spacing w:after="0" w:line="34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79"/>
        <w:spacing w:after="0" w:line="263" w:lineRule="auto"/>
        <w:rPr>
          <w:sz w:val="20"/>
          <w:szCs w:val="20"/>
          <w:color w:val="auto"/>
        </w:rPr>
      </w:pPr>
      <w:r>
        <w:rPr>
          <w:rFonts w:ascii="Arial" w:cs="Arial" w:eastAsia="Arial" w:hAnsi="Arial"/>
          <w:sz w:val="18"/>
          <w:szCs w:val="18"/>
          <w:color w:val="auto"/>
        </w:rPr>
        <w:t>aggregate outstanding shares of our stock. For a fuller description of this and other restrictions on ownership and transfer of our stock, see “Description of Common Stock — Restrictions on Ownership and Transfer.”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REIT Qualification</w:t>
      </w:r>
    </w:p>
    <w:p>
      <w:pPr>
        <w:spacing w:after="0" w:line="162" w:lineRule="exact"/>
        <w:rPr>
          <w:sz w:val="20"/>
          <w:szCs w:val="20"/>
          <w:color w:val="auto"/>
        </w:rPr>
      </w:pPr>
    </w:p>
    <w:p>
      <w:pPr>
        <w:jc w:val="both"/>
        <w:ind w:left="1260" w:right="459" w:firstLine="360"/>
        <w:spacing w:after="0" w:line="257" w:lineRule="auto"/>
        <w:rPr>
          <w:sz w:val="20"/>
          <w:szCs w:val="20"/>
          <w:color w:val="auto"/>
        </w:rPr>
      </w:pPr>
      <w:r>
        <w:rPr>
          <w:rFonts w:ascii="Arial" w:cs="Arial" w:eastAsia="Arial" w:hAnsi="Arial"/>
          <w:sz w:val="18"/>
          <w:szCs w:val="18"/>
          <w:color w:val="auto"/>
        </w:rPr>
        <w:t>Our charter provides that our board of directors may revoke or otherwise terminate our REIT election, without approval of our stockholders, if it determines that it is no longer in our best interests to continue to be qualified as a REIT. Our charter also provides that our board of directors may determine that compliance with one or more of the restrictions on ownership and transfer of our stock is no longer required in order for us to qualify as a REIT.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FEDERAL INCOME TAX CONSIDERATIONS</w:t>
      </w:r>
    </w:p>
    <w:p>
      <w:pPr>
        <w:spacing w:after="0" w:line="162"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The following is a general summary of certain material U.S. federal income tax considerations regarding our election to be taxed as a REIT and this offering of our capital stock. For purposes of this discussion, references to “we,” “our” and “us” mean only Safehold Inc. and do not include any of its subsidiaries, except as otherwise indicated. This summary is for general information only and is not tax advice. The information in this summary is based on:</w:t>
      </w:r>
    </w:p>
    <w:p>
      <w:pPr>
        <w:spacing w:after="0" w:line="80" w:lineRule="exact"/>
        <w:rPr>
          <w:sz w:val="20"/>
          <w:szCs w:val="20"/>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Code;</w:t>
      </w:r>
    </w:p>
    <w:p>
      <w:pPr>
        <w:spacing w:after="0" w:line="130"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current, temporary and proposed Treasury regulations promulgated under the Code, or the Treasury Regulations;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legislative history of the Code;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administrative interpretations and practices of the IRS;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court decisions;</w:t>
      </w:r>
    </w:p>
    <w:p>
      <w:pPr>
        <w:spacing w:after="0" w:line="158"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in each case, as of the date of this prospectus. In addition, the administrative interpretations and practices of the IRS include its practices and policies as expressed in private letter rulings that are not binding on the IRS except with respect to the particular taxpayers who requested and received those rulings. The sections of the Code and the corresponding Treasury Regulations that relate to qualification and taxation as a REIT are highly technical and complex. The following discussion sets forth certain material aspects of the sections of the Code that govern the U.S. federal income tax treatment of a REIT and its stockholders. This summary is qualified in its entirety by the applicable Code provisions, Treasury Regulations promulgated under the Code, and administrative and judicial interpretations thereof. Potential tax reforms may result in significant changes to the rules governing U.S. federal income taxation. New legislation, Treasury Regulations, administrative interpretations and practices and/or court decisions may significantly and adversely affect our ability to qualify as a REIT, the U.S. federal income tax consequences of such qualification, or the U.S. federal income tax consequences of an investment in us, including those described in this discussion. Moreover, the law relating to the tax treatment of other entities, or an investment in other entities, could change, making an investment in such other entities more attractive relative to an investment in a REIT. Any such changes could apply retroactively to transactions preceding the date of the change. We have not requested, and do not plan to request, any rulings from the IRS that we qualify as a REIT, and the statements in this prospectus are not binding on the IRS or any court. Thus, we can provide no assurance that the tax considerations contained in this discussion will not be challenged by the IRS or will be sustained by a court if challenged by the IRS. This summary does not discuss any state, local or non-U.S. tax consequences, or any tax consequences arising under any U.S. federal tax laws other than U.S. federal income tax laws, associated with the purchase, ownership or disposition of our capital stock or our operating company’s debt securities, or our election to be taxed as a REIT.</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You are urged to consult your tax advisor regarding the tax consequences to you of:</w:t>
      </w:r>
    </w:p>
    <w:p>
      <w:pPr>
        <w:spacing w:after="0" w:line="117" w:lineRule="exact"/>
        <w:rPr>
          <w:sz w:val="20"/>
          <w:szCs w:val="20"/>
          <w:color w:val="auto"/>
        </w:rPr>
      </w:pPr>
    </w:p>
    <w:p>
      <w:pPr>
        <w:ind w:left="1800" w:right="479" w:hanging="180"/>
        <w:spacing w:after="0" w:line="282"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the purchase, ownership and disposition of our capital stock, including the U.S. federal, state, local, non-U.S. and other tax consequences;</w:t>
      </w:r>
    </w:p>
    <w:p>
      <w:pPr>
        <w:spacing w:after="0" w:line="53" w:lineRule="exact"/>
        <w:rPr>
          <w:rFonts w:ascii="Arial" w:cs="Arial" w:eastAsia="Arial" w:hAnsi="Arial"/>
          <w:sz w:val="18"/>
          <w:szCs w:val="18"/>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our election to be taxed as a REIT for U.S. federal income tax purposes;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potential changes in applicable tax laws.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Taxation of Our Company</w:t>
      </w:r>
    </w:p>
    <w:p>
      <w:pPr>
        <w:spacing w:after="0" w:line="162"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We have elected to be taxed as a REIT under Sections 856 through 860 of the Code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commencing with our initial taxable year ended December 31, 1998. We believe that we have been organized and have operated in a manner that has allowed us to qualify for taxation as a REIT under the Code commencing with such taxable year, and we intend to continue to be organized and operate in this manner. However, qualification and taxation as a REIT depend upon our ability to meet the various qualification tests imposed under the Code, including through actual operating results, asset composition, distribution levels and diversity of stock ownership. Accordingly, no assurance can be given that we have been organized or will</w:t>
      </w:r>
    </w:p>
    <w:p>
      <w:pPr>
        <w:sectPr>
          <w:pgSz w:w="11900" w:h="16838" w:orient="portrait"/>
          <w:cols w:equalWidth="0" w:num="1">
            <w:col w:w="9879"/>
          </w:cols>
          <w:pgMar w:left="580" w:top="90" w:right="1440" w:bottom="1440" w:gutter="0" w:footer="0" w:header="0"/>
        </w:sectPr>
      </w:pPr>
    </w:p>
    <w:p>
      <w:pPr>
        <w:spacing w:after="0" w:line="36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color w:val="auto"/>
        </w:rPr>
        <w:t>be able to operate in a manner so as to qualify or remain qualified as a REIT. See “— Failure to Qualify” for potential tax consequences if we fail to qualify as a REIT.</w:t>
      </w:r>
    </w:p>
    <w:p>
      <w:pPr>
        <w:spacing w:after="0" w:line="103" w:lineRule="exact"/>
        <w:rPr>
          <w:sz w:val="20"/>
          <w:szCs w:val="20"/>
          <w:color w:val="auto"/>
        </w:rPr>
      </w:pPr>
    </w:p>
    <w:p>
      <w:pPr>
        <w:ind w:left="1260" w:right="439" w:firstLine="360"/>
        <w:spacing w:after="0" w:line="285" w:lineRule="auto"/>
        <w:rPr>
          <w:sz w:val="20"/>
          <w:szCs w:val="20"/>
          <w:color w:val="auto"/>
        </w:rPr>
      </w:pPr>
      <w:r>
        <w:rPr>
          <w:rFonts w:ascii="Arial" w:cs="Arial" w:eastAsia="Arial" w:hAnsi="Arial"/>
          <w:sz w:val="16"/>
          <w:szCs w:val="16"/>
          <w:color w:val="auto"/>
        </w:rPr>
        <w:t>Latham &amp; Watkins LLP has acted as our tax counsel in connection with the filing of this prospectus. Latham &amp; Watkins LLP has rendered an opinion to us, as of the date of this prospectus, to the effect that, commencing with our taxable year ended December 31, 2019, we have been organized and have operated in conformity with the requirements for qualification and taxation as a REIT under the Code, and our proposed method of operation will enable us to continue to meet the requirements for qualification and taxation as a REIT under the Code. It must be emphasized that this opinion was based on various assumptions and representations as to factual matters, including representations made by us in a factual certificate provided by one or more of our officers. In addition, this opinion was based upon our factual representations set forth in this prospectus. Moreover, our qualification and taxation as a REIT depend upon our ability to meet the various qualification tests imposed under the Code, which are discussed below, including through actual operating results, asset composition, distribution levels and diversity of stock ownership, the results of which have not been and will not be reviewed by Latham &amp; Watkins LLP. Accordingly, no assurance can be given that our actual results of operations for any particular taxable year have satisfied or will satisfy those requirements. Further, the anticipated U.S. federal income tax treatment described herein may be changed, perhaps retroactively, by legislative, administrative or judicial action at any time. Latham &amp; Watkins LLP has no obligation to update its opinion subsequent to the date of such opinion.</w:t>
      </w:r>
    </w:p>
    <w:p>
      <w:pPr>
        <w:spacing w:after="0" w:line="327"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Provided we qualify for taxation as a REIT, we generally will not be required to pay U.S. federal corporate income taxes on our REIT taxable income that is currently distributed to our stockholders. This treatment substantially eliminates the “double taxation” that ordinarily results from investment in a C corporation. A C corporation is a corporation that generally is required to pay tax at the corporate level. Double taxation means taxation once at the corporate level when income is earned and once again at the stockholder level when the income is distributed. We will, however, be required to pay U.S. federal income tax as follows:</w:t>
      </w:r>
    </w:p>
    <w:p>
      <w:pPr>
        <w:spacing w:after="0" w:line="87" w:lineRule="exact"/>
        <w:rPr>
          <w:sz w:val="20"/>
          <w:szCs w:val="20"/>
          <w:color w:val="auto"/>
        </w:rPr>
      </w:pPr>
    </w:p>
    <w:p>
      <w:pPr>
        <w:ind w:left="1800" w:right="41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First, we will be required to pay regular U.S. federal corporate income tax on any undistributed REIT taxable income, including undistributed capital gain.</w:t>
      </w:r>
    </w:p>
    <w:p>
      <w:pPr>
        <w:spacing w:after="0" w:line="62" w:lineRule="exact"/>
        <w:rPr>
          <w:rFonts w:ascii="Arial" w:cs="Arial" w:eastAsia="Arial" w:hAnsi="Arial"/>
          <w:sz w:val="18"/>
          <w:szCs w:val="18"/>
          <w:color w:val="auto"/>
        </w:rPr>
      </w:pPr>
    </w:p>
    <w:p>
      <w:pPr>
        <w:ind w:left="1800" w:right="539" w:hanging="180"/>
        <w:spacing w:after="0" w:line="254"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Second, if we have (1) net income from the sale or other disposition of “foreclosure property” held primarily for sale to customers in the ordinary course of business or (2) other nonqualifying income from foreclosure property, we will be required to pay regular U.S. federal corporate income tax on this income. To the extent that income from foreclosure property is otherwise qualifying income for purposes of the 75% gross income test, this tax is not applicable. Subject to certain other requirements, foreclosure property generally is defined as property we acquired through foreclosure or after a default on a loan secured by the property or a lease of the property. See “— Foreclosure Property.”</w:t>
      </w:r>
    </w:p>
    <w:p>
      <w:pPr>
        <w:spacing w:after="0" w:line="97" w:lineRule="exact"/>
        <w:rPr>
          <w:rFonts w:ascii="Arial" w:cs="Arial" w:eastAsia="Arial" w:hAnsi="Arial"/>
          <w:sz w:val="18"/>
          <w:szCs w:val="18"/>
          <w:color w:val="auto"/>
        </w:rPr>
      </w:pPr>
    </w:p>
    <w:p>
      <w:pPr>
        <w:ind w:left="1800" w:right="679" w:hanging="180"/>
        <w:spacing w:after="0" w:line="259"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Third, we will be required to pay a 100% tax on any net income from prohibited transactions. Prohibited transactions are, in general, sales or other taxable dispositions of property, other than foreclosure property, held as inventory or primarily for sale to customers in the ordinary course of business.</w:t>
      </w:r>
    </w:p>
    <w:p>
      <w:pPr>
        <w:spacing w:after="0" w:line="78" w:lineRule="exact"/>
        <w:rPr>
          <w:rFonts w:ascii="Arial" w:cs="Arial" w:eastAsia="Arial" w:hAnsi="Arial"/>
          <w:sz w:val="18"/>
          <w:szCs w:val="18"/>
          <w:color w:val="auto"/>
        </w:rPr>
      </w:pPr>
    </w:p>
    <w:p>
      <w:pPr>
        <w:ind w:left="1800" w:right="459" w:hanging="180"/>
        <w:spacing w:after="0" w:line="275" w:lineRule="auto"/>
        <w:tabs>
          <w:tab w:leader="none" w:pos="18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Fourth, if we fail to satisfy the 75% gross income test or the 95% gross income test, as described below, but have otherwise maintained our qualification as a REIT because certain other requirements are met, we will be required to pay a tax equal to (1) the greater of (A) the amount by which we fail to satisfy the 75% gross income test and (B) the amount by which we fail to satisfy the 95% gross income test, multiplied by (2) a fraction intended to reflect our profitability.</w:t>
      </w:r>
    </w:p>
    <w:p>
      <w:pPr>
        <w:spacing w:after="0" w:line="68" w:lineRule="exact"/>
        <w:rPr>
          <w:rFonts w:ascii="Arial" w:cs="Arial" w:eastAsia="Arial" w:hAnsi="Arial"/>
          <w:sz w:val="17"/>
          <w:szCs w:val="17"/>
          <w:color w:val="auto"/>
        </w:rPr>
      </w:pPr>
    </w:p>
    <w:p>
      <w:pPr>
        <w:ind w:left="1800" w:right="659" w:hanging="180"/>
        <w:spacing w:after="0" w:line="275" w:lineRule="auto"/>
        <w:tabs>
          <w:tab w:leader="none" w:pos="18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Fifth, if we fail to satisfy any of the asset tests (other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failure of the 5% or 10% asset test), as described below, due to reasonable cause and not due to willful neglect, and we nonetheless maintain our REIT qualification because of specified cure provisions, we will be required to pay a tax equal to the greater of $50,000 or the U.S. federal corporate income tax rate multiplied by the net income generated by the nonqualifying assets that caused us to fail such test.</w:t>
      </w:r>
    </w:p>
    <w:p>
      <w:pPr>
        <w:spacing w:after="0" w:line="68" w:lineRule="exact"/>
        <w:rPr>
          <w:rFonts w:ascii="Arial" w:cs="Arial" w:eastAsia="Arial" w:hAnsi="Arial"/>
          <w:sz w:val="17"/>
          <w:szCs w:val="17"/>
          <w:color w:val="auto"/>
        </w:rPr>
      </w:pPr>
    </w:p>
    <w:p>
      <w:pPr>
        <w:ind w:left="1800" w:right="679" w:hanging="180"/>
        <w:spacing w:after="0" w:line="308" w:lineRule="auto"/>
        <w:tabs>
          <w:tab w:leader="none" w:pos="18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Sixth, if we fail to satisfy any provision of the Code that would result in our failure to qualify as a REIT (other than a violation of the gross income tests or certain violations of the asset tests, as</w:t>
      </w:r>
    </w:p>
    <w:p>
      <w:pPr>
        <w:sectPr>
          <w:pgSz w:w="11900" w:h="16838" w:orient="portrait"/>
          <w:cols w:equalWidth="0" w:num="1">
            <w:col w:w="9879"/>
          </w:cols>
          <w:pgMar w:left="580" w:top="90" w:right="1440" w:bottom="1440" w:gutter="0" w:footer="0" w:header="0"/>
        </w:sectPr>
      </w:pP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99"/>
        <w:spacing w:after="0" w:line="263" w:lineRule="auto"/>
        <w:rPr>
          <w:sz w:val="20"/>
          <w:szCs w:val="20"/>
          <w:color w:val="auto"/>
        </w:rPr>
      </w:pPr>
      <w:r>
        <w:rPr>
          <w:rFonts w:ascii="Arial" w:cs="Arial" w:eastAsia="Arial" w:hAnsi="Arial"/>
          <w:sz w:val="18"/>
          <w:szCs w:val="18"/>
          <w:color w:val="auto"/>
        </w:rPr>
        <w:t>described below) and the violation is due to reasonable cause and not due to willful neglect, we may retain our REIT qualification but we will be required to pay a penalty of $50,000 for each such failure.</w:t>
      </w:r>
    </w:p>
    <w:p>
      <w:pPr>
        <w:spacing w:after="0" w:line="76" w:lineRule="exact"/>
        <w:rPr>
          <w:sz w:val="20"/>
          <w:szCs w:val="20"/>
          <w:color w:val="auto"/>
        </w:rPr>
      </w:pPr>
    </w:p>
    <w:p>
      <w:pPr>
        <w:ind w:left="1800" w:right="519" w:hanging="180"/>
        <w:spacing w:after="0" w:line="286"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Seventh, we will be required to pay a 4% excise tax to the extent we fail to distribute during each calendar year at least the sum of (1) 85% of our ordinary income for the year, (2) 95% of our capital gain net income for the year, and (3) any undistributed taxable income from prior periods.</w:t>
      </w:r>
    </w:p>
    <w:p>
      <w:pPr>
        <w:spacing w:after="0" w:line="70" w:lineRule="exact"/>
        <w:rPr>
          <w:rFonts w:ascii="Arial" w:cs="Arial" w:eastAsia="Arial" w:hAnsi="Arial"/>
          <w:sz w:val="17"/>
          <w:szCs w:val="17"/>
          <w:color w:val="auto"/>
        </w:rPr>
      </w:pPr>
    </w:p>
    <w:p>
      <w:pPr>
        <w:ind w:left="1800" w:right="419" w:hanging="180"/>
        <w:spacing w:after="0" w:line="268"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Eighth, if we acquire any asset from a corporation that is or has been a C corporation in a transaction in which our tax basis in the asset is less than the fair market value of the asset, in each case determined as of the date on which we acquired the asset, and we subsequently recognize gain on the disposition of the asset during the five-year period beginning on the date on which we acquired the asset, then we generally will be required to pay regular U.S. federal corporate income tax on this gain to the extent of the excess of (1) the fair market value of the asset over (2) our adjusted tax basis in the asset, in each case determined as of the date on which we acquired the asset. The results described in this paragraph with respect to the recognition of gain assume that the C corporation will refrain from making an election to receive different treatment under applicable Treasury Regulations on its tax return for the year in which we acquire the asset from the C corporation. Under applicable Treasury Regulations, any gain from the sale of property we acquired in an exchange under Section 1031 (a like-kind exchange) or Section 1033 (an involuntary conversion) of the Code generally is excluded from the application of this built-in gains tax.</w:t>
      </w:r>
    </w:p>
    <w:p>
      <w:pPr>
        <w:spacing w:after="0" w:line="78" w:lineRule="exact"/>
        <w:rPr>
          <w:rFonts w:ascii="Arial" w:cs="Arial" w:eastAsia="Arial" w:hAnsi="Arial"/>
          <w:sz w:val="17"/>
          <w:szCs w:val="17"/>
          <w:color w:val="auto"/>
        </w:rPr>
      </w:pPr>
    </w:p>
    <w:p>
      <w:pPr>
        <w:ind w:left="1800" w:right="479" w:hanging="180"/>
        <w:spacing w:after="0" w:line="263"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Ninth, our subsidiaries that are C corporations and are not qualified REIT subsidiaries, including our “taxable REIT subsidiaries” described below, generally will be required to pay regular U.S. federal corporate income tax on their earnings.</w:t>
      </w:r>
    </w:p>
    <w:p>
      <w:pPr>
        <w:spacing w:after="0" w:line="75" w:lineRule="exact"/>
        <w:rPr>
          <w:rFonts w:ascii="Arial" w:cs="Arial" w:eastAsia="Arial" w:hAnsi="Arial"/>
          <w:sz w:val="18"/>
          <w:szCs w:val="18"/>
          <w:color w:val="auto"/>
        </w:rPr>
      </w:pPr>
    </w:p>
    <w:p>
      <w:pPr>
        <w:ind w:left="1800" w:right="499" w:hanging="180"/>
        <w:spacing w:after="0" w:line="254"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Tenth, we will generally be subject to tax on the portion of any “excess inclusion income” derived from an investment in residual interests in certain mortgage loan securitization structures (i.e., a “taxable mortgage pool,” or TMP, or a residual interest in a real estate mortgage investment conduit, or a REMIC) to the extent that our capital stock is held by specified types of tax-exempt organizations known as “disqualified organizations” that are not subject to tax on unrelated business taxable income, or UBTI. To the extent that we own a REMIC residual interest or a TMP through a taxable REIT subsidiary, or a TRS, we will not be subject to this tax. See “— Taxable Mortgage Pools.”</w:t>
      </w:r>
    </w:p>
    <w:p>
      <w:pPr>
        <w:spacing w:after="0" w:line="83" w:lineRule="exact"/>
        <w:rPr>
          <w:rFonts w:ascii="Arial" w:cs="Arial" w:eastAsia="Arial" w:hAnsi="Arial"/>
          <w:sz w:val="18"/>
          <w:szCs w:val="18"/>
          <w:color w:val="auto"/>
        </w:rPr>
      </w:pPr>
    </w:p>
    <w:p>
      <w:pPr>
        <w:ind w:left="1800" w:right="459" w:hanging="180"/>
        <w:spacing w:after="0" w:line="253"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Eleventh, we will be required to pay a 100% tax on any “redetermined rents,” “redetermined deductions,” “excess interest” or “redetermined TRS service income,” as described below under “— Penalty Tax.” In general, redetermined rents are rents from real property that are overstated as a result of services furnished to any of our tenants by a taxable REIT subsidiary of ours. Redetermined deductions and excess interest generally represent amounts that are deducted by a taxable REIT subsidiary of ours for amounts paid to us that are in excess of the amounts that would have been deducted based on arm’s length negotiations. Redetermined TRS service income generally represents income of a taxable REIT subsidiary that is understated as a result of services provided to us or on our behalf.</w:t>
      </w:r>
    </w:p>
    <w:p>
      <w:pPr>
        <w:spacing w:after="0" w:line="88" w:lineRule="exact"/>
        <w:rPr>
          <w:rFonts w:ascii="Arial" w:cs="Arial" w:eastAsia="Arial" w:hAnsi="Arial"/>
          <w:sz w:val="18"/>
          <w:szCs w:val="18"/>
          <w:color w:val="auto"/>
        </w:rPr>
      </w:pPr>
    </w:p>
    <w:p>
      <w:pPr>
        <w:ind w:left="1800" w:right="559" w:hanging="180"/>
        <w:spacing w:after="0" w:line="255"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Twelfth, we may elect to retain and pay income tax on our net capital gain. In that case, a stockholder would include its proportionate share of our undistributed capital gain (to the extent we make a timely designation of such gain to the stockholder) in its income, would be deemed to have paid the tax that we paid on such gain, and would be allowed a credit for its proportionate share of the tax deemed to have been paid, and an adjustment would be made to increase the tax basis of the stockholder in our capital stock.</w:t>
      </w:r>
    </w:p>
    <w:p>
      <w:pPr>
        <w:spacing w:after="0" w:line="84" w:lineRule="exact"/>
        <w:rPr>
          <w:rFonts w:ascii="Arial" w:cs="Arial" w:eastAsia="Arial" w:hAnsi="Arial"/>
          <w:sz w:val="18"/>
          <w:szCs w:val="18"/>
          <w:color w:val="auto"/>
        </w:rPr>
      </w:pPr>
    </w:p>
    <w:p>
      <w:pPr>
        <w:ind w:left="1800" w:right="499" w:hanging="180"/>
        <w:spacing w:after="0" w:line="25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Thirteenth, if we fail to comply with the requirement to send annual letters to our stockholders holding at least a certain percentage of our stock, as determined under applicable Treasury Regulations, requesting information regarding the actual ownership of our stock, and the failure is not due to reasonable cause or is due to willful neglect, we will be subject to a $25,000 penalty, or if the failure is intentional, a $50,000 penalty.</w:t>
      </w:r>
    </w:p>
    <w:p>
      <w:pPr>
        <w:spacing w:after="0" w:line="120" w:lineRule="exact"/>
        <w:rPr>
          <w:sz w:val="20"/>
          <w:szCs w:val="20"/>
          <w:color w:val="auto"/>
        </w:rPr>
      </w:pPr>
    </w:p>
    <w:p>
      <w:pPr>
        <w:jc w:val="center"/>
        <w:ind w:left="1580" w:right="260"/>
        <w:spacing w:after="0" w:line="308" w:lineRule="auto"/>
        <w:rPr>
          <w:sz w:val="20"/>
          <w:szCs w:val="20"/>
          <w:color w:val="auto"/>
        </w:rPr>
      </w:pPr>
      <w:r>
        <w:rPr>
          <w:rFonts w:ascii="Arial" w:cs="Arial" w:eastAsia="Arial" w:hAnsi="Arial"/>
          <w:sz w:val="17"/>
          <w:szCs w:val="17"/>
          <w:color w:val="auto"/>
        </w:rPr>
        <w:t>We and our subsidiaries may be subject to a variety of taxes other than U.S. federal income tax, including payroll taxes and state and local income, property and other taxes on our assets and operations.</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b w:val="1"/>
          <w:bCs w:val="1"/>
          <w:i w:val="1"/>
          <w:iCs w:val="1"/>
          <w:color w:val="auto"/>
        </w:rPr>
        <w:t>Requirements for Qualification as a REIT</w:t>
      </w:r>
      <w:r>
        <w:rPr>
          <w:rFonts w:ascii="Arial" w:cs="Arial" w:eastAsia="Arial" w:hAnsi="Arial"/>
          <w:sz w:val="18"/>
          <w:szCs w:val="18"/>
          <w:color w:val="auto"/>
        </w:rPr>
        <w:t>. The Code defines a REIT as a corporation, trust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w:t>
      </w:r>
    </w:p>
    <w:p>
      <w:pPr>
        <w:spacing w:after="0" w:line="76" w:lineRule="exact"/>
        <w:rPr>
          <w:sz w:val="20"/>
          <w:szCs w:val="20"/>
          <w:color w:val="auto"/>
        </w:rPr>
      </w:pPr>
    </w:p>
    <w:p>
      <w:pPr>
        <w:ind w:left="1980" w:hanging="360"/>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that issues transferable shares or transferable certificates to evidence its beneficial ownership;</w:t>
      </w:r>
    </w:p>
    <w:p>
      <w:pPr>
        <w:spacing w:after="0" w:line="155" w:lineRule="exact"/>
        <w:rPr>
          <w:rFonts w:ascii="Arial" w:cs="Arial" w:eastAsia="Arial" w:hAnsi="Arial"/>
          <w:sz w:val="17"/>
          <w:szCs w:val="17"/>
          <w:color w:val="auto"/>
        </w:rPr>
      </w:pPr>
    </w:p>
    <w:p>
      <w:pPr>
        <w:ind w:left="1980" w:hanging="360"/>
        <w:spacing w:after="0"/>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that would be taxable as a domestic corporation, but for Sections 856 through 860 of the Code;</w:t>
      </w:r>
    </w:p>
    <w:p>
      <w:pPr>
        <w:spacing w:after="0" w:line="155" w:lineRule="exact"/>
        <w:rPr>
          <w:rFonts w:ascii="Arial" w:cs="Arial" w:eastAsia="Arial" w:hAnsi="Arial"/>
          <w:sz w:val="17"/>
          <w:szCs w:val="17"/>
          <w:color w:val="auto"/>
        </w:rPr>
      </w:pPr>
    </w:p>
    <w:p>
      <w:pPr>
        <w:ind w:left="1980" w:right="459" w:hanging="360"/>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is not a financial institution or an insurance company within the meaning of certain provisions of the Code;</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is beneficially owned by 100 or more persons;</w:t>
      </w:r>
    </w:p>
    <w:p>
      <w:pPr>
        <w:spacing w:after="0" w:line="157" w:lineRule="exact"/>
        <w:rPr>
          <w:rFonts w:ascii="Arial" w:cs="Arial" w:eastAsia="Arial" w:hAnsi="Arial"/>
          <w:sz w:val="18"/>
          <w:szCs w:val="18"/>
          <w:color w:val="auto"/>
        </w:rPr>
      </w:pPr>
    </w:p>
    <w:p>
      <w:pPr>
        <w:ind w:left="1980" w:right="459" w:hanging="360"/>
        <w:spacing w:after="0" w:line="263"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more than 50% in value of the outstanding stock of which is owned, actually or constructively, by five or fewer individuals, including certain specified entities, during the last half of each taxable year; and</w:t>
      </w:r>
    </w:p>
    <w:p>
      <w:pPr>
        <w:spacing w:after="0" w:line="102" w:lineRule="exact"/>
        <w:rPr>
          <w:rFonts w:ascii="Arial" w:cs="Arial" w:eastAsia="Arial" w:hAnsi="Arial"/>
          <w:sz w:val="18"/>
          <w:szCs w:val="18"/>
          <w:color w:val="auto"/>
        </w:rPr>
      </w:pPr>
    </w:p>
    <w:p>
      <w:pPr>
        <w:ind w:left="1980" w:right="939" w:hanging="360"/>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meets other tests, described below, regarding the nature of its income and assets and the amount of its distributions.</w:t>
      </w:r>
    </w:p>
    <w:p>
      <w:pPr>
        <w:spacing w:after="0" w:line="89" w:lineRule="exact"/>
        <w:rPr>
          <w:sz w:val="20"/>
          <w:szCs w:val="20"/>
          <w:color w:val="auto"/>
        </w:rPr>
      </w:pPr>
    </w:p>
    <w:p>
      <w:pPr>
        <w:ind w:left="1260" w:right="499" w:firstLine="360"/>
        <w:spacing w:after="0" w:line="244" w:lineRule="auto"/>
        <w:rPr>
          <w:sz w:val="20"/>
          <w:szCs w:val="20"/>
          <w:color w:val="auto"/>
        </w:rPr>
      </w:pPr>
      <w:r>
        <w:rPr>
          <w:rFonts w:ascii="Arial" w:cs="Arial" w:eastAsia="Arial" w:hAnsi="Arial"/>
          <w:sz w:val="18"/>
          <w:szCs w:val="18"/>
          <w:color w:val="auto"/>
        </w:rPr>
        <w:t>The Code provides that conditions (1) to (4), inclusive, must be met during the entire taxable year and that condition (5) must be met during at least 335 days of a taxable year of 12 months, or during a proportionate part of a taxable year of less than 12 months. Conditions (5) and (6) do not apply until after the first taxable year for which an election is made to be taxed as a REIT. For purposes of condition (6), the term “individual” includes a supplemental unemployment compensation benefit plan, a private foundation or a portion of a trust permanently set aside or used exclusively for charitable purposes, but generally does not include a qualified pension plan or profit sharing trust.</w:t>
      </w:r>
    </w:p>
    <w:p>
      <w:pPr>
        <w:spacing w:after="0" w:line="120"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7"/>
          <w:szCs w:val="17"/>
          <w:color w:val="auto"/>
        </w:rPr>
        <w:t>We believe that we have been organized and have operated in a manner that has allowed us, and will continue to allow us, to satisfy conditions (1) through (7), inclusive, during the relevant time periods. In addition, our charter provides for restrictions regarding ownership and transfer of our shares that are intended to assist us in continuing to satisfy the share ownership requirements described in conditions</w:t>
      </w:r>
    </w:p>
    <w:p>
      <w:pPr>
        <w:spacing w:after="0" w:line="1" w:lineRule="exact"/>
        <w:rPr>
          <w:sz w:val="20"/>
          <w:szCs w:val="20"/>
          <w:color w:val="auto"/>
        </w:rPr>
      </w:pPr>
    </w:p>
    <w:p>
      <w:pPr>
        <w:ind w:left="1260" w:right="419"/>
        <w:spacing w:after="0" w:line="241" w:lineRule="auto"/>
        <w:tabs>
          <w:tab w:leader="none" w:pos="152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and (6) above. A description of the share ownership and transfer restrictions relating to our capital stock is contained in the discussion in this prospectus under the heading “Description of Capital Stock —  Restrictions on Ownership and Transfer.” These restrictions, however, do not ensure that we have previously satisfied, and may not ensure that we will, in all cases, be able to continue to satisfy the share ownership requirements described in conditions (5) and (6) above. If we fail to satisfy these share ownership requirements, then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 See “— Failure to Qualify.”</w:t>
      </w:r>
    </w:p>
    <w:p>
      <w:pPr>
        <w:spacing w:after="0" w:line="121"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In addition, we may not maintain our status as a REIT unless our taxable year is the calendar year. We have and will continue to have a calendar taxable year.</w:t>
      </w:r>
    </w:p>
    <w:p>
      <w:pPr>
        <w:spacing w:after="0" w:line="103"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b w:val="1"/>
          <w:bCs w:val="1"/>
          <w:i w:val="1"/>
          <w:iCs w:val="1"/>
          <w:color w:val="auto"/>
        </w:rPr>
        <w:t>Ownership of Interests in Partnerships, Limited Liability Companies and Qualified REIT Subsidiaries</w:t>
      </w:r>
      <w:r>
        <w:rPr>
          <w:rFonts w:ascii="Arial" w:cs="Arial" w:eastAsia="Arial" w:hAnsi="Arial"/>
          <w:sz w:val="17"/>
          <w:szCs w:val="17"/>
          <w:color w:val="auto"/>
        </w:rPr>
        <w: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case of a REIT that is a partner in a partnership (for purposes of this discussion, references to “partnership” include a limited liability company treated as a partnership for U.S. federal income tax purposes, and references to “partner” include a member in such a limited liability company), Treasury Regulations provide that the REIT will be deemed to own its proportionate share of the assets of the partnership based on its interest in partnership capital, subject to special rules relating to the 10% asset test described below. Also, the REIT will be deemed to be entitled to its proportionate share of the income of that entity. The assets and gross income of the partnership retain the same character in the hands of the REIT for purposes of Section 856 of the Code, including satisfying the gross income tests and the asset tests. Thus, our pro rata share of the assets and items of income of our operating company, including our operating company’s share of these items of any partnership or disregarded entity for U.S. federal income tax purposes in which it owns an interest, is treated as our assets and items of income for purposes of applying the requirements described in this discussion, including the gross income and asset tests described below. A</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60" w:right="579"/>
        <w:spacing w:after="0" w:line="248" w:lineRule="auto"/>
        <w:rPr>
          <w:sz w:val="20"/>
          <w:szCs w:val="20"/>
          <w:color w:val="auto"/>
        </w:rPr>
      </w:pPr>
      <w:r>
        <w:rPr>
          <w:rFonts w:ascii="Arial" w:cs="Arial" w:eastAsia="Arial" w:hAnsi="Arial"/>
          <w:sz w:val="18"/>
          <w:szCs w:val="18"/>
          <w:color w:val="auto"/>
        </w:rPr>
        <w:t>brief summary of the rules governing the U.S. federal income taxation of partnerships is set forth below in “— Tax Aspects of Our Operating Company, the Subsidiary Partnerships and the Limited Liability Companies.”</w:t>
      </w:r>
    </w:p>
    <w:p>
      <w:pPr>
        <w:spacing w:after="0" w:line="101" w:lineRule="exact"/>
        <w:rPr>
          <w:sz w:val="20"/>
          <w:szCs w:val="20"/>
          <w:color w:val="auto"/>
        </w:rPr>
      </w:pPr>
    </w:p>
    <w:p>
      <w:pPr>
        <w:ind w:left="1260" w:right="419" w:firstLine="360"/>
        <w:spacing w:after="0" w:line="234" w:lineRule="auto"/>
        <w:rPr>
          <w:sz w:val="20"/>
          <w:szCs w:val="20"/>
          <w:color w:val="auto"/>
        </w:rPr>
      </w:pPr>
      <w:r>
        <w:rPr>
          <w:rFonts w:ascii="Arial" w:cs="Arial" w:eastAsia="Arial" w:hAnsi="Arial"/>
          <w:sz w:val="18"/>
          <w:szCs w:val="18"/>
          <w:color w:val="auto"/>
        </w:rPr>
        <w:t>We have control of our operating company and most of its subsidiary partnerships and intend to operate them in a manner consistent with the requirements for our qualification as a REIT. If a partnership we do not control takes or expects to take actions that could jeopardize our status as a REIT or require us to pay tax, we may be forced to dispose of our interest in such entity. In addition, it is possible that a partnership could take an action which could cause us to fail a gross income or asset test, and that we would not become aware of such action in time to dispose of our interest in the partnership or take other corrective action on a timely basis. In such a case, we could fail to qualify as a REIT unless we were entitled to relief, as described below.</w:t>
      </w:r>
    </w:p>
    <w:p>
      <w:pPr>
        <w:spacing w:after="0" w:line="114" w:lineRule="exact"/>
        <w:rPr>
          <w:sz w:val="20"/>
          <w:szCs w:val="20"/>
          <w:color w:val="auto"/>
        </w:rPr>
      </w:pPr>
    </w:p>
    <w:p>
      <w:pPr>
        <w:ind w:left="1260" w:right="519" w:firstLine="360"/>
        <w:spacing w:after="0" w:line="231" w:lineRule="auto"/>
        <w:rPr>
          <w:sz w:val="20"/>
          <w:szCs w:val="20"/>
          <w:color w:val="auto"/>
        </w:rPr>
      </w:pPr>
      <w:r>
        <w:rPr>
          <w:rFonts w:ascii="Arial" w:cs="Arial" w:eastAsia="Arial" w:hAnsi="Arial"/>
          <w:sz w:val="18"/>
          <w:szCs w:val="18"/>
          <w:color w:val="auto"/>
        </w:rPr>
        <w:t>We may from time to time own and operate certain properties through wholly-owned subsidiaries that we intend to be treated as “qualified REIT subsidiaries” under the Code. A corporation (or other entity treated as a corporation for U.S. federal income tax purposes) will qualify as our qualified REIT subsidiary if we own 100% of the corporation’s outstanding stock and do not elect with the subsidiary to treat it as a “taxable REIT subsidiary,” as described below. A qualified REIT subsidiary is not treated as a separate corporation, and all assets, liabilities and items of income, gain, loss, deduction and credit of a qualified REIT subsidiary are treated as assets, liabilities and items of income, gain, loss, deduction and credit of the parent REIT for all purposes under the Code, including all REIT qualification tests. Thus, in applying the U.S. federal income tax requirements described in this discussion, any qualified REIT subsidiaries we own are ignored, and all assets, liabilities and items of income, gain, loss, deduction and credit of such corporations are treated as our assets, liabilities and items of income, gain, loss, deduction and credit. A qualified REIT subsidiary is not subject to U.S. federal income tax, and our ownership of the stock of a qualified REIT subsidiary will not violate the restrictions on ownership of securities, as described below under “— Asset Tests.”</w:t>
      </w:r>
    </w:p>
    <w:p>
      <w:pPr>
        <w:spacing w:after="0" w:line="140"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b w:val="1"/>
          <w:bCs w:val="1"/>
          <w:i w:val="1"/>
          <w:iCs w:val="1"/>
          <w:color w:val="auto"/>
        </w:rPr>
        <w:t>Ownership of Interests in Taxable REIT Subsidiaries</w:t>
      </w:r>
      <w:r>
        <w:rPr>
          <w:rFonts w:ascii="Arial" w:cs="Arial" w:eastAsia="Arial" w:hAnsi="Arial"/>
          <w:sz w:val="17"/>
          <w:szCs w:val="17"/>
          <w:color w:val="auto"/>
        </w:rPr>
        <w:t>. We and our operating company own interests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that have elected, together with us, to be treated as our taxable REIT subsidiaries, and we may acquire securities in additional taxable REIT subsidiaries in the future. A TRS is a corporation (or other entity treated as a corporation for U.S. federal income tax purposes) other than a REIT in which a REIT directly or indirectly holds stock, and that has made a joint election with such REIT to be treated as a taxable REIT subsidiary. If a taxable REIT subsidiary owns more than 35% of the total voting power or value of the outstanding securities of another corporation, such other corporation will also be treated as a taxable REIT subsidiary. Other than some activities relating to lodging and health care facilities, a taxable REIT subsidiary may generally engage in any business, including the provision of customary or non-customary services to tenants of its parent REIT. A taxable REIT subsidiary is subject to U.S. federal income tax as a regular C corporation. A REIT is not treated as holding the assets of a taxable REIT subsidiary or as receiving any income that the taxable REIT subsidiary earns. Rather, the stock issued by the taxable REIT subsidiary is an asset in the hands of the REIT, and the REIT generally recognizes as income the dividends, if any, that it receives from the taxable REIT subsidiary. A REIT’s ownership of securities of a taxable REIT subsidiary is not subject to the 5% or 10% asset test described below. See “— Asset Tests.” Taxpayers are subject to a limitation on their ability to deduct net business interest generally equal to 30% of adjusted taxable income, subject to certain exceptions.. See “— Annual Distribution Requirements.” While not certain, this provision may limit the ability of our taxable REIT subsidiaries to deduct interest, which could increase their taxable income.</w:t>
      </w:r>
    </w:p>
    <w:p>
      <w:pPr>
        <w:spacing w:after="0" w:line="115" w:lineRule="exact"/>
        <w:rPr>
          <w:sz w:val="20"/>
          <w:szCs w:val="20"/>
          <w:color w:val="auto"/>
        </w:rPr>
      </w:pPr>
    </w:p>
    <w:p>
      <w:pPr>
        <w:ind w:left="1260" w:right="579" w:firstLine="360"/>
        <w:spacing w:after="0" w:line="273" w:lineRule="auto"/>
        <w:rPr>
          <w:sz w:val="20"/>
          <w:szCs w:val="20"/>
          <w:color w:val="auto"/>
        </w:rPr>
      </w:pPr>
      <w:r>
        <w:rPr>
          <w:rFonts w:ascii="Arial" w:cs="Arial" w:eastAsia="Arial" w:hAnsi="Arial"/>
          <w:sz w:val="16"/>
          <w:szCs w:val="16"/>
          <w:b w:val="1"/>
          <w:bCs w:val="1"/>
          <w:i w:val="1"/>
          <w:iCs w:val="1"/>
          <w:color w:val="auto"/>
        </w:rPr>
        <w:t>Ownership of Interests in Subsidiary REITs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own and may acquire direct or indirect interests in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more entities that have elected or will elect to be taxed as REITs under the Code (each, a “Subsidiary REIT”). A Subsidiary REIT is subject to the various REIT qualification requirements and other limitations described herein that are applicable to us. If a Subsidiary REIT were to fail to qualify as a REIT, then</w:t>
      </w:r>
    </w:p>
    <w:p>
      <w:pPr>
        <w:spacing w:after="0" w:line="2" w:lineRule="exact"/>
        <w:rPr>
          <w:sz w:val="20"/>
          <w:szCs w:val="20"/>
          <w:color w:val="auto"/>
        </w:rPr>
      </w:pPr>
    </w:p>
    <w:p>
      <w:pPr>
        <w:ind w:left="1260" w:right="499"/>
        <w:spacing w:after="0" w:line="242" w:lineRule="auto"/>
        <w:tabs>
          <w:tab w:leader="none" w:pos="14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Subsidiary REIT would become subject to U.S. federal income tax and (ii) the Subsidiary REIT’s failure to qualify could have an adverse effect on our ability to comply with the REIT income and asset tests, and thus could impair our ability to qualify as a REIT unless we could avail ourselves of certain relief provisions.</w:t>
      </w:r>
    </w:p>
    <w:p>
      <w:pPr>
        <w:spacing w:after="0" w:line="121" w:lineRule="exact"/>
        <w:rPr>
          <w:sz w:val="20"/>
          <w:szCs w:val="20"/>
          <w:color w:val="auto"/>
        </w:rPr>
      </w:pPr>
    </w:p>
    <w:p>
      <w:pPr>
        <w:ind w:left="1620"/>
        <w:spacing w:after="0"/>
        <w:tabs>
          <w:tab w:leader="none" w:pos="3520" w:val="left"/>
        </w:tabs>
        <w:rPr>
          <w:sz w:val="20"/>
          <w:szCs w:val="20"/>
          <w:color w:val="auto"/>
        </w:rPr>
      </w:pPr>
      <w:r>
        <w:rPr>
          <w:rFonts w:ascii="Arial" w:cs="Arial" w:eastAsia="Arial" w:hAnsi="Arial"/>
          <w:sz w:val="18"/>
          <w:szCs w:val="18"/>
          <w:b w:val="1"/>
          <w:bCs w:val="1"/>
          <w:i w:val="1"/>
          <w:iCs w:val="1"/>
          <w:color w:val="auto"/>
        </w:rPr>
        <w:t>Taxable Mortgage Pools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An entity, or a portion of an entity, may be classified as a TMP under the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Code if:</w:t>
      </w:r>
    </w:p>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substantially all of its assets consist of debt obligations or interests in debt obligations;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1199" w:hanging="180"/>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more than 50% of those debt obligations are real estate mortgages or interests in real estate mortgages as of specified testing dates;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entity has issued debt obligations that have two or more maturities; and</w:t>
      </w:r>
    </w:p>
    <w:p>
      <w:pPr>
        <w:spacing w:after="0" w:line="117"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payments required to be made by the entity on its debt obligations “bear a relationship” to the payments to be received by the entity on the debt obligations that it holds as assets.</w:t>
      </w:r>
    </w:p>
    <w:p>
      <w:pPr>
        <w:spacing w:after="0" w:line="89" w:lineRule="exact"/>
        <w:rPr>
          <w:sz w:val="20"/>
          <w:szCs w:val="20"/>
          <w:color w:val="auto"/>
        </w:rPr>
      </w:pPr>
    </w:p>
    <w:p>
      <w:pPr>
        <w:ind w:left="1260" w:right="559" w:firstLine="360"/>
        <w:spacing w:after="0" w:line="249" w:lineRule="auto"/>
        <w:rPr>
          <w:sz w:val="20"/>
          <w:szCs w:val="20"/>
          <w:color w:val="auto"/>
        </w:rPr>
      </w:pPr>
      <w:r>
        <w:rPr>
          <w:rFonts w:ascii="Arial" w:cs="Arial" w:eastAsia="Arial" w:hAnsi="Arial"/>
          <w:sz w:val="18"/>
          <w:szCs w:val="18"/>
          <w:color w:val="auto"/>
        </w:rPr>
        <w:t>Under applicable Treasury Regulations, if less than 80% of the assets of an entity (or a portion of an entity) consist of debt obligations, these debt obligations are considered not to comprise “substantially all” of its assets, and therefore the entity would not be treated as a TMP. We may enter into financing and securitization arrangements that give rise to TMPs.</w:t>
      </w:r>
    </w:p>
    <w:p>
      <w:pPr>
        <w:spacing w:after="0" w:line="113"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A TMP generally is treated as a corporation for U.S. federal income tax purposes. However, special rules apply to a REIT, a portion of a REIT, or a qualified REIT subsidiary that is a TMP. If a REIT owns directly, or indirectly through one or more qualified REIT subsidiaries or other entities that are disregarded entities for U.S. federal income tax purposes, 100% of the equity interests in the TMP, the TMP will be a qualified REIT subsidiary and, therefore, disregarded as an entity separate from the REIT for U.S. federal income tax purposes and would not generally affect the tax qualification of the REIT. Rather, the consequences of the TMP classification would generally be limited to the REIT’s stockholders. See “— Excess Inclusion Income.”</w:t>
      </w:r>
    </w:p>
    <w:p>
      <w:pPr>
        <w:spacing w:after="0" w:line="119" w:lineRule="exact"/>
        <w:rPr>
          <w:sz w:val="20"/>
          <w:szCs w:val="20"/>
          <w:color w:val="auto"/>
        </w:rPr>
      </w:pPr>
    </w:p>
    <w:p>
      <w:pPr>
        <w:ind w:left="1260" w:right="539" w:firstLine="360"/>
        <w:spacing w:after="0" w:line="244" w:lineRule="auto"/>
        <w:rPr>
          <w:sz w:val="20"/>
          <w:szCs w:val="20"/>
          <w:color w:val="auto"/>
        </w:rPr>
      </w:pPr>
      <w:r>
        <w:rPr>
          <w:rFonts w:ascii="Arial" w:cs="Arial" w:eastAsia="Arial" w:hAnsi="Arial"/>
          <w:sz w:val="18"/>
          <w:szCs w:val="18"/>
          <w:b w:val="1"/>
          <w:bCs w:val="1"/>
          <w:i w:val="1"/>
          <w:iCs w:val="1"/>
          <w:color w:val="auto"/>
        </w:rPr>
        <w:t>Excess Inclusion Income</w:t>
      </w:r>
      <w:r>
        <w:rPr>
          <w:rFonts w:ascii="Arial" w:cs="Arial" w:eastAsia="Arial" w:hAnsi="Arial"/>
          <w:sz w:val="18"/>
          <w:szCs w:val="18"/>
          <w:color w:val="auto"/>
        </w:rPr>
        <w:t>. A portion of income from a TMP arrangement, which might be non-cash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accrued income, could be treated as “excess inclusion income.” A REIT’s excess inclusion income, including any excess inclusion income from a residual interest in a REMIC, must be allocated among its stockholders in proportion to dividends paid. We generally do not expect to generate excess inclusion income that would be allocated to our stockholders. In the event we do generate excess inclusion income, we are required to notify our stockholders of the amount of such income allocated to them. A stockholder’s share of excess inclusion income:</w:t>
      </w:r>
    </w:p>
    <w:p>
      <w:pPr>
        <w:spacing w:after="0" w:line="79" w:lineRule="exact"/>
        <w:rPr>
          <w:sz w:val="20"/>
          <w:szCs w:val="20"/>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cannot be offset by any net operating losses otherwise available to the stockholder;</w:t>
      </w:r>
    </w:p>
    <w:p>
      <w:pPr>
        <w:spacing w:after="0" w:line="117" w:lineRule="exact"/>
        <w:rPr>
          <w:rFonts w:ascii="Arial" w:cs="Arial" w:eastAsia="Arial" w:hAnsi="Arial"/>
          <w:sz w:val="18"/>
          <w:szCs w:val="18"/>
          <w:color w:val="auto"/>
        </w:rPr>
      </w:pPr>
    </w:p>
    <w:p>
      <w:pPr>
        <w:ind w:left="1800" w:right="579" w:hanging="180"/>
        <w:spacing w:after="0" w:line="342" w:lineRule="auto"/>
        <w:tabs>
          <w:tab w:leader="none" w:pos="18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the case of a stockholder that is a REIT, a regulated investment company, or a RIC, or a common trust fund or other pass-through entity, is considered excess inclusion income of such entity;</w:t>
      </w:r>
    </w:p>
    <w:p>
      <w:pPr>
        <w:spacing w:after="0" w:line="15" w:lineRule="exact"/>
        <w:rPr>
          <w:rFonts w:ascii="Arial" w:cs="Arial" w:eastAsia="Arial" w:hAnsi="Arial"/>
          <w:sz w:val="16"/>
          <w:szCs w:val="16"/>
          <w:color w:val="auto"/>
        </w:rPr>
      </w:pPr>
    </w:p>
    <w:p>
      <w:pPr>
        <w:ind w:left="1800" w:right="839" w:hanging="180"/>
        <w:spacing w:after="0" w:line="27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 subject to tax as UBTI in the hands of most types of stockholders that are otherwise generally exempt from U.S. federal income tax;</w:t>
      </w:r>
    </w:p>
    <w:p>
      <w:pPr>
        <w:spacing w:after="0" w:line="48"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in the application of U.S. federal income tax withholding at the maximum rate (30%), without reduction for any otherwise applicable income tax treaty or other exemption, to the extent allocable to most types of non-U.S. stockholders; and</w:t>
      </w:r>
    </w:p>
    <w:p>
      <w:pPr>
        <w:spacing w:after="0" w:line="75"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 taxable at the U.S. federal corporate income tax rate, currently 21%, to the REIT, rather than its stockholders, to the extent allocable to the REIT’s shares held in record name by disqualified organizations (generally, tax-exempt entities not subject to unrelated business income tax, including governmental organizations).</w:t>
      </w:r>
    </w:p>
    <w:p>
      <w:pPr>
        <w:spacing w:after="0" w:line="106" w:lineRule="exact"/>
        <w:rPr>
          <w:sz w:val="20"/>
          <w:szCs w:val="20"/>
          <w:color w:val="auto"/>
        </w:rPr>
      </w:pPr>
    </w:p>
    <w:p>
      <w:pPr>
        <w:jc w:val="both"/>
        <w:ind w:left="1260" w:right="519" w:firstLine="360"/>
        <w:spacing w:after="0" w:line="278" w:lineRule="auto"/>
        <w:rPr>
          <w:sz w:val="20"/>
          <w:szCs w:val="20"/>
          <w:color w:val="auto"/>
        </w:rPr>
      </w:pPr>
      <w:r>
        <w:rPr>
          <w:rFonts w:ascii="Arial" w:cs="Arial" w:eastAsia="Arial" w:hAnsi="Arial"/>
          <w:sz w:val="17"/>
          <w:szCs w:val="17"/>
          <w:color w:val="auto"/>
        </w:rPr>
        <w:t>The manner in which excess inclusion income is calculated, or would be allocated to our stockholders, including allocations among shares of different classes of stock, is not clear under current law. As required by IRS guidance, we intend to make such determinations using a reasonable method.</w:t>
      </w:r>
    </w:p>
    <w:p>
      <w:pPr>
        <w:spacing w:after="0" w:line="90" w:lineRule="exact"/>
        <w:rPr>
          <w:sz w:val="20"/>
          <w:szCs w:val="20"/>
          <w:color w:val="auto"/>
        </w:rPr>
      </w:pPr>
    </w:p>
    <w:p>
      <w:pPr>
        <w:ind w:left="1260" w:right="719" w:firstLine="360"/>
        <w:spacing w:after="0" w:line="303" w:lineRule="auto"/>
        <w:rPr>
          <w:sz w:val="20"/>
          <w:szCs w:val="20"/>
          <w:color w:val="auto"/>
        </w:rPr>
      </w:pPr>
      <w:r>
        <w:rPr>
          <w:rFonts w:ascii="Arial" w:cs="Arial" w:eastAsia="Arial" w:hAnsi="Arial"/>
          <w:sz w:val="16"/>
          <w:szCs w:val="16"/>
          <w:color w:val="auto"/>
        </w:rPr>
        <w:t>Tax-exempt investors, RIC or REIT investors, non-U.S. investors and taxpayers with net operating losses should carefully consider the tax consequences described above, and are urged to consult their tax advisors with respect to the U.S. federal income tax consequences of an investment in our capital stock.</w:t>
      </w:r>
    </w:p>
    <w:p>
      <w:pPr>
        <w:spacing w:after="0" w:line="73" w:lineRule="exact"/>
        <w:rPr>
          <w:sz w:val="20"/>
          <w:szCs w:val="20"/>
          <w:color w:val="auto"/>
        </w:rPr>
      </w:pPr>
    </w:p>
    <w:p>
      <w:pPr>
        <w:ind w:left="1260" w:right="479" w:firstLine="360"/>
        <w:spacing w:after="0" w:line="244" w:lineRule="auto"/>
        <w:rPr>
          <w:sz w:val="20"/>
          <w:szCs w:val="20"/>
          <w:color w:val="auto"/>
        </w:rPr>
      </w:pPr>
      <w:r>
        <w:rPr>
          <w:rFonts w:ascii="Arial" w:cs="Arial" w:eastAsia="Arial" w:hAnsi="Arial"/>
          <w:sz w:val="18"/>
          <w:szCs w:val="18"/>
          <w:color w:val="auto"/>
        </w:rPr>
        <w:t>If a subsidiary partnership of ours that we do not wholly own, directly or through one or more disregarded entities, were a TMP, the foregoing rules would not apply. Rather, the partnership that is a TMP would be treated as a corporation for U.S. federal income tax purposes, and potentially would be subject to U.S. federal corporate income tax or withholding tax. In addition, this characterization would alter our income and asset test calculations, and could adversely affect our compliance with those requirements. We intend to monitor the structure of any TMPs in which we will have an interest to ensure that they will not adversely affect our qualification as a REIT.</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firstLine="360"/>
        <w:spacing w:after="0" w:line="260" w:lineRule="auto"/>
        <w:rPr>
          <w:sz w:val="20"/>
          <w:szCs w:val="20"/>
          <w:color w:val="auto"/>
        </w:rPr>
      </w:pPr>
      <w:r>
        <w:rPr>
          <w:rFonts w:ascii="Arial" w:cs="Arial" w:eastAsia="Arial" w:hAnsi="Arial"/>
          <w:sz w:val="17"/>
          <w:szCs w:val="17"/>
          <w:b w:val="1"/>
          <w:bCs w:val="1"/>
          <w:i w:val="1"/>
          <w:iCs w:val="1"/>
          <w:color w:val="auto"/>
        </w:rPr>
        <w:t>Income Tests</w:t>
      </w:r>
      <w:r>
        <w:rPr>
          <w:rFonts w:ascii="Arial" w:cs="Arial" w:eastAsia="Arial" w:hAnsi="Arial"/>
          <w:sz w:val="17"/>
          <w:szCs w:val="17"/>
          <w:color w:val="auto"/>
        </w:rPr>
        <w:t>. We must satisfy two gross income requirements annually to maintain our qualification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REIT. First, in each taxable year we must derive directly or indirectly at least 75% of our gross income (excluding gross income from prohibited transactions, certain hedging transactions and certain foreign currency gains) from investments relating to real property or mortgages on real property, including “rents from real property,” dividends from other REITs and, in certain circumstances, interest, or certain types of temporary investments. Second, in each taxable year we must derive at least 95% of our gross income (excluding gross income from prohibited transactions, certain hedging transactions and certain foreign currency gains) from the real property investments described above or dividends, interest and gain from the sale or disposition of stock or securities, or from any combination of the foregoing.</w:t>
      </w:r>
    </w:p>
    <w:p>
      <w:pPr>
        <w:spacing w:after="0" w:line="106"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 Interest income constitutes qualifying mortgage interest for purposes of the 75%</w:t>
      </w:r>
      <w:r>
        <w:rPr>
          <w:rFonts w:ascii="Arial" w:cs="Arial" w:eastAsia="Arial" w:hAnsi="Arial"/>
          <w:sz w:val="17"/>
          <w:szCs w:val="17"/>
          <w:i w:val="1"/>
          <w:iCs w:val="1"/>
          <w:color w:val="auto"/>
        </w:rPr>
        <w:t xml:space="preserve"> </w:t>
      </w:r>
      <w:r>
        <w:rPr>
          <w:rFonts w:ascii="Arial" w:cs="Arial" w:eastAsia="Arial" w:hAnsi="Arial"/>
          <w:sz w:val="17"/>
          <w:szCs w:val="17"/>
          <w:color w:val="auto"/>
        </w:rPr>
        <w:t>gross income test to the extent that the obligation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acquired or originated the mortgage loan, then, subject to the exception described below, the interest income will be apportioned between the real property and the other property, and our income from the loan will qualify for purposes of the 75% gross income test only to the extent that the interest is allocable to the real property. If a loan is secured by both real property and personal property and the fair market value of the personal property does not exceed 15% of the fair market value of all real and personal property securing the loan, the loan is treated as secured solely by the real property for purposes of these rules. Even if a loan is not secured by real property or is undersecured, the income that it generates may nonetheless qualify for purposes of the 95% gross income test. In certain cases, the terms of a negotiated Ground Lease transaction may be determined to have a financing component pursuant to which we may be considered as receiving interest income. To the extent all or a portion of a Ground Lease were treated as a financing for tax purposes, we believe such financing should be considered as secured by real property because of our ability to take back the leasehold interest upon default under the Ground Lease, and therefore such treatment should not adversely impact our ability to satisfy the REIT gross income tests.</w:t>
      </w:r>
    </w:p>
    <w:p>
      <w:pPr>
        <w:spacing w:after="0" w:line="114"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7"/>
          <w:szCs w:val="17"/>
          <w:color w:val="auto"/>
        </w:rPr>
        <w:t>To the extent that we derive interest income from a loan where all or a portion of the amount of interest payable is contingent, such income generally will qualify for purposes of the gross income tests only if it is based upon the gross receipts or sales and not the net income or profits of any person. This limitation does not apply, however, to a mortgage loan where the borrower derives substantially all of its income from the property from the leasing of substantially all of its interest in the property to tenants, to the extent that the rental income derived by the borrower would qualify as rents from real property had we earned it directly.</w:t>
      </w:r>
    </w:p>
    <w:p>
      <w:pPr>
        <w:spacing w:after="0" w:line="105"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To the extent that the terms of a loan provide for contingent interest that is based on the cash proceeds realized upon the sale of the property securing the loan (or a shared appreciation provision), income attributable to the participation feature will be treated as gain from sale of the underlying property, which generally will be qualifying income for purposes of both the 75% and 95% gross income tests, provided that the property is not inventory or dealer property of the borrower or ours.</w:t>
      </w:r>
    </w:p>
    <w:p>
      <w:pPr>
        <w:spacing w:after="0" w:line="11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7"/>
          <w:szCs w:val="17"/>
          <w:color w:val="auto"/>
        </w:rPr>
        <w:t>Any amount includible in our gross income with respect to a regular or residual interest in a REMIC generally is treated as interest on an obligation secured by a mortgage on real property. If, however, less than 95% of the assets of a REMIC consists of real estate assets (determined as if we held such assets), we will be treated as receiving directly our proportionate share of the income of the REMIC for purposes of determining the amount that is treated as interest on an obligation secured by a mortgage on real property.</w:t>
      </w:r>
    </w:p>
    <w:p>
      <w:pPr>
        <w:spacing w:after="0" w:line="103"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Among the assets we may hold are certain mezzanine loans secured by equity interests in a pass-through entity that directly or indirectly owns real property, rather than a direct mortgage on the real property. The IRS issued Revenue Procedure 2003-65, or the Revenue Procedure, which provides a safe harbor pursuant to which a mezzanine loan will be treated by the IRS as a real estate asset for purposes of the REIT asset tests, and interest derived from it will be treated as qualifying mortgage interest for purposes of the 75% gross income test. Although the Revenue Procedure provides a safe harbor on which taxpayers may rely, it does not prescribe rules of substantive tax law. From time to time, we may own mezzanine loans that do not meet all of the requirements for reliance on this safe harbor. There can be no assurance that the IRS will not challenge the qualification of any mezzanine loans we may own as real estate assets or the interest</w:t>
      </w:r>
    </w:p>
    <w:p>
      <w:pPr>
        <w:spacing w:after="0" w:line="3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59"/>
        <w:spacing w:after="0" w:line="249" w:lineRule="auto"/>
        <w:rPr>
          <w:sz w:val="20"/>
          <w:szCs w:val="20"/>
          <w:color w:val="auto"/>
        </w:rPr>
      </w:pPr>
      <w:r>
        <w:rPr>
          <w:rFonts w:ascii="Arial" w:cs="Arial" w:eastAsia="Arial" w:hAnsi="Arial"/>
          <w:sz w:val="18"/>
          <w:szCs w:val="18"/>
          <w:color w:val="auto"/>
        </w:rPr>
        <w:t>generated by such loans as qualifying income under the 75% gross income test. If we acquire or make corporate mezzanine loans or other commercial real estate corporate loans, such loans will not qualify as real estate assets and interest income with respect to such loans will not be qualifying income for the 75% gross income test. To the extent that such non-qualification causes us to fail the 75% gross income test, we could be required to pay a penalty tax or fail to qualify as a REIT.</w:t>
      </w:r>
    </w:p>
    <w:p>
      <w:pPr>
        <w:spacing w:after="0" w:line="114"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We may receive various fees in connection with our operations. The fees generally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qualifying income for purposes of both the 75% and 95% gross income tests if they are received in consideration for entering into an agreement to make a loan secured by real property and the fees are not determined by the income or profits of any person. Other fees are not qualifying income for purposes of either the 75% or 95% gross income test. Any fees earned by a TRS are not included for purposes of the gross income tests.</w:t>
      </w:r>
    </w:p>
    <w:p>
      <w:pPr>
        <w:spacing w:after="0" w:line="120"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i w:val="1"/>
          <w:iCs w:val="1"/>
          <w:color w:val="auto"/>
        </w:rPr>
        <w:t>Dividend Income</w:t>
      </w:r>
      <w:r>
        <w:rPr>
          <w:rFonts w:ascii="Arial" w:cs="Arial" w:eastAsia="Arial" w:hAnsi="Arial"/>
          <w:sz w:val="18"/>
          <w:szCs w:val="18"/>
          <w:color w:val="auto"/>
        </w:rPr>
        <w:t>. We may receive distributions from TRSs or other corporations that are not REITs or</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REIT subsidiaries. These distributions generally will be classified as dividend income to the extent of the earnings and profits of the distributing corporation. Such distributions generally will constitute qualifying income for purposes of the 95% gross income test, but not the 75% gross income test. Any dividends we receive from a REIT will be qualifying income in our hands for purposes of both the 95% and 75% gross income tests.</w:t>
      </w:r>
    </w:p>
    <w:p>
      <w:pPr>
        <w:spacing w:after="0" w:line="118" w:lineRule="exact"/>
        <w:rPr>
          <w:sz w:val="20"/>
          <w:szCs w:val="20"/>
          <w:color w:val="auto"/>
        </w:rPr>
      </w:pPr>
    </w:p>
    <w:p>
      <w:pPr>
        <w:jc w:val="both"/>
        <w:ind w:left="1260" w:right="659" w:firstLine="360"/>
        <w:spacing w:after="0" w:line="256" w:lineRule="auto"/>
        <w:rPr>
          <w:sz w:val="20"/>
          <w:szCs w:val="20"/>
          <w:color w:val="auto"/>
        </w:rPr>
      </w:pPr>
      <w:r>
        <w:rPr>
          <w:rFonts w:ascii="Arial" w:cs="Arial" w:eastAsia="Arial" w:hAnsi="Arial"/>
          <w:sz w:val="18"/>
          <w:szCs w:val="18"/>
          <w:i w:val="1"/>
          <w:iCs w:val="1"/>
          <w:color w:val="auto"/>
        </w:rPr>
        <w:t>Rents from Real Property</w:t>
      </w:r>
      <w:r>
        <w:rPr>
          <w:rFonts w:ascii="Arial" w:cs="Arial" w:eastAsia="Arial" w:hAnsi="Arial"/>
          <w:sz w:val="18"/>
          <w:szCs w:val="18"/>
          <w:color w:val="auto"/>
        </w:rPr>
        <w:t>. Rents we receive from a tenant will qualify as “rents from real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purpose of satisfying the gross income requirements for a REIT described above only if all of the following conditions are met:</w:t>
      </w:r>
    </w:p>
    <w:p>
      <w:pPr>
        <w:spacing w:after="0" w:line="67" w:lineRule="exact"/>
        <w:rPr>
          <w:sz w:val="20"/>
          <w:szCs w:val="20"/>
          <w:color w:val="auto"/>
        </w:rPr>
      </w:pPr>
    </w:p>
    <w:p>
      <w:pPr>
        <w:ind w:left="1800" w:right="439" w:hanging="180"/>
        <w:spacing w:after="0" w:line="273" w:lineRule="auto"/>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amount of rent is not based in whole or in part on the income or profits of any person. However, an amount we receive or accrue generally will not be excluded from the term “rents from real property” solely because it is based on a fixed percentage or percentages of receipts or sales or if it is based on the net income of a tenant which derives substantially all of its income with respect to such property from subleasing of substantially all of such property, to the extent that the rents paid by the subtenants would qualify as rents from real property if we earned such amounts directly;</w:t>
      </w:r>
    </w:p>
    <w:p>
      <w:pPr>
        <w:spacing w:after="0" w:line="69" w:lineRule="exact"/>
        <w:rPr>
          <w:rFonts w:ascii="Arial" w:cs="Arial" w:eastAsia="Arial" w:hAnsi="Arial"/>
          <w:sz w:val="17"/>
          <w:szCs w:val="17"/>
          <w:color w:val="auto"/>
        </w:rPr>
      </w:pPr>
    </w:p>
    <w:p>
      <w:pPr>
        <w:ind w:left="1800" w:right="439" w:hanging="180"/>
        <w:spacing w:after="0" w:line="267" w:lineRule="auto"/>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Neither we nor an actual or constructive owner of 10% or more of our capital stock actually or constructively owns 10% or more of the interests in the assets or net profits of a non-corporate tenant, or, if the tenant is a corporation, 10% or more of the total combined voting power of all classes of stock entitled to vote or 10% or more of the total value of all classes of stock of the tenant. Rents we receive from such a tenant that is a taxable REIT subsidiary of ours, however, will not be excluded from the definition of “rents from real property” as a result of this condition if at least 90% of the space at the property to which the rents relate is leased to third parties, and the rents paid by the taxable REIT subsidiary are substantially comparable to rents paid by our other tenants for comparable space. Whether rents paid by a taxable REIT subsidiary are substantially comparable to rents paid by other tenants is determined at the time the lease with the taxable REIT subsidiary is entered into, extended, and modified, if such modification increases the rents due under such lease. Notwithstanding the foregoing, however, if a lease with a “controlled taxable REIT subsidiary” is modified and such modification results in an increase in the rents payable by such taxable REIT subsidiary, any such increase will not qualify as “rents from real property.” For purposes of this rule, a “controlled taxable REIT subsidiary” is a taxable REIT subsidiary in which the parent REIT owns stock possessing more than 50% of the voting power or more than 50% of the total value of the outstanding stock of such taxable REIT subsidiary;</w:t>
      </w:r>
    </w:p>
    <w:p>
      <w:pPr>
        <w:spacing w:after="0" w:line="69" w:lineRule="exact"/>
        <w:rPr>
          <w:rFonts w:ascii="Arial" w:cs="Arial" w:eastAsia="Arial" w:hAnsi="Arial"/>
          <w:sz w:val="17"/>
          <w:szCs w:val="17"/>
          <w:color w:val="auto"/>
        </w:rPr>
      </w:pPr>
    </w:p>
    <w:p>
      <w:pPr>
        <w:ind w:left="1800" w:right="519" w:hanging="180"/>
        <w:spacing w:after="0" w:line="255"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Rent attributable to personal property, leased in connection with a lease of real property, is not greater than 15% of the total rent received under the lease. If this condition is not met, then the portion of the rent attributable to personal property will not qualify as “rents from real property.” To the extent that rent attributable to personal property, leased in connection with a lease of real property, exceeds 15% of the total rent received under the lease, we may transfer a portion of such personal property to a taxable REIT subsidiary; and</w:t>
      </w:r>
    </w:p>
    <w:p>
      <w:pPr>
        <w:spacing w:after="0" w:line="84" w:lineRule="exact"/>
        <w:rPr>
          <w:rFonts w:ascii="Arial" w:cs="Arial" w:eastAsia="Arial" w:hAnsi="Arial"/>
          <w:sz w:val="18"/>
          <w:szCs w:val="18"/>
          <w:color w:val="auto"/>
        </w:rPr>
      </w:pPr>
    </w:p>
    <w:p>
      <w:pPr>
        <w:ind w:left="1800" w:right="719" w:hanging="180"/>
        <w:spacing w:after="0" w:line="259"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We generally may not operate or manage the property or furnish or render services to our tenants, subject to a 1%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and except as provided below. We may, however, perform services that are “usually or customarily rendered” in connection with the rental of space for occupancy</w:t>
      </w:r>
    </w:p>
    <w:p>
      <w:pPr>
        <w:sectPr>
          <w:pgSz w:w="11900" w:h="16838" w:orient="portrait"/>
          <w:cols w:equalWidth="0" w:num="1">
            <w:col w:w="9879"/>
          </w:cols>
          <w:pgMar w:left="580" w:top="90" w:right="1440" w:bottom="1440" w:gutter="0" w:footer="0" w:header="0"/>
        </w:sectPr>
      </w:pPr>
    </w:p>
    <w:p>
      <w:pPr>
        <w:spacing w:after="0" w:line="37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59"/>
        <w:spacing w:after="0" w:line="244" w:lineRule="auto"/>
        <w:rPr>
          <w:sz w:val="20"/>
          <w:szCs w:val="20"/>
          <w:color w:val="auto"/>
        </w:rPr>
      </w:pPr>
      <w:r>
        <w:rPr>
          <w:rFonts w:ascii="Arial" w:cs="Arial" w:eastAsia="Arial" w:hAnsi="Arial"/>
          <w:sz w:val="18"/>
          <w:szCs w:val="18"/>
          <w:color w:val="auto"/>
        </w:rPr>
        <w:t>only and are not otherwise considered “rendered to the occupant” of the property. Examples of these services include the provision of light, heat, or other utilities, trash removal and general maintenance of common areas. In addition, we may employ an independent contractor from whom we derive no revenue to provide customary services to our tenants, or a taxable REIT subsidiary (which may be wholly or partially owned by us) to provide both customary and non-customary services to our tenants, without causing the rent we receive from those tenants to fail to qualify as “rents from real property.”</w:t>
      </w:r>
    </w:p>
    <w:p>
      <w:pPr>
        <w:spacing w:after="0" w:line="120"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7"/>
          <w:szCs w:val="17"/>
          <w:color w:val="auto"/>
        </w:rPr>
        <w:t>We generally do not intend, and as the managing member of our operating company, we do not intend to permit our operating company, to take actions we believe will cause us to fail to satisfy the rental conditions described above. However, we may intentionally fail to satisfy some of these conditions to the extent we determine, based on the advice of our tax counsel, that the failure will not jeopardize our tax status as a REIT. In addition, with respect to the limitation on the rental of personal property, we generally have not obtained appraisals of the real property and personal property leased to tenants. Accordingly, there can be no assurance that the IRS will not disagree with our determinations of value.</w:t>
      </w:r>
    </w:p>
    <w:p>
      <w:pPr>
        <w:spacing w:after="0" w:line="105"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From time to time, we may enter into hedging transactions with respect to one or more of our assets or liabilities. Our hedging activities may include entering into interest rate swaps, caps, and floors, options to purchase these items, and futures and forward contracts. Income from a hedging transaction, including gain from the sale or disposition of such a transaction, that is clearly identified as a hedging transaction as specified in the Code will not constitute gross income under, and thus will be exempt from, the 75% and 95% gross income tests. The term “hedging transaction,” as used above, generally means (A) any transaction we enter into in the normal course of our business primarily to manage risk of (1) interest rate changes or fluctuations with respect to borrowings made or to be made by us to acquire or carry real estate assets, or (2) currency fluctuations with respect to an item of qualifying income under the 75% or 95% gross income test or any property which generates such income and (B) new transactions entered into to hedge the income or loss from prior hedging transactions, where the property or indebtedness which was the subject of the prior hedging transaction was extinguished or disposed of. To the extent that we do not properly identify such transactions as hedges or we hedge with other types of financial instruments, the income from those transactions is not likely to be treated as qualifying income for purposes of the gross income tests. We intend to structure any hedging transactions in a manner that does not jeopardize our status as a REIT.</w:t>
      </w:r>
    </w:p>
    <w:p>
      <w:pPr>
        <w:spacing w:after="0" w:line="114" w:lineRule="exact"/>
        <w:rPr>
          <w:sz w:val="20"/>
          <w:szCs w:val="20"/>
          <w:color w:val="auto"/>
        </w:rPr>
      </w:pPr>
    </w:p>
    <w:p>
      <w:pPr>
        <w:ind w:left="1260" w:right="459" w:firstLine="360"/>
        <w:spacing w:after="0" w:line="249" w:lineRule="auto"/>
        <w:rPr>
          <w:sz w:val="20"/>
          <w:szCs w:val="20"/>
          <w:color w:val="auto"/>
        </w:rPr>
      </w:pPr>
      <w:r>
        <w:rPr>
          <w:rFonts w:ascii="Arial" w:cs="Arial" w:eastAsia="Arial" w:hAnsi="Arial"/>
          <w:sz w:val="18"/>
          <w:szCs w:val="18"/>
          <w:color w:val="auto"/>
        </w:rPr>
        <w:t>To the extent our taxable REIT subsidiaries pay dividends or interest, our allocable share of such dividend or interest income will qualify under the 95%, but not the 75%, gross income test (except that our allocable share of such interest would also qualify under the 75% gross income test to the extent the interest is paid on a loan that is adequately secured by real property).</w:t>
      </w:r>
    </w:p>
    <w:p>
      <w:pPr>
        <w:spacing w:after="0" w:line="113"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will monitor the amount of the dividend and other income from our taxable REIT subsidiaries and will take actions intended to keep this income, and any other nonqualifying income, within the limitations of the gross income tests. Although we expect these actions will be sufficient to prevent a violation of the gross income tests, we cannot guarantee that such actions will in all cases prevent such a violation.</w:t>
      </w:r>
    </w:p>
    <w:p>
      <w:pPr>
        <w:spacing w:after="0" w:line="99"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If we fail to satisfy one or both of the 75% or 95% gross income tests for any taxable year, we may nevertheless qualify as a REIT for the year if we are entitled to relief under certain provisions of the Code. We generally may make use of the relief provisions if:</w:t>
      </w:r>
    </w:p>
    <w:p>
      <w:pPr>
        <w:spacing w:after="0" w:line="87" w:lineRule="exact"/>
        <w:rPr>
          <w:sz w:val="20"/>
          <w:szCs w:val="20"/>
          <w:color w:val="auto"/>
        </w:rPr>
      </w:pPr>
    </w:p>
    <w:p>
      <w:pPr>
        <w:jc w:val="both"/>
        <w:ind w:left="1800" w:right="479" w:hanging="180"/>
        <w:spacing w:after="0" w:line="259"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following our identification of the failure to meet the 75% or 95% gross income tests for any taxable year, we file a schedule with the IRS setting forth each item of our gross income for purposes of the 75% or 95% gross income tests for such taxable year in accordance with Treasury Regulations to be issued; and</w:t>
      </w:r>
    </w:p>
    <w:p>
      <w:pPr>
        <w:spacing w:after="0" w:line="65" w:lineRule="exact"/>
        <w:rPr>
          <w:rFonts w:ascii="Arial" w:cs="Arial" w:eastAsia="Arial" w:hAnsi="Arial"/>
          <w:sz w:val="18"/>
          <w:szCs w:val="18"/>
          <w:color w:val="auto"/>
        </w:rPr>
      </w:pPr>
    </w:p>
    <w:p>
      <w:pPr>
        <w:ind w:left="1800" w:hanging="180"/>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failure to meet these tests was due to reasonable cause and not due to willful neglect.</w:t>
      </w:r>
    </w:p>
    <w:p>
      <w:pPr>
        <w:spacing w:after="0" w:line="158"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It is not possible, however, to state whether in all circumstances we would be entitled to the benefit of these relief provisions. For example, if we fail to satisfy the gross income tests because nonqualifying income that we intentionally accrue or receive exceeds the limits on nonqualifying income, the IRS could conclude that our failure to satisfy the tests was not due to reasonable cause. If these relief provisions do not apply to a particular set of circumstances, we will not qualify as a REIT. See “— Failure to Qualify” below. As discussed above in “— General,” even if these relief provisions apply, and we retain our status as a REIT, a</w:t>
      </w:r>
    </w:p>
    <w:p>
      <w:pPr>
        <w:sectPr>
          <w:pgSz w:w="11900" w:h="16838" w:orient="portrait"/>
          <w:cols w:equalWidth="0" w:num="1">
            <w:col w:w="9879"/>
          </w:cols>
          <w:pgMar w:left="580" w:top="90" w:right="1440" w:bottom="1440" w:gutter="0" w:footer="0" w:header="0"/>
        </w:sectPr>
      </w:pPr>
    </w:p>
    <w:p>
      <w:pPr>
        <w:spacing w:after="0" w:line="37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color w:val="auto"/>
        </w:rPr>
        <w:t>tax would be imposed with respect to our nonqualifying income. We may not always be able to comply with the gross income tests for REIT qualification despite periodic monitoring of our income.</w:t>
      </w:r>
    </w:p>
    <w:p>
      <w:pPr>
        <w:spacing w:after="0" w:line="89" w:lineRule="exact"/>
        <w:rPr>
          <w:sz w:val="20"/>
          <w:szCs w:val="20"/>
          <w:color w:val="auto"/>
        </w:rPr>
      </w:pPr>
    </w:p>
    <w:p>
      <w:pPr>
        <w:ind w:left="1260" w:right="479" w:firstLine="360"/>
        <w:spacing w:after="0" w:line="249" w:lineRule="auto"/>
        <w:rPr>
          <w:sz w:val="20"/>
          <w:szCs w:val="20"/>
          <w:color w:val="auto"/>
        </w:rPr>
      </w:pPr>
      <w:r>
        <w:rPr>
          <w:rFonts w:ascii="Arial" w:cs="Arial" w:eastAsia="Arial" w:hAnsi="Arial"/>
          <w:sz w:val="18"/>
          <w:szCs w:val="18"/>
          <w:i w:val="1"/>
          <w:iCs w:val="1"/>
          <w:color w:val="auto"/>
        </w:rPr>
        <w:t>Phantom Income</w:t>
      </w:r>
      <w:r>
        <w:rPr>
          <w:rFonts w:ascii="Arial" w:cs="Arial" w:eastAsia="Arial" w:hAnsi="Arial"/>
          <w:sz w:val="18"/>
          <w:szCs w:val="18"/>
          <w:color w:val="auto"/>
        </w:rPr>
        <w:t>. To the extent we own mortgage loans or other debt instruments,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we may be required to recognize taxable income from those assets in advance of our receipt of cash flow on or proceeds from disposition of such assets, and may be required to report taxable income in early periods that exceeds the economic income ultimately realized on such assets.</w:t>
      </w:r>
    </w:p>
    <w:p>
      <w:pPr>
        <w:spacing w:after="0" w:line="113"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If we were to acquire debt instruments in the secondary market for less than their face amount, the amount of such discount generally would be treated as “market discount” for U.S. federal income tax purposes. Accrued market discount is reported as income when, and to the extent that, any payment of principal of the debt instrument is made or upon a gain on the disposition of the debt instrument, unless we elect to include accrued market discount in income as it accrues. Principal payments on certain loans are made monthly, and consequently accrued market discount may have to be included in income each month as if the debt instrument were assured of ultimately being collected in full. If we collect less on the debt instrument than our purchase price plus the market discount we had previously reported as income, we may not be able to benefit from any offsetting loss deductions in a subsequent taxable year.</w:t>
      </w:r>
    </w:p>
    <w:p>
      <w:pPr>
        <w:spacing w:after="0" w:line="107"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7"/>
          <w:szCs w:val="17"/>
          <w:color w:val="auto"/>
        </w:rPr>
        <w:t>If we were to acquire securities issued with original issue discount, we would generally be required to accrue original issue discount based on the constant yield to maturity of the securities, and to treat it as taxable income in accordance with applicable U.S. federal income tax rules even though smaller or no cash payments were received on such debt instrument. As in the case of the market discount discussed in the preceding paragraph, the constant yield in question would be determined and we would be taxed based on the assumption that all future payments due on securities in question will be made, with consequences similar to those described in the previous paragraph if all payments on the securities are not made.</w:t>
      </w:r>
    </w:p>
    <w:p>
      <w:pPr>
        <w:spacing w:after="0" w:line="105" w:lineRule="exact"/>
        <w:rPr>
          <w:sz w:val="20"/>
          <w:szCs w:val="20"/>
          <w:color w:val="auto"/>
        </w:rPr>
      </w:pPr>
    </w:p>
    <w:p>
      <w:pPr>
        <w:ind w:left="1260" w:right="699" w:firstLine="360"/>
        <w:spacing w:after="0" w:line="246" w:lineRule="auto"/>
        <w:rPr>
          <w:sz w:val="20"/>
          <w:szCs w:val="20"/>
          <w:color w:val="auto"/>
        </w:rPr>
      </w:pPr>
      <w:r>
        <w:rPr>
          <w:rFonts w:ascii="Arial" w:cs="Arial" w:eastAsia="Arial" w:hAnsi="Arial"/>
          <w:sz w:val="18"/>
          <w:szCs w:val="18"/>
          <w:color w:val="auto"/>
        </w:rPr>
        <w:t>In addition, in the event that any debt instruments or other securities we acquire are delinquent as to mandatory principal and interest payments, or in the event payments with respect to a particular debt instrument are not made when due, we may nonetheless be required to continue to recognize the unpaid interest as taxable income. Similarly, we may be required to accrue interest income with respect to subordinate mortgage-backed securities at the stated rate regardless of whether corresponding cash payments are received.</w:t>
      </w:r>
    </w:p>
    <w:p>
      <w:pPr>
        <w:spacing w:after="0" w:line="118" w:lineRule="exact"/>
        <w:rPr>
          <w:sz w:val="20"/>
          <w:szCs w:val="20"/>
          <w:color w:val="auto"/>
        </w:rPr>
      </w:pPr>
    </w:p>
    <w:p>
      <w:pPr>
        <w:ind w:left="1260" w:right="679" w:firstLine="360"/>
        <w:spacing w:after="0" w:line="249" w:lineRule="auto"/>
        <w:rPr>
          <w:sz w:val="20"/>
          <w:szCs w:val="20"/>
          <w:color w:val="auto"/>
        </w:rPr>
      </w:pPr>
      <w:r>
        <w:rPr>
          <w:rFonts w:ascii="Arial" w:cs="Arial" w:eastAsia="Arial" w:hAnsi="Arial"/>
          <w:sz w:val="18"/>
          <w:szCs w:val="18"/>
          <w:color w:val="auto"/>
        </w:rPr>
        <w:t>We may also be required under the terms of indebtedness that we borrow from private lenders to use cash received from interest payments to make principal payments on that indebtedness, with the effect of recognizing income but not having a corresponding amount of cash available for distribution to our stockholders.</w:t>
      </w:r>
    </w:p>
    <w:p>
      <w:pPr>
        <w:spacing w:after="0" w:line="113"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Finally, we are required to recognize certain items of income for U.S. federal income tax purposes no later than when we would report such items on our financial statements.</w:t>
      </w:r>
    </w:p>
    <w:p>
      <w:pPr>
        <w:spacing w:after="0" w:line="103"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Due to each of these potential timing differences between income recognition or expense deduction and the related cash receipts or disbursements, there is a risk that we may have taxable income in excess of cash available for distribution. In that event, we may need to borrow funds or take other action to satisfy the REIT distribution requirements for the taxable year in which this “phantom income” is recognized. See “— Annual Distribution Requirements.”</w:t>
      </w:r>
    </w:p>
    <w:p>
      <w:pPr>
        <w:spacing w:after="0" w:line="118"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b w:val="1"/>
          <w:bCs w:val="1"/>
          <w:i w:val="1"/>
          <w:iCs w:val="1"/>
          <w:color w:val="auto"/>
        </w:rPr>
        <w:t>Prohibited Transaction Income</w:t>
      </w:r>
      <w:r>
        <w:rPr>
          <w:rFonts w:ascii="Arial" w:cs="Arial" w:eastAsia="Arial" w:hAnsi="Arial"/>
          <w:sz w:val="17"/>
          <w:szCs w:val="17"/>
          <w:color w:val="auto"/>
        </w:rPr>
        <w:t>. Any gain that we realize on the sale of property (other than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foreclosure property) held as inventory or otherwise held primarily for sale to customers in the ordinary course of business, including our share of any such gain realized by our operating company, either directly or through its subsidiary partnerships, will be treated as income from a prohibited transaction that is subject to a 100% penalty tax, unless certain safe harbor exceptions apply. This prohibited transaction income may also adversely affect our ability to satisfy the gross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As the managing member of our operating company, we intend to cause our operating company to hold its properties for investment with a view to long-term appreciation, to engage in the business of acquiring, developing and owning its properties and to make occasional sales of the properties as are consistent with our investment objectives. We do not intend, and do not intend to permit our operating</w:t>
      </w:r>
    </w:p>
    <w:p>
      <w:pPr>
        <w:spacing w:after="0" w:line="3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company or its subsidiary partnerships, to enter into any sales that are prohibited transactions. However, the IRS may successfully contend that some or all of the sales made by our operating company or its subsidiary partnerships are prohibited transactions. We would be required to pay the 100% penalty tax on our allocable share of the gains resulting from any such sales. The 100% penalty tax will not apply to gains from the sale of assets that are held through a taxable REIT subsidiary, but such income will be subject to regular U.S. federal corporate income tax.</w:t>
      </w:r>
    </w:p>
    <w:p>
      <w:pPr>
        <w:spacing w:after="0" w:line="125"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b w:val="1"/>
          <w:bCs w:val="1"/>
          <w:i w:val="1"/>
          <w:iCs w:val="1"/>
          <w:color w:val="auto"/>
        </w:rPr>
        <w:t>Penalty Tax</w:t>
      </w:r>
      <w:r>
        <w:rPr>
          <w:rFonts w:ascii="Arial" w:cs="Arial" w:eastAsia="Arial" w:hAnsi="Arial"/>
          <w:sz w:val="18"/>
          <w:szCs w:val="18"/>
          <w:color w:val="auto"/>
        </w:rPr>
        <w:t>. Any redetermined rents, redetermined deductions, excess interest or redetermined TRS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income we generate will be subject to a 100% penalty tax. In general, redetermined rents are rents from real property that are overstated as a result of any services furnished to any of our tenants by a taxable REIT subsidiary of ours, redetermined deductions and excess interest represent any amounts that are deducted by a taxable REIT subsidiary of ours for amounts paid to us that are in excess of the amounts that would have been deducted based on arm’s length negotiations, and redetermined TRS service income is income of a taxable REIT subsidiary that is understated as a result of services provided to us or on our behalf. Rents we receive will not constitute redetermined rents if they qualify for certain safe harbor provisions contained in the Code.</w:t>
      </w:r>
    </w:p>
    <w:p>
      <w:pPr>
        <w:spacing w:after="0" w:line="12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do not believe we have been, and do not expect to be, subject to this penalty tax, although any rental or service arrangements we enter into from time to time may not satisfy the safe-harbor provisions referenced above. 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any overstated rents paid to us, or any excess deductions or understated income of our taxable REIT subsidiaries.</w:t>
      </w:r>
    </w:p>
    <w:p>
      <w:pPr>
        <w:spacing w:after="0" w:line="11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b w:val="1"/>
          <w:bCs w:val="1"/>
          <w:i w:val="1"/>
          <w:iCs w:val="1"/>
          <w:color w:val="auto"/>
        </w:rPr>
        <w:t>Asset Tests</w:t>
      </w:r>
      <w:r>
        <w:rPr>
          <w:rFonts w:ascii="Arial" w:cs="Arial" w:eastAsia="Arial" w:hAnsi="Arial"/>
          <w:sz w:val="17"/>
          <w:szCs w:val="17"/>
          <w:color w:val="auto"/>
        </w:rPr>
        <w:t>. At the close of each calendar quarter of our taxable year, we must also satisfy certain tests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relating to the nature and diversification of our assets. First, at least 75% of the value of our total assets must be represented by real estate assets, cash, cash items and U.S. government securities. For purposes of this test, the term “real estate assets” generally means real property (including interests in real property and interests in mortgages on real property or on both real property and, to a limited extent, personal property), shares (or transferable certificates of beneficial interest) in other REITs, any stock or debt instrument attributable to the investment of the proceeds of a stock offering or a public offering of debt with a term of at least five years (but only for the one-year period beginning on the date the REIT receives such proceeds), debt instruments of publicly offered REITs, and personal property leased in connection with a lease of real property for which the rent attributable to personal property is not greater than 15% of the total rent received under the lease. Regular or residual interests in REMICs are generally treated as a real estate asset. If, however, less than 95% of the assets of a REMIC consists of real estate assets (determined as if we held such assets), we will be treated as owning our proportionate share of the assets of the REMIC. In the case of any interests in grantor trusts, we would be treated as owning an undivided beneficial interest in the mortgage loans held by the grantor trust.</w:t>
      </w:r>
    </w:p>
    <w:p>
      <w:pPr>
        <w:spacing w:after="0" w:line="114" w:lineRule="exact"/>
        <w:rPr>
          <w:sz w:val="20"/>
          <w:szCs w:val="20"/>
          <w:color w:val="auto"/>
        </w:rPr>
      </w:pPr>
    </w:p>
    <w:p>
      <w:pPr>
        <w:ind w:left="1260" w:right="519" w:firstLine="360"/>
        <w:spacing w:after="0" w:line="342" w:lineRule="auto"/>
        <w:rPr>
          <w:sz w:val="20"/>
          <w:szCs w:val="20"/>
          <w:color w:val="auto"/>
        </w:rPr>
      </w:pPr>
      <w:r>
        <w:rPr>
          <w:rFonts w:ascii="Arial" w:cs="Arial" w:eastAsia="Arial" w:hAnsi="Arial"/>
          <w:sz w:val="16"/>
          <w:szCs w:val="16"/>
          <w:color w:val="auto"/>
        </w:rPr>
        <w:t>Second, not more than 25% of the value of our total assets may be represented by securities (including securities of taxable REIT subsidiaries), other than those securities includable in the 75% asset test.</w:t>
      </w:r>
    </w:p>
    <w:p>
      <w:pPr>
        <w:spacing w:after="0" w:line="5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Third, of the investments included in the 25% asset class, and except for certain investments in other REITs, our qualified REIT subsidiaries and taxable REIT subsidiaries, the value of any one issuer’s securities may not exceed 5% of the value of our total assets, and we may not own more than 10% of the total vote or value of the outstanding securities of any one issuer. Certain types of securities we may own are disregarded as securities solely for purposes of the 10% value test, including, but not limited to, securities satisfying the “straight debt” safe harbor, securities issued by a partnership that itself would satisfy the 75% income test if it were a REIT, any loan to an individual or an estate, any obligation to pay rents from real property and any security issued by a REIT. In addition, solely for purposes of the 10% value test, the determination of our interest in the assets of a partnership in which we own an interest will be based on our proportionate interest in any securities issued by the partnership, excluding for this purpose certain securities described in the Code. From time to time we may own securities (including debt securities) of issuers that do not qualify as a REIT, a qualified REIT subsidiary or a taxable REIT subsidiary. We intend that our ownership of any such securities will be structured in a manner that allows us to comply with the asset tests described above.</w:t>
      </w:r>
    </w:p>
    <w:p>
      <w:pPr>
        <w:sectPr>
          <w:pgSz w:w="11900" w:h="16838" w:orient="portrait"/>
          <w:cols w:equalWidth="0" w:num="1">
            <w:col w:w="9879"/>
          </w:cols>
          <w:pgMar w:left="580" w:top="90" w:right="1440" w:bottom="1440" w:gutter="0" w:footer="0" w:header="0"/>
        </w:sectPr>
      </w:pPr>
    </w:p>
    <w:p>
      <w:pPr>
        <w:spacing w:after="0" w:line="37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Fourth, not more than 20% of the value of our total assets may be represented by the securities of one or more taxable REIT subsidiaries. We and our operating company own interests in companies that have elected, together with us, to be treated as our taxable REIT subsidiaries, and we may acquire securities in additional taxable REIT subsidiaries in the future. So long as each of these companies qualifies as a taxable REIT subsidiary of ours, we will not be subject to the 5% asset test, the 10% voting securities limitation or the 10% value limitation with respect to our ownership of the securities of such companies. We believe that the aggregate value of our taxable REIT subsidiaries has not exceeded, and in the future will not exceed, 20% of the aggregate value of our gross assets. We generally do not obtain independent appraisals to support these conclusions. In addition, there can be no assurance that the IRS will not disagree with our determinations of value.</w:t>
      </w:r>
    </w:p>
    <w:p>
      <w:pPr>
        <w:spacing w:after="0" w:line="118" w:lineRule="exact"/>
        <w:rPr>
          <w:sz w:val="20"/>
          <w:szCs w:val="20"/>
          <w:color w:val="auto"/>
        </w:rPr>
      </w:pPr>
    </w:p>
    <w:p>
      <w:pPr>
        <w:ind w:left="1260" w:right="659" w:firstLine="360"/>
        <w:spacing w:after="0" w:line="249" w:lineRule="auto"/>
        <w:rPr>
          <w:sz w:val="20"/>
          <w:szCs w:val="20"/>
          <w:color w:val="auto"/>
        </w:rPr>
      </w:pPr>
      <w:r>
        <w:rPr>
          <w:rFonts w:ascii="Arial" w:cs="Arial" w:eastAsia="Arial" w:hAnsi="Arial"/>
          <w:sz w:val="18"/>
          <w:szCs w:val="18"/>
          <w:color w:val="auto"/>
        </w:rPr>
        <w:t>Fifth, 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 as described above (e.g., a debt instrument issued by a publicly offered REIT that is not secured by a mortgage on real property).</w:t>
      </w:r>
    </w:p>
    <w:p>
      <w:pPr>
        <w:spacing w:after="0" w:line="11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We believe our assets comply and will continue to comply with the foregoing REIT asset requirements, and we intend to monitor compliance with such tests on an ongoing basis. There can be no assurance, however, that we will be successful in this effort. Moreover, the values of some of our assets, including securities of TRSs or other non-publicly traded investments, may not be susceptible to a precise determination and are subject to change in the future. Although we will continue to be prudent in making these estimates, there can be no assurance that the IRS will not disagree with these determinations and assert that a different value is applicable, in which case we might not satisfy the REIT asset tests, and could fail to qualify as a REIT. Furthermore, the proper classification of an instrument as debt or equity for U.S. federal income tax purposes may be uncertain in some circumstances, which could affect the application of the REIT asset tests. As an example, certain Ground Leases we enter into may, in certain circumstances, be determined to have a financing component. To the extent all or a portion of a Ground Lease were treated as a loan for tax purposes, we believe such loan should be considered as secured by real property because of our ability to take back the leasehold interest and any improvements thereon upon default under the Ground Lease, and therefore such treatment should not adversely impact our ability to satisfy the REIT asset tests. There can be no assurance that the IRS will not contend that certain of our Ground Lease assets do not meet the requirements of the REIT asset tests.</w:t>
      </w:r>
    </w:p>
    <w:p>
      <w:pPr>
        <w:spacing w:after="0" w:line="119"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7"/>
          <w:szCs w:val="17"/>
          <w:color w:val="auto"/>
        </w:rPr>
        <w:t>In the event that we invest in a mortgage loan that is not fully secured by real property, Revenue Procedure 2014-51 provides a safe harbor under which the IRS has stated that it will not challenge a REIT’s treatment of a loan as being, in part, a qualifying real estate asset in an amount equal to the lesser of: (1) the greater of (a) the fair market value of the real property securing the loan determined as of the date the REIT committed to acquire the loan or (b) the fair market value of the real property securing the loan on the relevant quarterly REIT asset testing date; or (2) the fair market value of the loan on the date of the relevant quarterly REIT asset testing date. We intend to invest in mortgage loans in a manner consistent with satisfying the asset tests and maintaining our qualification as a REIT.</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We hold certain mortgage and mezzanine loans to one or more of our taxable REIT subsidiaries that are secured by real property. We treat these loans as qualifying assets for purposes of the REIT assets tests to the extent that such mortgage loans are secured by real property under the rules described above and such mezzanine loans qualify for the safe harbor in the Revenue Procedure as described above, pursuant to a private letter ruling we received from the IRS. We do not treat such loans as subject to the limitation that securities from taxable REIT subsidiaries must constitute no more than 20% of our total assets. We are entitled to rely upon this private letter ruling only to the extent that we did not misstate or omit a material fact in the ruling request and that we continue to operate in accordance with the material facts described in such request, and no assurance can be given that we will always be able to do so.</w:t>
      </w:r>
    </w:p>
    <w:p>
      <w:pPr>
        <w:spacing w:after="0" w:line="107"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The asset tests must be satisfied at the close of each calendar quarter of our taxable year in which we (directly or through any partnership or qualified REIT subsidiary) acquire securities in the applicable issuer, and also at the close of each calendar quarter in which we increase our ownership of securities of such issuer (including as a result of an increase in our interest in any partnership that owns such securities). Also, after initially meeting the asset tests at the close of any quarter, we will not lose our status as a REIT for</w:t>
      </w:r>
    </w:p>
    <w:p>
      <w:pPr>
        <w:spacing w:after="0" w:line="3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61" w:lineRule="auto"/>
        <w:rPr>
          <w:sz w:val="20"/>
          <w:szCs w:val="20"/>
          <w:color w:val="auto"/>
        </w:rPr>
      </w:pPr>
      <w:r>
        <w:rPr>
          <w:rFonts w:ascii="Arial" w:cs="Arial" w:eastAsia="Arial" w:hAnsi="Arial"/>
          <w:sz w:val="17"/>
          <w:szCs w:val="17"/>
          <w:color w:val="auto"/>
        </w:rPr>
        <w:t>failure to satisfy the asset tests at the end of a later quarter solely by reason of changes in asset values. If we fail to satisfy an asset test because we acquire securities or other property during a quarter (including as a result of an increase in our interest in any partnership), we may cure this failure by disposing of sufficient nonqualifying assets within 30 days after the close of that quarter. We believe that we have maintained, and we intend to maintain, adequate records of the value of our assets to ensure compliance with the asset tests. If we fail to cure any noncompliance with the asset tests within the 30-day cure period, we would cease to qualify as a REIT unless we are eligible for certain relief provisions discussed below.</w:t>
      </w:r>
    </w:p>
    <w:p>
      <w:pPr>
        <w:spacing w:after="0" w:line="105" w:lineRule="exact"/>
        <w:rPr>
          <w:sz w:val="20"/>
          <w:szCs w:val="20"/>
          <w:color w:val="auto"/>
        </w:rPr>
      </w:pPr>
    </w:p>
    <w:p>
      <w:pPr>
        <w:jc w:val="center"/>
        <w:ind w:left="1560" w:right="280"/>
        <w:spacing w:after="0" w:line="274" w:lineRule="auto"/>
        <w:rPr>
          <w:sz w:val="20"/>
          <w:szCs w:val="20"/>
          <w:color w:val="auto"/>
        </w:rPr>
      </w:pPr>
      <w:r>
        <w:rPr>
          <w:rFonts w:ascii="Arial" w:cs="Arial" w:eastAsia="Arial" w:hAnsi="Arial"/>
          <w:sz w:val="17"/>
          <w:szCs w:val="17"/>
          <w:color w:val="auto"/>
        </w:rPr>
        <w:t>Certain relief provisions may be available to us if we discover a failure to satisfy the asset tests described above after the 30-day cure period. Under these provisions, we will be deemed to have met the</w:t>
      </w:r>
    </w:p>
    <w:p>
      <w:pPr>
        <w:ind w:left="1260" w:right="439"/>
        <w:spacing w:after="0" w:line="265" w:lineRule="auto"/>
        <w:rPr>
          <w:sz w:val="20"/>
          <w:szCs w:val="20"/>
          <w:color w:val="auto"/>
        </w:rPr>
      </w:pPr>
      <w:r>
        <w:rPr>
          <w:rFonts w:ascii="Arial" w:cs="Arial" w:eastAsia="Arial" w:hAnsi="Arial"/>
          <w:sz w:val="17"/>
          <w:szCs w:val="17"/>
          <w:color w:val="auto"/>
        </w:rPr>
        <w:t xml:space="preserve">5% and 10% asset tests if the value of our nonqualifying assets (i) does not exceed the lesser of (a) 1% of the total value of our assets at the end of the applicable quarter or (b) $10,000,000, and (ii) we dispose of the nonqualifying assets or otherwise satisfy such tests within (a) six months after the last day of the quarter in which the failure to satisfy the asset tests is discovered or (b) the period of time prescribed by Treasury Regulations to be issued. For violations of any of the asset tests due to reasonable cause and not due to willful neglect and that are, in the case of the 5% and 10% asset tests, in excess of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exception described above, we may avoid disqualification as a REIT after the 30-day cure period by taking steps including (i) the disposition of sufficient nonqualifying assets, or the taking of other actions, which allow us to meet the asset tests within (a) six months after the last day of the quarter in which the failure to satisfy the asset tests is discovered or (b) the period of time prescribed by Treasury Regulations to be issued,</w:t>
      </w:r>
    </w:p>
    <w:p>
      <w:pPr>
        <w:spacing w:after="0" w:line="2" w:lineRule="exact"/>
        <w:rPr>
          <w:sz w:val="20"/>
          <w:szCs w:val="20"/>
          <w:color w:val="auto"/>
        </w:rPr>
      </w:pPr>
    </w:p>
    <w:p>
      <w:pPr>
        <w:ind w:left="1260" w:right="539"/>
        <w:spacing w:after="0" w:line="255" w:lineRule="auto"/>
        <w:tabs>
          <w:tab w:leader="none" w:pos="1543"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paying a tax equal to the greater of (a) $50,000 or (b) the U.S. federal corporate income tax rate multiplied by the net income generated by the nonqualifying assets, and (iii) disclosing certain information to the IRS.</w:t>
      </w:r>
    </w:p>
    <w:p>
      <w:pPr>
        <w:spacing w:after="0" w:line="12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Although we believe we have satisfied the asset tests described above and plan to take steps to ensure that we satisfy such tests for any quarter with respect to which retesting is to occur, there can be no assurance that we will always be successful, or will not require a reduction in our overall interest in an issuer (including in a taxable REIT subsidiary). If we fail to cure any noncompliance with the asset tests in a timely manner, and the relief provisions described above are not available, we would cease to qualify as a REIT.</w:t>
      </w:r>
    </w:p>
    <w:p>
      <w:pPr>
        <w:spacing w:after="0" w:line="125"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b w:val="1"/>
          <w:bCs w:val="1"/>
          <w:i w:val="1"/>
          <w:iCs w:val="1"/>
          <w:color w:val="auto"/>
        </w:rPr>
        <w:t>Annual Distribution Requirements</w:t>
      </w:r>
      <w:r>
        <w:rPr>
          <w:rFonts w:ascii="Arial" w:cs="Arial" w:eastAsia="Arial" w:hAnsi="Arial"/>
          <w:sz w:val="18"/>
          <w:szCs w:val="18"/>
          <w:color w:val="auto"/>
        </w:rPr>
        <w:t>. To maintain our qualification as a REIT, we are required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distribute dividends, other than capital gain dividends, to our stockholders each year in an amount at least equal to the sum of:</w:t>
      </w:r>
    </w:p>
    <w:p>
      <w:pPr>
        <w:spacing w:after="0" w:line="76" w:lineRule="exact"/>
        <w:rPr>
          <w:sz w:val="20"/>
          <w:szCs w:val="20"/>
          <w:color w:val="auto"/>
        </w:rPr>
      </w:pPr>
    </w:p>
    <w:p>
      <w:pPr>
        <w:ind w:left="1800" w:hanging="180"/>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90% of our REIT taxable income;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90% of our after-tax net income, if any, from foreclosure property; minus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excess of the sum of certain items of non-cash income over 5% of our REIT taxable income.</w:t>
      </w:r>
    </w:p>
    <w:p>
      <w:pPr>
        <w:spacing w:after="0" w:line="144"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For these purposes, our REIT taxable income is computed without regard to the dividends paid deduction and our net capital gain. In addition, for purposes of this test, non-cash income generally means income attributable to leveled stepped rents, original issue discount, cancellation of indebtedness, or a like-kind exchange that is later determined to be taxable.</w:t>
      </w:r>
    </w:p>
    <w:p>
      <w:pPr>
        <w:spacing w:after="0" w:line="119" w:lineRule="exact"/>
        <w:rPr>
          <w:sz w:val="20"/>
          <w:szCs w:val="20"/>
          <w:color w:val="auto"/>
        </w:rPr>
      </w:pPr>
    </w:p>
    <w:p>
      <w:pPr>
        <w:ind w:left="1260" w:right="579" w:firstLine="360"/>
        <w:spacing w:after="0" w:line="274" w:lineRule="auto"/>
        <w:rPr>
          <w:sz w:val="20"/>
          <w:szCs w:val="20"/>
          <w:color w:val="auto"/>
        </w:rPr>
      </w:pPr>
      <w:r>
        <w:rPr>
          <w:rFonts w:ascii="Arial" w:cs="Arial" w:eastAsia="Arial" w:hAnsi="Arial"/>
          <w:sz w:val="17"/>
          <w:szCs w:val="17"/>
          <w:color w:val="auto"/>
        </w:rPr>
        <w:t>In addition, our REIT taxable income will be reduced by any taxes we are required to pay on any gain we recognize from the disposition of any asset we acquired from a corporation that is or has been a</w:t>
      </w:r>
    </w:p>
    <w:p>
      <w:pPr>
        <w:jc w:val="both"/>
        <w:ind w:left="1260" w:right="779"/>
        <w:spacing w:after="0" w:line="255" w:lineRule="auto"/>
        <w:rPr>
          <w:sz w:val="20"/>
          <w:szCs w:val="20"/>
          <w:color w:val="auto"/>
        </w:rPr>
      </w:pPr>
      <w:r>
        <w:rPr>
          <w:rFonts w:ascii="Arial" w:cs="Arial" w:eastAsia="Arial" w:hAnsi="Arial"/>
          <w:sz w:val="18"/>
          <w:szCs w:val="18"/>
          <w:color w:val="auto"/>
        </w:rPr>
        <w:t>C corporation in a transaction in which our tax basis in the asset is less than the fair market value of the asset, in each case determined as of the date on which we acquired the asset, within the five-year period following our acquisition of such asset, as described above under “— General.”</w:t>
      </w:r>
    </w:p>
    <w:p>
      <w:pPr>
        <w:spacing w:after="0" w:line="122"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Except as provided below, a taxpayer’s deduction for net business interest expense will generally be limited to 30% of its taxable income, as adjusted for certain items of income, gain, deduction or loss. Any business interest deduction that is disallowed due to this limitation may be carried forward to future taxable years, subject to special rules applicable to partnerships. If we or any of our subsidiary partnerships are subject to this interest expense limitation, our REIT taxable income for a taxable year may be increased. Taxpayers that conduct certain real estate businesses may elect not to have this interest expense limitation apply to them, provided that they use an alternative depreciation system to depreciate certain property. We believe that we or any of our subsidiary partnerships that are subject to this interest expense limitation will be eligible to make this election. If such election is made, although we or such subsidiary partnership, as</w:t>
      </w:r>
    </w:p>
    <w:p>
      <w:pPr>
        <w:sectPr>
          <w:pgSz w:w="11900" w:h="16838" w:orient="portrait"/>
          <w:cols w:equalWidth="0" w:num="1">
            <w:col w:w="9879"/>
          </w:cols>
          <w:pgMar w:left="580" w:top="90" w:right="1440" w:bottom="1440" w:gutter="0" w:footer="0" w:header="0"/>
        </w:sectPr>
      </w:pP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308" w:lineRule="auto"/>
        <w:rPr>
          <w:sz w:val="20"/>
          <w:szCs w:val="20"/>
          <w:color w:val="auto"/>
        </w:rPr>
      </w:pPr>
      <w:r>
        <w:rPr>
          <w:rFonts w:ascii="Arial" w:cs="Arial" w:eastAsia="Arial" w:hAnsi="Arial"/>
          <w:sz w:val="17"/>
          <w:szCs w:val="17"/>
          <w:color w:val="auto"/>
        </w:rPr>
        <w:t>applicable, would not be subject to the interest expense limitation described above, depreciation deductions may be reduced, and, as a result, our REIT taxable income for a taxable year may be increased.</w:t>
      </w:r>
    </w:p>
    <w:p>
      <w:pPr>
        <w:spacing w:after="0" w:line="79"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We generally must pay, or be treated as paying, the distributions described above in the taxable year to which they relate. At our election, a distribution will be treated as paid in a taxable year if it is declared before we timely file our tax return for such year and paid on or before the first regular dividend payment after such declaration, provided such payment is made during the 12-month period following the close of such year. These distributions are treated as received by our stockholders in the year in which they are paid. This is so even though these distributions relate to the prior year for purposes of the 90% distribution requirement. In order to be taken into account for purposes of our distribution requirement, except as provided below, the amount distributed must not be preferential — </w:t>
      </w:r>
      <w:r>
        <w:rPr>
          <w:rFonts w:ascii="Arial" w:cs="Arial" w:eastAsia="Arial" w:hAnsi="Arial"/>
          <w:sz w:val="17"/>
          <w:szCs w:val="17"/>
          <w:i w:val="1"/>
          <w:iCs w:val="1"/>
          <w:color w:val="auto"/>
        </w:rPr>
        <w:t>i.e.</w:t>
      </w:r>
      <w:r>
        <w:rPr>
          <w:rFonts w:ascii="Arial" w:cs="Arial" w:eastAsia="Arial" w:hAnsi="Arial"/>
          <w:sz w:val="17"/>
          <w:szCs w:val="17"/>
          <w:color w:val="auto"/>
        </w:rPr>
        <w:t>,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are, and expect we will continue to be, a publicly offered REIT. However, Subsidiary REITs we may own from time to time may not be publicly offered REITs. To the extent that we do not distribute all of our net capital gain, or distribute at least 90%, but less than 100%, of our REIT taxable income, as adjusted, we will be required to pay regular U.S. federal corporate income tax on the undistributed amount. We believe that we have made, and we intend to continue to make, timely distributions sufficient to satisfy these annual distribution requirements and to minimize our corporate tax obligations. In this regard, the operating agreement of our operating company authorizes us, as the managing member of our operating company to take such steps as may be necessary to cause our operating company to distribute to its members an amount sufficient to permit us to meet these distribution requirements and to minimize our corporate tax obligation.</w:t>
      </w:r>
    </w:p>
    <w:p>
      <w:pPr>
        <w:spacing w:after="0" w:line="118"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For example, certain Ground Lease transactions we enter into may be determined to have a financing component, which may result in a timing difference between the receipt of cash and the recognition of income for U.S. federal income tax purposes. In addition, certain amounts can generate mismatches between net taxable income and available cash, such as rental real estate financed through debt which requires some or all of available cash flow to service borrowings. In certain circumstances, our deductions of interest on such borrowings could be limited for tax purposes absent an election out of such limitation, if available. In addition, we may decide to retain our cash, rather than distribute it, in order to repay debt or for other reasons. If these timing differences occur, we may borrow funds to pay dividends or pay dividends in the form of taxable stock distributions in order to meet the distribution requirements, while preserving our cash. See “— Income Tests — Phantom Income.”</w:t>
      </w:r>
    </w:p>
    <w:p>
      <w:pPr>
        <w:spacing w:after="0" w:line="103"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Under some circumstances, we may be able to rectify an inadvertent failure to meet the 90% distribution requirement for a year by paying “deficiency dividends” to our stockholders in a later year, which may be included in our deduction for dividends paid for the earlier year. In that case, we may be able to avoid being taxed on amounts distributed as deficiency dividends, subject to the 4% excise tax described below. However, we will be required to pay interest to the IRS based upon the amount of any deduction claimed for deficiency dividends. While the payment of a deficiency dividend will apply to a prior year for purposes of our REIT distribution requirements, it will be treated as an additional distribution to our stockholders in the year such dividend is paid. In addition, if a dividend we have paid is treated as a preferential dividend, in lieu of treating the dividend as not counting toward satisfying the 90% distribution requirement, the IRS may provide a remedy to cure such failure if the IRS determines that such failure is (or is of a type that is) inadvertent or due to reasonable cause and not due to willful neglect.</w:t>
      </w:r>
    </w:p>
    <w:p>
      <w:pPr>
        <w:spacing w:after="0" w:line="114"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Furthermore, we will be required to pay a 4% excise tax to the extent we fail to distribute during each calendar year at least the sum of 85% of our ordinary income for such year, 95% of our capital gain net income for the year and any undistributed taxable income from prior periods. Any ordinary income and net capital gain on which U.S. federal corporate income tax is imposed for any year is treated as an amount distributed during that year for purposes of calculating this excise tax.</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For purposes of the 90% distribution requirement and excise tax described above, dividends declared during the last three months of the taxable year, payable to stockholders of record on a specified date during such period and paid during January of the following year, will be treated as paid by us and received by our stockholders on December 31 of the year in which they are declared.</w:t>
      </w:r>
    </w:p>
    <w:p>
      <w:pPr>
        <w:spacing w:after="0" w:line="119"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b w:val="1"/>
          <w:bCs w:val="1"/>
          <w:i w:val="1"/>
          <w:iCs w:val="1"/>
          <w:color w:val="auto"/>
        </w:rPr>
        <w:t>Like-Kind Exchanges</w:t>
      </w:r>
      <w:r>
        <w:rPr>
          <w:rFonts w:ascii="Arial" w:cs="Arial" w:eastAsia="Arial" w:hAnsi="Arial"/>
          <w:sz w:val="18"/>
          <w:szCs w:val="18"/>
          <w:color w:val="auto"/>
        </w:rPr>
        <w:t>. We may dispose of real property that is not held primarily for sale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intended to qualify as like-kind exchanges under the Code. Such like-kind exchanges are intended to result in the deferral of gain for U.S. federal income tax purposes. The failure of any such transaction to qualify as a like-kind exchange could require us to pay U.S. federal income tax, possibly including the 100% prohibited transaction tax, or deficiency dividends, depending on the facts and circumstances surrounding the particular transaction.</w:t>
      </w:r>
    </w:p>
    <w:p>
      <w:pPr>
        <w:spacing w:after="0" w:line="125"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b w:val="1"/>
          <w:bCs w:val="1"/>
          <w:i w:val="1"/>
          <w:iCs w:val="1"/>
          <w:color w:val="auto"/>
        </w:rPr>
        <w:t>Tax Liabilities and Attributes Inherited in Connection with Acquisitions</w:t>
      </w:r>
      <w:r>
        <w:rPr>
          <w:rFonts w:ascii="Arial" w:cs="Arial" w:eastAsia="Arial" w:hAnsi="Arial"/>
          <w:sz w:val="17"/>
          <w:szCs w:val="17"/>
          <w:color w:val="auto"/>
        </w:rPr>
        <w:t>. From time to time, we 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company may acquire other corporations or entities and, in connection with such acquisitions, we may succeed to the historical tax attributes and liabilities of such entities. For example, if we acquire a</w:t>
      </w:r>
    </w:p>
    <w:p>
      <w:pPr>
        <w:ind w:left="1260" w:right="419"/>
        <w:spacing w:after="0" w:line="252" w:lineRule="auto"/>
        <w:rPr>
          <w:sz w:val="20"/>
          <w:szCs w:val="20"/>
          <w:color w:val="auto"/>
        </w:rPr>
      </w:pPr>
      <w:r>
        <w:rPr>
          <w:rFonts w:ascii="Arial" w:cs="Arial" w:eastAsia="Arial" w:hAnsi="Arial"/>
          <w:sz w:val="18"/>
          <w:szCs w:val="18"/>
          <w:color w:val="auto"/>
        </w:rPr>
        <w:t>C corporation and subsequently dispose of its assets within five years of the acquisition, we could be required to pay the built-in gain tax described above under “— General.” In addition, in order to qualify as a REIT, at the end of any taxable year, we must not have any earnings and profits accumulated in a non-REIT year. As a result, if we acquire a C corporation, we must distribute the corporation’s earnings and profits accumulated prior to the acquisition before the end of the taxable year in which we acquire the corporation. We also could be required to pay the acquired entity’s unpaid taxes even though such liabilities arose prior to the time we acquired the entity.</w:t>
      </w:r>
    </w:p>
    <w:p>
      <w:pPr>
        <w:spacing w:after="0" w:line="111"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Moreover, we or one of our subsidiaries may from time to time acquire other REITs through a merger or acquisition. If any such REIT failed to qualify as a REIT for any of its taxable years, such REIT would be liable for (and we or our subsidiary, as applicable, as the surviving corporation in the merger or acquisition, would be obligated to pay) regular U.S. federal corporate income tax on its taxable income for such taxable years. In addition, if such REIT was a C corporation at the time of the merger or acquisition, the tax consequences described in the preceding paragraph generally would apply. If such REIT failed to qualify as a REIT for any of its taxable years, but qualified as a REIT at the time of such merger or acquisition, and we acquired such REIT’s assets in a transaction in which our tax basis in the assets of such REIT is determined, in whole or in part, by reference to such REIT’s tax basis in such assets, we generally would be subject to tax on the built-in gain on each asset of such REIT as described above if we were to dispose of the asset in a taxable transaction during the five-year period following such REIT’s requalification as a REIT, subject to certain exceptions. Moreover, even if such REIT qualified as a REIT at all relevant times, we would similarly be liable for other unpaid taxes (if any) of such REIT (such as the 100% tax on gains from any sales treated as “prohibited transactions” as described above under “— Prohibited Transaction Income”).</w:t>
      </w:r>
    </w:p>
    <w:p>
      <w:pPr>
        <w:spacing w:after="0" w:line="117"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Furthermore, after our acquisition of another corporation or entity, the asset and income tests will apply to all of our assets, including the assets we acquire from such corporation or entity, and to all of our income, including the income derived from the assets we acquire from such corporation or entity. As a result, the nature of the assets that we acquire from such corporation or entity and the income we derive from those assets may have an effect on our tax status as a REIT.</w:t>
      </w:r>
    </w:p>
    <w:p>
      <w:pPr>
        <w:spacing w:after="0" w:line="12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b w:val="1"/>
          <w:bCs w:val="1"/>
          <w:i w:val="1"/>
          <w:iCs w:val="1"/>
          <w:color w:val="auto"/>
        </w:rPr>
        <w:t>Foreclosure Property</w:t>
      </w:r>
      <w:r>
        <w:rPr>
          <w:rFonts w:ascii="Arial" w:cs="Arial" w:eastAsia="Arial" w:hAnsi="Arial"/>
          <w:sz w:val="18"/>
          <w:szCs w:val="18"/>
          <w:color w:val="auto"/>
        </w:rPr>
        <w:t>. The foreclosure property rules permit us (by our election) to foreclose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repossess properties without being disqualified as a REIT as a result of receiving income that does not qualify under the gross income tests. However, in such a case, we would be subject to the U.S. federal corporate income tax on the net non-qualifying income from “foreclosure property,” and the after-tax amount would increase the dividends we would be required to distribute to stockholders. See “— Annual Distribution Requirements.” This corporate tax would not apply to income that qualifies under the REIT 75% income test.</w:t>
      </w:r>
    </w:p>
    <w:p>
      <w:pPr>
        <w:spacing w:after="0" w:line="114"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Foreclosure property treatment is generally available for an initial period of three years and may, in certain circumstances, be extended for an additional three years. However, foreclosure property treatment will end on the first day on which we enter into a lease of the applicable property that will give rise to income that does not qualify under the REIT 75% income test, but will not end if the lease will give rise only to qualifying income under such test. Foreclosure property treatment also will end if any construction takes</w:t>
      </w:r>
    </w:p>
    <w:p>
      <w:pPr>
        <w:sectPr>
          <w:pgSz w:w="11900" w:h="16838" w:orient="portrait"/>
          <w:cols w:equalWidth="0" w:num="1">
            <w:col w:w="9879"/>
          </w:cols>
          <w:pgMar w:left="580" w:top="90" w:right="1440" w:bottom="1440" w:gutter="0" w:footer="0" w:header="0"/>
        </w:sectPr>
      </w:pP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79"/>
        <w:spacing w:after="0" w:line="277" w:lineRule="auto"/>
        <w:rPr>
          <w:sz w:val="20"/>
          <w:szCs w:val="20"/>
          <w:color w:val="auto"/>
        </w:rPr>
      </w:pPr>
      <w:r>
        <w:rPr>
          <w:rFonts w:ascii="Arial" w:cs="Arial" w:eastAsia="Arial" w:hAnsi="Arial"/>
          <w:sz w:val="18"/>
          <w:szCs w:val="18"/>
          <w:color w:val="auto"/>
        </w:rPr>
        <w:t>place on the property (other than completion of a building or other improvement that was more than 10% complete before default became imminent).</w:t>
      </w:r>
    </w:p>
    <w:p>
      <w:pPr>
        <w:spacing w:after="0" w:line="8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b w:val="1"/>
          <w:bCs w:val="1"/>
          <w:i w:val="1"/>
          <w:iCs w:val="1"/>
          <w:color w:val="auto"/>
        </w:rPr>
        <w:t>Failure to Qualify</w:t>
      </w:r>
      <w:r>
        <w:rPr>
          <w:rFonts w:ascii="Arial" w:cs="Arial" w:eastAsia="Arial" w:hAnsi="Arial"/>
          <w:sz w:val="17"/>
          <w:szCs w:val="17"/>
          <w:color w:val="auto"/>
        </w:rPr>
        <w:t>. If we discover a violation of a provision of the Code that would result in our failure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qualify as a REIT, certain specified cure provisions may be available to us. Except with respect to violations of the gross income tests and asset tests (for which the cure provisions are described above), and provided the violation is due to reasonable cause and not due to willful neglect, these cure provisions generally impose a $ 50,000 penalty for each violation in lieu of a loss of REIT status. If we fail to satisfy the requirements for taxation as a REIT in any taxable year, and the relief provisions do not apply, we will be required to pay regular U.S. federal corporate income tax, including any applicable alternative minimum tax, on our taxable income. Distributions to stockholders in any year in which we fail to qualify as a REIT will not be deductible by us. As a result, we anticipate that our failure to qualify as a REIT would reduce the cash available for distribution by us to our stockholders. In addition, if we fail to qualify as a REIT, we will not be required to distribute any amounts to our stockholders and all distributions to stockholders will be taxable as regular corporate dividends to the extent of our current and accumulated earnings and profits. In such event, corporate stockholders may be eligible for the dividends-received deduction. In addition, non-corporate stockholders, including individuals, may be eligible for the preferential tax rates on qualified dividend income. Non-corporate stockholders, including individuals, generally may deduct up to 20% of dividends from a REIT, other than capital gain dividends and dividends treated as qualified dividend income, for taxable years beginning before January 1, 2026 for purposes of determining their U.S. federal income tax (but not for purposes of the 3.8% Medicare tax), subject to certain holding period requirements and other limitations. If we fail to qualify as a REIT, such stockholders may not claim this deduction with respect to dividends paid by us. Unless entitled to relief under specific statutory provisions, we would also be ineligible to elect to be treated as a REIT for the four taxable years following the year for which we lose our qualification. It is not possible to state whether in all circumstances we would be entitled to this statutory relief.</w:t>
      </w:r>
    </w:p>
    <w:p>
      <w:pPr>
        <w:spacing w:after="0" w:line="395"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Tax Aspects of Our Operating Company, the Subsidiary Partnerships and the Limited Liability Companies</w:t>
      </w:r>
    </w:p>
    <w:p>
      <w:pPr>
        <w:spacing w:after="0" w:line="185"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7"/>
          <w:szCs w:val="17"/>
          <w:b w:val="1"/>
          <w:bCs w:val="1"/>
          <w:i w:val="1"/>
          <w:iCs w:val="1"/>
          <w:color w:val="auto"/>
        </w:rPr>
        <w:t>General</w:t>
      </w:r>
      <w:r>
        <w:rPr>
          <w:rFonts w:ascii="Arial" w:cs="Arial" w:eastAsia="Arial" w:hAnsi="Arial"/>
          <w:sz w:val="17"/>
          <w:szCs w:val="17"/>
          <w:color w:val="auto"/>
        </w:rPr>
        <w:t>. Currently, all of our investments are held indirectly through our operating company.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 our operating company holds certain of its investments indirectly through subsidiary partnerships and limited liability companies that we believe are and will continue to be treated as partnerships or disregarded entities for U.S. federal income tax purposes. In general, entities that are treated as partnerships or disregarded entities for U.S. federal income tax purposes are “pass-through” entities which are not required to pay U.S. federal income tax. Rather, partners of such partnerships are allocated their shares of the items of income, gain, loss, deduction and credit of the partnership, and are potentially required to pay tax on this income, without regard to whether they receive a distribution from the partnership. We will include in our income our share of these partnership items for purposes of the various gross income tests, the computation of our REIT taxable income, and the REIT distribution requirements. Moreover, for purposes of the asset tests, we will include our pro rata share of assets held by our operating company, including its share of the assets of its subsidiary partnerships, based on our capital interests in each such entity. See “— Taxation of Our Company — Ownership of Interests in Partnerships, Limited Liability Companies and Qualified REIT Subsidiaries.” A disregarded entity is not treated as a separate entity for U.S. federal income tax purposes, and all assets, liabilities and items of income, gain, loss, deduction and credit of a disregarded entity are treated as assets, liabilities and items of income, gain, loss, deduction and credit of its parent that is not a disregarded entity (e.g., our operating company) for all purposes under the Code, including all REIT qualification tests.</w:t>
      </w:r>
    </w:p>
    <w:p>
      <w:pPr>
        <w:spacing w:after="0" w:line="108" w:lineRule="exact"/>
        <w:rPr>
          <w:sz w:val="20"/>
          <w:szCs w:val="20"/>
          <w:color w:val="auto"/>
        </w:rPr>
      </w:pPr>
    </w:p>
    <w:p>
      <w:pPr>
        <w:ind w:left="1260" w:right="539" w:firstLine="360"/>
        <w:spacing w:after="0" w:line="278" w:lineRule="auto"/>
        <w:rPr>
          <w:sz w:val="20"/>
          <w:szCs w:val="20"/>
          <w:color w:val="auto"/>
        </w:rPr>
      </w:pPr>
      <w:r>
        <w:rPr>
          <w:rFonts w:ascii="Arial" w:cs="Arial" w:eastAsia="Arial" w:hAnsi="Arial"/>
          <w:sz w:val="16"/>
          <w:szCs w:val="16"/>
          <w:b w:val="1"/>
          <w:bCs w:val="1"/>
          <w:i w:val="1"/>
          <w:iCs w:val="1"/>
          <w:color w:val="auto"/>
        </w:rPr>
        <w:t>Entity Classification</w:t>
      </w:r>
      <w:r>
        <w:rPr>
          <w:rFonts w:ascii="Arial" w:cs="Arial" w:eastAsia="Arial" w:hAnsi="Arial"/>
          <w:sz w:val="16"/>
          <w:szCs w:val="16"/>
          <w:color w:val="auto"/>
        </w:rPr>
        <w:t>. Our interests in our operating company and the subsidiary partnerships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limited liability companies involve special tax considerations, including the possibility that the IRS might challenge the status of these entities as partnerships or disregarded entities for U.S. federal income tax purposes. For example, an entity that would otherwise be treated as a partnership for U.S. federal income tax purposes may nonetheless be taxable as a corporation if it is a “publicly traded partnership” and certain other requirements are met. A partnership would be treated as a publicly traded partnership if its interests are traded on an established securities market or are readily tradable on a secondary market or a substantial equivalent thereof, within the meaning of applicable Treasury Regulations. We do not anticipate that our operating company or any subsidiary partnership will be treated as a publicly traded partnership that is</w:t>
      </w:r>
    </w:p>
    <w:p>
      <w:pPr>
        <w:spacing w:after="0" w:line="3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59"/>
        <w:spacing w:after="0" w:line="269" w:lineRule="auto"/>
        <w:rPr>
          <w:sz w:val="20"/>
          <w:szCs w:val="20"/>
          <w:color w:val="auto"/>
        </w:rPr>
      </w:pPr>
      <w:r>
        <w:rPr>
          <w:rFonts w:ascii="Arial" w:cs="Arial" w:eastAsia="Arial" w:hAnsi="Arial"/>
          <w:sz w:val="17"/>
          <w:szCs w:val="17"/>
          <w:color w:val="auto"/>
        </w:rPr>
        <w:t>taxable as a corporation. However, if any such entity were treated as a corporation, it would be required to pay an entity-level tax on its income. In this situation, the character of our assets and items of gross income would change and could prevent us from satisfying the REIT asset tests and possibly the REIT income tests. See “— Taxation of Our Company — Asset Tests” and “— Income Tests.” This, in turn, could prevent us from qualifying as a REIT. See “— Taxation of Our Company — Failure to Qualify” for a discussion of the effect of our failure to meet these tests. In addition, a change in the tax status of our operating company or a subsidiary treated as a partnership or disregarded entity to a corporation might be treated as a taxable event. If so, we might incur a tax liability without any related cash payment. We believe our operating company and each of the subsidiary partnerships and limited liability companies are and will continue to be treated as partnerships or disregarded entities for U.S. federal income tax purposes.</w:t>
      </w:r>
    </w:p>
    <w:p>
      <w:pPr>
        <w:spacing w:after="0" w:line="11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b w:val="1"/>
          <w:bCs w:val="1"/>
          <w:i w:val="1"/>
          <w:iCs w:val="1"/>
          <w:color w:val="auto"/>
        </w:rPr>
        <w:t>Allocations of Items of Income, Gain, Loss and Deduction</w:t>
      </w:r>
      <w:r>
        <w:rPr>
          <w:rFonts w:ascii="Arial" w:cs="Arial" w:eastAsia="Arial" w:hAnsi="Arial"/>
          <w:sz w:val="18"/>
          <w:szCs w:val="18"/>
          <w:color w:val="auto"/>
        </w:rPr>
        <w:t>. A partnership agreement (or, in the case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liability company treated as a partnership for U.S. federal income tax purposes, the limited liability company agreement) generally will determine the allocation of income and loss among partners. These allocations, however, will be disregarded for tax purposes if they do not comply with the provisions of Section 704(b) of the Code and the Treasury Regulations thereunder. Generally, Section 704(b) of the Code and the Treasury Regulations thereunder require that partnership allocations respect the economic arrangement of the partners. If an allocation of partnership income or loss does not comply with the requirements of Section 704(b) of the Code and the Treasury Regulations thereunder, the item subject to the allocation will be reallocated in accordance with the partners’ interests in the partnership. This reallocation will be determined by taking into account all of the facts and circumstances relating to the economic arrangement of the partners with respect to such item. The allocations of taxable income and loss of our operating company and any subsidiaries that are treated as partnerships for U.S. federal income tax purposes are intended to comply with the requirements of Section 704(b) of the Code and the Treasury Regulations thereunder.</w:t>
      </w:r>
    </w:p>
    <w:p>
      <w:pPr>
        <w:spacing w:after="0" w:line="130"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b w:val="1"/>
          <w:bCs w:val="1"/>
          <w:i w:val="1"/>
          <w:iCs w:val="1"/>
          <w:color w:val="auto"/>
        </w:rPr>
        <w:t>Tax Allocations With Respect to the Properties</w:t>
      </w:r>
      <w:r>
        <w:rPr>
          <w:rFonts w:ascii="Arial" w:cs="Arial" w:eastAsia="Arial" w:hAnsi="Arial"/>
          <w:sz w:val="17"/>
          <w:szCs w:val="17"/>
          <w:color w:val="auto"/>
        </w:rPr>
        <w:t>. Under Section 704(c) of the Code, items of income, gain,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and deduction attributable to appreciated or depreciated property that is contributed to a partnership in exchange for an interest in the partnership must be allocated in a manner so that the contributing partner is charged with the unrealized gain or benefits from the unrealized loss associated with the property at the time of the contribution. The amount of the unrealized gain or unrealized loss generally is equal to the difference between the fair market value or book value and the adjusted tax basis of the contributed property at the time of contribution (this difference is referred to as a book-tax difference), as adjusted from time to time. These allocations are solely for U.S. federal income tax purposes and do not affect the book capital accounts or other economic or legal arrangements among the partners.</w:t>
      </w:r>
    </w:p>
    <w:p>
      <w:pPr>
        <w:spacing w:after="0" w:line="100" w:lineRule="exact"/>
        <w:rPr>
          <w:sz w:val="20"/>
          <w:szCs w:val="20"/>
          <w:color w:val="auto"/>
        </w:rPr>
      </w:pPr>
    </w:p>
    <w:p>
      <w:pPr>
        <w:ind w:left="1260" w:right="439" w:firstLine="360"/>
        <w:spacing w:after="0" w:line="283" w:lineRule="auto"/>
        <w:rPr>
          <w:sz w:val="20"/>
          <w:szCs w:val="20"/>
          <w:color w:val="auto"/>
        </w:rPr>
      </w:pPr>
      <w:r>
        <w:rPr>
          <w:rFonts w:ascii="Arial" w:cs="Arial" w:eastAsia="Arial" w:hAnsi="Arial"/>
          <w:sz w:val="16"/>
          <w:szCs w:val="16"/>
          <w:color w:val="auto"/>
        </w:rPr>
        <w:t>Our operating company may, from time to time, acquire interests in property in exchange for interests in our operating company. In that case, the tax basis of these property interests generally will carry over to our operating company, notwithstanding their different book (</w:t>
      </w:r>
      <w:r>
        <w:rPr>
          <w:rFonts w:ascii="Arial" w:cs="Arial" w:eastAsia="Arial" w:hAnsi="Arial"/>
          <w:sz w:val="16"/>
          <w:szCs w:val="16"/>
          <w:i w:val="1"/>
          <w:iCs w:val="1"/>
          <w:color w:val="auto"/>
        </w:rPr>
        <w:t>i.e.</w:t>
      </w:r>
      <w:r>
        <w:rPr>
          <w:rFonts w:ascii="Arial" w:cs="Arial" w:eastAsia="Arial" w:hAnsi="Arial"/>
          <w:sz w:val="16"/>
          <w:szCs w:val="16"/>
          <w:color w:val="auto"/>
        </w:rPr>
        <w:t>, fair market) value. The operating agreement requires that income and loss allocations with respect to these properties be made in a manner consistent with Section 704(c) of the Code. Treasury Regulations issued under Section 704(c) of the Code provide partnerships with a choice of several methods of accounting for book-tax differences. Depending on the method we choose in connection with any particular contribution, the carryover basis of each of the contributed interests in the properties in the hands of our operating company (1) could cause us to be allocated lower amounts of depreciation deductions for tax purposes than would be allocated to us if any of the contributed properties were to have a tax basis equal to its respective fair market value at the time of the contribution and (2) could cause us to be allocated taxable gain in the event of a sale of such contributed interests or properties in excess of the economic or book income allocated to us as a result of such sale, with a corresponding benefit to the other members in our operating company. An allocation described in clause</w:t>
      </w:r>
    </w:p>
    <w:p>
      <w:pPr>
        <w:spacing w:after="0" w:line="2" w:lineRule="exact"/>
        <w:rPr>
          <w:sz w:val="20"/>
          <w:szCs w:val="20"/>
          <w:color w:val="auto"/>
        </w:rPr>
      </w:pPr>
    </w:p>
    <w:p>
      <w:pPr>
        <w:ind w:left="1260" w:right="459"/>
        <w:spacing w:after="0" w:line="253" w:lineRule="auto"/>
        <w:tabs>
          <w:tab w:leader="none" w:pos="152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above might cause us or the other members to recognize taxable income in excess of cash proceeds in the event of a sale or other disposition of property, which might adversely affect our ability to comply with the REIT distribution requirements. See “— Taxation of Our Company — Requirements for Qualification as a REIT” and “— Annual Distribution Requirements.</w:t>
      </w:r>
    </w:p>
    <w:p>
      <w:pPr>
        <w:spacing w:after="0" w:line="125"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Any property acquired by our operating company in a taxable transaction will initially have a tax basis equal to its fair market value, and Section 704(c) of the Code generally will not apply.</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b w:val="1"/>
          <w:bCs w:val="1"/>
          <w:i w:val="1"/>
          <w:iCs w:val="1"/>
          <w:color w:val="auto"/>
        </w:rPr>
        <w:t>Partnership Audit Rules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current tax law, any audit adjustment to items of income, gain,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deduction, or credit of a partnership (and any partner’s distributive share thereof) is determined, and taxes, interest, or penalties attributable thereto are assessed and collected, at the partnership level. It is possible that these rules could result in partnerships in which we directly or indirectly invest, including our operating company, being required to pay additional taxes, interest and penalties as a result of an audit adjustment, and we, as a direct or indirect partner of these partnerships, could be required to bear the economic burden of those taxes, interest, and penalties even though we, as a REIT, may not otherwise have been required to pay additional corporate-level taxes as a result of the related audit adjustment. Investors are urged to consult their tax advisors with respect to these rules and their potential impact on their investment in our capital stock.</w:t>
      </w:r>
    </w:p>
    <w:p>
      <w:pPr>
        <w:spacing w:after="0" w:line="190" w:lineRule="exact"/>
        <w:rPr>
          <w:sz w:val="20"/>
          <w:szCs w:val="20"/>
          <w:color w:val="auto"/>
        </w:rPr>
      </w:pPr>
    </w:p>
    <w:p>
      <w:pPr>
        <w:ind w:left="1260" w:right="1199"/>
        <w:spacing w:after="0" w:line="282" w:lineRule="auto"/>
        <w:rPr>
          <w:sz w:val="20"/>
          <w:szCs w:val="20"/>
          <w:color w:val="auto"/>
        </w:rPr>
      </w:pPr>
      <w:r>
        <w:rPr>
          <w:rFonts w:ascii="Arial" w:cs="Arial" w:eastAsia="Arial" w:hAnsi="Arial"/>
          <w:sz w:val="18"/>
          <w:szCs w:val="18"/>
          <w:b w:val="1"/>
          <w:bCs w:val="1"/>
          <w:color w:val="auto"/>
        </w:rPr>
        <w:t>Material U.S. Federal Income Tax Consequences to Holders of Our Capital Stock and Our Operating Company’s Debt Securities</w:t>
      </w:r>
    </w:p>
    <w:p>
      <w:pPr>
        <w:spacing w:after="0" w:line="98"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The following discussion is a summary of the material U.S. federal income tax consequences to you of purchasing, owning and disposing of our capital stock or our operating company’s debt securities. This discussion is limited to holders who hold our capital stock or our operating company’s debt securities as “capital assets” within the meaning of Section 1221 of the Code (generally, property held for investment). This discussion does not address all U.S. federal income tax consequences relevant to a holder’s particular circumstances, including the alternative minimum tax. In addition, except where specifically noted, it does not address consequences relevant to holders subject to special rules, including, without limitation:</w:t>
      </w:r>
    </w:p>
    <w:p>
      <w:pPr>
        <w:spacing w:after="0" w:line="69" w:lineRule="exact"/>
        <w:rPr>
          <w:sz w:val="20"/>
          <w:szCs w:val="20"/>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17" w:lineRule="exact"/>
        <w:rPr>
          <w:rFonts w:ascii="Arial" w:cs="Arial" w:eastAsia="Arial" w:hAnsi="Arial"/>
          <w:sz w:val="18"/>
          <w:szCs w:val="18"/>
          <w:color w:val="auto"/>
        </w:rPr>
      </w:pPr>
    </w:p>
    <w:p>
      <w:pPr>
        <w:ind w:left="1800" w:right="819" w:hanging="180"/>
        <w:spacing w:after="0" w:line="263"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holding our capital stock or our operating company’s debt securities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REITs or regulated investment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(and investors therein);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capital stock or our operating company’s debt securities being taken into account in an applicable financial statement;</w:t>
      </w:r>
    </w:p>
    <w:p>
      <w:pPr>
        <w:spacing w:after="0" w:line="75"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deemed to sell our capital stock or our operating company’s debt securities under the constructive sale provisions of the Code; and</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hold or receive our capital stock pursuant to the exercise of any employee stock option or otherwise as compensation.</w:t>
      </w:r>
    </w:p>
    <w:p>
      <w:pPr>
        <w:spacing w:after="0" w:line="9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b w:val="1"/>
          <w:bCs w:val="1"/>
          <w:color w:val="auto"/>
        </w:rPr>
        <w:t>THIS DISCUSSION IS FOR INFORMATIONAL PURPOSES ONLY AND IS NOT INTENDED AS TAX ADVICE. INVESTORS SHOULD CONSULT THEIR TAX ADVISORS WITH RESPECT TO THE APPLICATION OF THE U.S. FEDERAL INCOME TAX LAWS TO THEIR PARTICULAR SITUATIONS AS WELL AS ANY TAX CONSEQUENCES OF THE PURCHASE, OWNERSHIP AND DISPOSITION OF OUR CAPITAL STOCK OR OUR OPERATING COMPANY’S DEBT SECURITIES ARISING UNDER OTHER U.S. FEDERAL TAX LAWS (INCLUDING ESTATE AND GIFT TAX LAWS), UNDER THE LAWS OF ANY STATE, LOCAL OR NON-U.S. TAXING JURISDICTION OR UNDER ANY APPLICABLE TAX TREATY.</w:t>
      </w:r>
    </w:p>
    <w:p>
      <w:pPr>
        <w:sectPr>
          <w:pgSz w:w="11900" w:h="16838" w:orient="portrait"/>
          <w:cols w:equalWidth="0" w:num="1">
            <w:col w:w="9879"/>
          </w:cols>
          <w:pgMar w:left="580" w:top="90" w:right="1440" w:bottom="1440" w:gutter="0" w:footer="0" w:header="0"/>
        </w:sectPr>
      </w:pPr>
    </w:p>
    <w:p>
      <w:pPr>
        <w:spacing w:after="0" w:line="37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039" w:firstLine="360"/>
        <w:spacing w:after="0" w:line="308" w:lineRule="auto"/>
        <w:rPr>
          <w:sz w:val="20"/>
          <w:szCs w:val="20"/>
          <w:color w:val="auto"/>
        </w:rPr>
      </w:pPr>
      <w:r>
        <w:rPr>
          <w:rFonts w:ascii="Arial" w:cs="Arial" w:eastAsia="Arial" w:hAnsi="Arial"/>
          <w:sz w:val="17"/>
          <w:szCs w:val="17"/>
          <w:color w:val="auto"/>
        </w:rPr>
        <w:t>For purposes of this discussion, a “U.S. holder” is a beneficial owner of our capital stock or our operating company’s debt securities that, for U.S. federal income tax purposes, is or is treated as:</w:t>
      </w:r>
    </w:p>
    <w:p>
      <w:pPr>
        <w:spacing w:after="0" w:line="25" w:lineRule="exact"/>
        <w:rPr>
          <w:sz w:val="20"/>
          <w:szCs w:val="20"/>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03"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trust that (1) is subject to the primary supervision of a U.S. court and the control of one or more</w:t>
      </w:r>
    </w:p>
    <w:p>
      <w:pPr>
        <w:spacing w:after="0" w:line="34" w:lineRule="exact"/>
        <w:rPr>
          <w:rFonts w:ascii="Arial" w:cs="Arial" w:eastAsia="Arial" w:hAnsi="Arial"/>
          <w:sz w:val="17"/>
          <w:szCs w:val="17"/>
          <w:color w:val="auto"/>
        </w:rPr>
      </w:pPr>
    </w:p>
    <w:p>
      <w:pPr>
        <w:ind w:left="1800" w:right="619"/>
        <w:spacing w:after="0" w:line="290" w:lineRule="auto"/>
        <w:rPr>
          <w:rFonts w:ascii="Arial" w:cs="Arial" w:eastAsia="Arial" w:hAnsi="Arial"/>
          <w:sz w:val="17"/>
          <w:szCs w:val="17"/>
          <w:color w:val="auto"/>
        </w:rPr>
      </w:pPr>
      <w:r>
        <w:rPr>
          <w:rFonts w:ascii="Arial" w:cs="Arial" w:eastAsia="Arial" w:hAnsi="Arial"/>
          <w:sz w:val="17"/>
          <w:szCs w:val="17"/>
          <w:color w:val="auto"/>
        </w:rPr>
        <w:t>“United States persons” (within​ the meaning of Section 7701(a)(30) of the Code) or (2) has a valid election in effect to be treated as a United States person for U.S. federal income tax purposes.</w:t>
      </w:r>
    </w:p>
    <w:p>
      <w:pPr>
        <w:spacing w:after="0" w:line="94"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For purposes of this discussion, a “non-U.S. holder” is any beneficial owner of our capital stock or our operating company’s debt securities that is neither a U.S. holder nor an entity treated as a partnership for U.S. federal income tax purposes.</w:t>
      </w:r>
    </w:p>
    <w:p>
      <w:pPr>
        <w:spacing w:after="0" w:line="107"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If an entity treated as a partnership for U.S. federal income tax purposes holds our capital stock or our operating company’s debt securities, the tax treatment of a partner in the partnership will depend on the status of the partner, the activities of the partnership and certain determinations made at the partner level. Accordingly, partnerships holding our capital stock or our operating company’s debt securities and the partners in such partnerships should consult their tax advisors regarding the U.S. federal income tax consequences to them.</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Taxation of Taxable U.S. Holders of Our Capital Stock</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b w:val="1"/>
          <w:bCs w:val="1"/>
          <w:i w:val="1"/>
          <w:iCs w:val="1"/>
          <w:color w:val="auto"/>
        </w:rPr>
        <w:t>Distributions Generally</w:t>
      </w:r>
      <w:r>
        <w:rPr>
          <w:rFonts w:ascii="Arial" w:cs="Arial" w:eastAsia="Arial" w:hAnsi="Arial"/>
          <w:sz w:val="17"/>
          <w:szCs w:val="17"/>
          <w:color w:val="auto"/>
        </w:rPr>
        <w:t>. Distributions out of our current or accumulated earnings and profits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dividends and, other than with respect to capital gain dividends and certain amounts which have previously been subject to corporate level tax, as discussed below, will be taxable to our taxable U.S. holders as ordinary income when actually or constructively received. See “— Tax Rates” below. As long as we qualify as a REIT, these distributions will not be eligible for the dividends -received deduction in the case of U.S. holders that are corporations or, except to the extent described in “— Tax Rates” below, the preferential rates on qualified dividend income applicable to non-corporate U.S. holders, including individuals. For purposes of determining whether distributions to holders of our capital stock are out of our current or accumulated earnings and profits, our earnings and profits will be allocated first to our outstanding preferred stock, if any, and then to our outstanding common stock.</w:t>
      </w:r>
    </w:p>
    <w:p>
      <w:pPr>
        <w:spacing w:after="0" w:line="11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To the extent that we make distributions on our capital stock in excess of our current and accumulated earnings and profits allocable to such stock, these distributions will be treated first as a tax-free return of capital to a U.S. holder to the extent of the U.S. holder’s adjusted tax basis in such shares of stock. This treatment will reduce the U.S. holder’s adjusted tax basis in such shares of stock by such amount, but not below zero. Distributions in excess of our current and accumulated earnings and profits and in excess of a U.S. holder’s adjusted tax basis in its shares will be taxable as capital gain. Such gain will be taxable as long-term capital gain if the shares have been held for more than one year. Dividends we declare in October, November, or December of any year and which are payable to a holder of record on a specified date in any of these months will be treated as both paid by us and received by the holder on December 31 of that year, provided we actually pay the dividend on or before January 31 of the following year. U.S. holders may not include in their own income tax returns any of our net operating losses or capital losses.</w:t>
      </w:r>
    </w:p>
    <w:p>
      <w:pPr>
        <w:spacing w:after="0" w:line="96"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U.S. holders that receive taxable stock distributions, including distributions partially payable in our capital stock and partially payable in cash, would be required to include the full amount of the distribution (</w:t>
      </w:r>
      <w:r>
        <w:rPr>
          <w:rFonts w:ascii="Arial" w:cs="Arial" w:eastAsia="Arial" w:hAnsi="Arial"/>
          <w:sz w:val="17"/>
          <w:szCs w:val="17"/>
          <w:i w:val="1"/>
          <w:iCs w:val="1"/>
          <w:color w:val="auto"/>
        </w:rPr>
        <w:t>i.e.</w:t>
      </w:r>
      <w:r>
        <w:rPr>
          <w:rFonts w:ascii="Arial" w:cs="Arial" w:eastAsia="Arial" w:hAnsi="Arial"/>
          <w:sz w:val="17"/>
          <w:szCs w:val="17"/>
          <w:color w:val="auto"/>
        </w:rPr>
        <w:t xml:space="preserve"> , the cash and the stock portion) as a dividend (subject to limited exceptions) to the extent of our current and accumulated earnings and profits for U.S. federal income tax purposes, as described above. The amount of any distribution payable in our capital stock generally is equal to the amount of cash that could have been received instead of the capital stock. Depending on the circumstances of a U.S. holder, the tax on the distribution may exceed the amount of the distribution received in cash, in which case such U.S. holder would have to pay the tax using cash from other sources. If a U.S. holder sells the capital stock it received in connection with a taxable stock distribution in order to pay this tax and the proceeds of such sale are less than the amount required to be included in income with respect to the stock portion of the distribution, such</w:t>
      </w:r>
    </w:p>
    <w:p>
      <w:pPr>
        <w:spacing w:after="0" w:line="36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7" w:name="page88"/>
    <w:bookmarkEnd w:id="8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spacing w:after="0" w:line="249" w:lineRule="auto"/>
        <w:rPr>
          <w:sz w:val="20"/>
          <w:szCs w:val="20"/>
          <w:color w:val="auto"/>
        </w:rPr>
      </w:pPr>
      <w:r>
        <w:rPr>
          <w:rFonts w:ascii="Arial" w:cs="Arial" w:eastAsia="Arial" w:hAnsi="Arial"/>
          <w:sz w:val="18"/>
          <w:szCs w:val="18"/>
          <w:color w:val="auto"/>
        </w:rPr>
        <w:t>U.S. holder could have a capital loss with respect to the stock sale that could not be used to offset such income. A U.S. holder that receives capital stock pursuant to such distribution generally has a tax basis in such capital stock equal to the amount of cash that could have been received instead of such capital stock as described above, and has a holding period in such capital stock that begins on the day immediately following the payment date for the distribution.</w:t>
      </w:r>
    </w:p>
    <w:p>
      <w:pPr>
        <w:spacing w:after="0" w:line="11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b w:val="1"/>
          <w:bCs w:val="1"/>
          <w:i w:val="1"/>
          <w:iCs w:val="1"/>
          <w:color w:val="auto"/>
        </w:rPr>
        <w:t>Capital Gain Dividends</w:t>
      </w:r>
      <w:r>
        <w:rPr>
          <w:rFonts w:ascii="Arial" w:cs="Arial" w:eastAsia="Arial" w:hAnsi="Arial"/>
          <w:sz w:val="17"/>
          <w:szCs w:val="17"/>
          <w:color w:val="auto"/>
        </w:rPr>
        <w:t>. Dividends that we properly designate as capital gain dividends will be taxable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our taxable U.S. holders as a gain from the sale or disposition of a capital asset held for more than one year, to the extent that such gain does not exceed our actual net capital gain for the taxable year and may not exceed our dividends paid for the taxable year, including dividends paid the following year that are treated as paid in the current year. U.S. holders that are corporations may, however, be required to treat up to 20% of certain capital gain dividends as ordinary income. If we properly designate any portion of a dividend as a capital gain dividend, then, except as otherwise required by law, we presently intend to allocate a portion of the total capital gain dividends paid or made available to holders of all classes of our capital stock for the year to the holders of each class of our capital stock in proportion to the amount that our total dividends, as determined for U.S. federal income tax purposes, paid or made available to the holders of each such class of our capital stock for the year bears to the total dividends, as determined for U.S. federal income tax purposes, paid or made available to holders of all classes of our capital stock for the year. In addition, except as otherwise required by law, we will make a similar allocation with respect to any undistributed long-term capital gains which are to be included in our stockholders’ long-term capital gains, based on the allocation of the capital gain amount which would have resulted if those undistributed long-term capital gains had been distributed as “capital gain dividends” by us to our stockholders.</w:t>
      </w:r>
    </w:p>
    <w:p>
      <w:pPr>
        <w:spacing w:after="0" w:line="107"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b w:val="1"/>
          <w:bCs w:val="1"/>
          <w:i w:val="1"/>
          <w:iCs w:val="1"/>
          <w:color w:val="auto"/>
        </w:rPr>
        <w:t>Retention of Net Capital Gains</w:t>
      </w:r>
      <w:r>
        <w:rPr>
          <w:rFonts w:ascii="Arial" w:cs="Arial" w:eastAsia="Arial" w:hAnsi="Arial"/>
          <w:sz w:val="17"/>
          <w:szCs w:val="17"/>
          <w:color w:val="auto"/>
        </w:rPr>
        <w:t>. We may elect to retain, rather than distribute as a capital gain dividend,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or a portion of our net capital gains. If we make this election, we would pay tax on our retained net capital gains. In addition, to the extent we so elect, our earnings and profits (determined for U.S. federal income tax purposes) would be adjusted accordingly, and a U.S. holder generally would:</w:t>
      </w:r>
    </w:p>
    <w:p>
      <w:pPr>
        <w:spacing w:after="0" w:line="58" w:lineRule="exact"/>
        <w:rPr>
          <w:sz w:val="20"/>
          <w:szCs w:val="20"/>
          <w:color w:val="auto"/>
        </w:rPr>
      </w:pPr>
    </w:p>
    <w:p>
      <w:pPr>
        <w:ind w:left="1800" w:right="479" w:hanging="180"/>
        <w:spacing w:after="0" w:line="263"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 its pro rata share of our undistributed capital gain in computing its long-term capital gains in its U.S. federal income tax return for its taxable year in which the last day of our taxable year falls, subject to certain limitations as to the amount that is includable;</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be deemed to have paid its share of the capital gains tax imposed on us on the designated amounts included in the U.S. holder’s income as long-term capital gain;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receive a credit or refund for the amount of tax deemed paid by it;</w:t>
      </w:r>
    </w:p>
    <w:p>
      <w:pPr>
        <w:spacing w:after="0" w:line="117"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increase the adjusted tax basis of its capital stock by the difference between the amount of includable gains and the tax deemed to have been paid by it; and</w:t>
      </w:r>
    </w:p>
    <w:p>
      <w:pPr>
        <w:spacing w:after="0" w:line="48" w:lineRule="exact"/>
        <w:rPr>
          <w:rFonts w:ascii="Arial" w:cs="Arial" w:eastAsia="Arial" w:hAnsi="Arial"/>
          <w:sz w:val="18"/>
          <w:szCs w:val="18"/>
          <w:color w:val="auto"/>
        </w:rPr>
      </w:pPr>
    </w:p>
    <w:p>
      <w:pPr>
        <w:ind w:left="1800" w:right="539" w:hanging="180"/>
        <w:spacing w:after="0" w:line="308" w:lineRule="auto"/>
        <w:tabs>
          <w:tab w:leader="none" w:pos="18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the case of a U.S. holder that is a corporation, appropriately adjust its earnings and profits for the retained capital gains in accordance with Treasury Regulations to be promulgated by the IRS.</w:t>
      </w:r>
    </w:p>
    <w:p>
      <w:pPr>
        <w:spacing w:after="0" w:line="79"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b w:val="1"/>
          <w:bCs w:val="1"/>
          <w:i w:val="1"/>
          <w:iCs w:val="1"/>
          <w:color w:val="auto"/>
        </w:rPr>
        <w:t>Passive Activity Losses and Investment Interest Limitations</w:t>
      </w:r>
      <w:r>
        <w:rPr>
          <w:rFonts w:ascii="Arial" w:cs="Arial" w:eastAsia="Arial" w:hAnsi="Arial"/>
          <w:sz w:val="18"/>
          <w:szCs w:val="18"/>
          <w:color w:val="auto"/>
        </w:rPr>
        <w:t>. Distributions we make and gain arising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or exchange of our capital stock by a U.S. holder will not be treated as passive activity income. As a result, U.S. holders generally will not be able to apply any “passive losses” against this income or gain. A U.S. holder generally may elect to treat capital gain dividends, capital gains from the disposition of our capital stock and income designated as qualified dividend income, as described in “— Tax Rates” below, as investment income for purposes of computing the investment interest limitation, but in such case, the holder will be taxed at ordinary income rates on such amount. Other distributions made by us, to the extent they do not constitute a return of capital, generally will be treated as investment income for purposes of computing the investment interest limitation.</w:t>
      </w:r>
    </w:p>
    <w:p>
      <w:pPr>
        <w:spacing w:after="0" w:line="118"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b w:val="1"/>
          <w:bCs w:val="1"/>
          <w:i w:val="1"/>
          <w:iCs w:val="1"/>
          <w:color w:val="auto"/>
        </w:rPr>
        <w:t>Dispositions of Our Capital Stock</w:t>
      </w:r>
      <w:r>
        <w:rPr>
          <w:rFonts w:ascii="Arial" w:cs="Arial" w:eastAsia="Arial" w:hAnsi="Arial"/>
          <w:sz w:val="17"/>
          <w:szCs w:val="17"/>
          <w:color w:val="auto"/>
        </w:rPr>
        <w:t>. Except as described below under “— Taxation of Taxable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Our Capital Stock — Redemption or Repurchase by Us,” If a U.S. holder sells or disposes of shares of our capital stock, it will recognize gain or loss for U.S. federal income tax purposes in an amount equal to the difference between the amount of cash and the fair market value of any property received on the sale or other disposition and the holder’s adjusted tax basis in the shares. This gain or loss, except as provided below, will be long-term capital gain or loss if the holder has held such capital stock for more than one year. However, if a U.S. holder recognizes a loss upon the sale or other disposition of capital stock</w:t>
      </w:r>
    </w:p>
    <w:p>
      <w:pPr>
        <w:spacing w:after="0" w:line="3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8" w:name="page89"/>
    <w:bookmarkEnd w:id="8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78" w:lineRule="auto"/>
        <w:rPr>
          <w:sz w:val="20"/>
          <w:szCs w:val="20"/>
          <w:color w:val="auto"/>
        </w:rPr>
      </w:pPr>
      <w:r>
        <w:rPr>
          <w:rFonts w:ascii="Arial" w:cs="Arial" w:eastAsia="Arial" w:hAnsi="Arial"/>
          <w:sz w:val="17"/>
          <w:szCs w:val="17"/>
          <w:color w:val="auto"/>
        </w:rPr>
        <w:t>that it has held for six months or less, after applying certain holding period rules, the loss recognized will be treated as a long-term capital loss to the extent the U.S. holder received distributions from us which were required to be treated as long-term capital gains. The deductibility of capital losses is subject to limitations.</w:t>
      </w:r>
    </w:p>
    <w:p>
      <w:pPr>
        <w:spacing w:after="0" w:line="90"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b w:val="1"/>
          <w:bCs w:val="1"/>
          <w:i w:val="1"/>
          <w:iCs w:val="1"/>
          <w:color w:val="auto"/>
        </w:rPr>
        <w:t>Redemption or Repurchase by Us</w:t>
      </w:r>
      <w:r>
        <w:rPr>
          <w:rFonts w:ascii="Arial" w:cs="Arial" w:eastAsia="Arial" w:hAnsi="Arial"/>
          <w:sz w:val="18"/>
          <w:szCs w:val="18"/>
          <w:color w:val="auto"/>
        </w:rPr>
        <w:t>. A redemption or repurchase of shares of our capital stock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under Section 302 of the Code as a distribution (and taxable as a dividend to the extent of our current and accumulated earnings and profits as described above under “— Distributions Generally”) unless the redemption or repurchase satisfies one of the tests set forth in Section 302(b) of the Code and is therefore treated as a sale or exchange of the redeemed or repurchased shares. The redemption or repurchase generally will be treated as a sale or exchange if it:</w:t>
      </w:r>
    </w:p>
    <w:p>
      <w:pPr>
        <w:spacing w:after="0" w:line="77" w:lineRule="exact"/>
        <w:rPr>
          <w:sz w:val="20"/>
          <w:szCs w:val="20"/>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“substantially disproportionate” with respect to the U.S. holder,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a “complete redemption” of the U.S. holder’s stock interest in us, or</w:t>
      </w:r>
    </w:p>
    <w:p>
      <w:pPr>
        <w:spacing w:after="0" w:line="117" w:lineRule="exact"/>
        <w:rPr>
          <w:rFonts w:ascii="Arial" w:cs="Arial" w:eastAsia="Arial" w:hAnsi="Arial"/>
          <w:sz w:val="18"/>
          <w:szCs w:val="18"/>
          <w:color w:val="auto"/>
        </w:rPr>
      </w:pPr>
    </w:p>
    <w:p>
      <w:pPr>
        <w:ind w:left="1260" w:right="2379" w:firstLine="360"/>
        <w:spacing w:after="0" w:line="414"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“not essentially equivalent to a dividend” with respect to the U.S. holder, all within the meaning of Section 302(b) of the Code.</w:t>
      </w:r>
    </w:p>
    <w:p>
      <w:pPr>
        <w:spacing w:after="0" w:line="1"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In determining whether any of these tests has been met, shares of our capital stock, including common stock and other equity interests in us, considered to be owned by the U.S. holder by reason of certain constructive ownership rules set forth in the Code, as well as shares of our capital stock actually owned by the U.S. holder, generally must be taken into account. Because the determination as to whether any of the alternative tests of Section 302(b) of the Code will be satisfied with respect to the U.S. holder depends upon the facts and circumstances at the time that the determination must be made, U.S. holders are advised to consult their tax advisors to determine such tax treatment.</w:t>
      </w:r>
    </w:p>
    <w:p>
      <w:pPr>
        <w:spacing w:after="0" w:line="120"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7"/>
          <w:szCs w:val="17"/>
          <w:color w:val="auto"/>
        </w:rPr>
        <w:t>If a redemption or repurchase of shares of our capital stock is treated as a distribution, the amount of the distribution will be measured by the amount of cash and the fair market value of any property received. See “— Distributions Generally.” A U.S. holder’s adjusted tax basis in the redeemed or repurchased shares generally will be transferred to the holder’s remaining shares of our capital stock, if any. If a U.S. holder owns no other shares of our capital stock, under certain circumstances, such basis may be transferred to a related person or it may be lost entirely. Prospective investors should consult their tax advisors regarding the U.S. federal income tax consequences of a redemption or repurchase of our capital stock.</w:t>
      </w:r>
    </w:p>
    <w:p>
      <w:pPr>
        <w:spacing w:after="0" w:line="105"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color w:val="auto"/>
        </w:rPr>
        <w:t>If a redemption or repurchase of shares of our capital stock is not treated as a distribution, it will be treated as a taxable sale or exchange in the manner described under “— Dispositions of Our Capital Stock.”</w:t>
      </w:r>
    </w:p>
    <w:p>
      <w:pPr>
        <w:spacing w:after="0" w:line="65"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b w:val="1"/>
          <w:bCs w:val="1"/>
          <w:i w:val="1"/>
          <w:iCs w:val="1"/>
          <w:color w:val="auto"/>
        </w:rPr>
        <w:t>Tax Rates</w:t>
      </w:r>
      <w:r>
        <w:rPr>
          <w:rFonts w:ascii="Arial" w:cs="Arial" w:eastAsia="Arial" w:hAnsi="Arial"/>
          <w:sz w:val="18"/>
          <w:szCs w:val="18"/>
          <w:color w:val="auto"/>
        </w:rPr>
        <w:t>. The maximum tax rate for non-corporate taxpayers for (1) long-term capital gains,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certain “capital gain dividends,” generally is 20% (although depending on the characteristics of the assets which produced these gains and on designations which we may make, certain capital gain dividends may be taxed at a 25% rate) and (2) “qualified dividend income” generally is 20%. In general, dividends payable by REITs are not eligible for the reduced tax rate on qualified dividend income, except to the extent that certain holding period requirements have been met and the REIT’s dividends are attributable to dividends received from taxable corporations (such as its taxable REIT subsidiaries) or to income that was subject to tax at the corporate/REIT level (for example, if the REIT distributed taxable income that it retained and paid tax on in the prior taxable year). Capital gain dividends will only be eligible for the rates described above to the extent that they are properly designated by the REIT as “capital gain dividends.” U.S. holders that are corporations may be required to treat up to 20% of some capital gain dividends as ordinary income. In addition, non-corporate U.S. holders, including individuals, generally may deduct up to 20% of dividends from a REIT, other than capital gain dividends and dividends treated as qualified dividend income, for taxable years beginning before January 1, 2026 for purposes of determining their U.S. federal income tax (but not for purposes of the 3.8% Medicare tax), subject to certain holding period requirements and other limitations.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Taxation of Tax-Exempt Holders of Our Capital Stock</w:t>
      </w:r>
    </w:p>
    <w:p>
      <w:pPr>
        <w:spacing w:after="0" w:line="162"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Dividend income from us and gain arising upon a sale of shares of our capital stock generally should not be UBTI to a tax-exempt holder, except as described below. This income or gain will be UBTI, however, to the extent a tax-exempt holder holds its shares as “debt-financed property” within the meaning of the</w:t>
      </w: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9" w:name="page90"/>
    <w:bookmarkEnd w:id="8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519"/>
        <w:spacing w:after="0" w:line="263" w:lineRule="auto"/>
        <w:rPr>
          <w:sz w:val="20"/>
          <w:szCs w:val="20"/>
          <w:color w:val="auto"/>
        </w:rPr>
      </w:pPr>
      <w:r>
        <w:rPr>
          <w:rFonts w:ascii="Arial" w:cs="Arial" w:eastAsia="Arial" w:hAnsi="Arial"/>
          <w:sz w:val="18"/>
          <w:szCs w:val="18"/>
          <w:color w:val="auto"/>
        </w:rPr>
        <w:t>Code or if we hold an asset that gives rise to “excess inclusion income.” See “— Taxation of Our Company — Excess Inclusion Income.”. Generally, “debt-financed property” is property the acquisition or holding of which was financed through a borrowing by the tax-exempt holder.</w:t>
      </w:r>
    </w:p>
    <w:p>
      <w:pPr>
        <w:spacing w:after="0" w:line="116"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For tax-exempt holders that are social clubs, voluntary employee benefit associations or supplemental unemployment benefit trusts exempt from U.S. federal income taxation under Sections 501(c)(7), (c)(9) or (c)(17) of the Code, respectively, income from an investment in our shares will constitute UBTI unless the organization is able to properly claim a deduction for amounts set aside or placed in reserve for specific purposes so as to offset the income generated by its investment in our shares. These prospective investors should consult their tax advisors concerning these “set aside” and reserve requirements.</w:t>
      </w:r>
    </w:p>
    <w:p>
      <w:pPr>
        <w:spacing w:after="0" w:line="110"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Notwithstanding the above, however, a portion of the dividends paid by a “pension-held REIT” may be treated as UBTI as to certain trusts that hold more than 10%, by value, of the interests in the REIT. A REIT will not be a “pension-held REIT” if it is able to satisfy the “not closely held” requirement without relying on the “look-through” exception with respect to certain trusts or if such REIT is not “predominantly held” by “qualified trusts.” As a result of restrictions on ownership and transfer of our stock contained in our charter, we do not expect to be classified as a “pension-held REIT,” and as a result, the tax treatment described above should be inapplicable to our holders. However, because our common stock is (and, we anticipate, will continue to be) publicly traded, we cannot guarantee that this will always be the case.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Taxation of Non-U.S. Holders of Our Capital Stock</w:t>
      </w:r>
    </w:p>
    <w:p>
      <w:pPr>
        <w:spacing w:after="0" w:line="148"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The following discussion addresses the rules governing U.S. federal income taxation of the purchase, ownership and disposition of our capital stock by non-U.S. holders. These rules are complex, and no attempt is made herein to provide more than a brief summary of such rules. Accordingly, the discussion does not address all aspects of U.S. federal income taxation and does not address other federal, state, local or non-U.S. tax consequences that may be relevant to a non-U.S. holder in light of its particular circumstances. We urge non-U.S. holders to consult their tax advisors to determine the impact of U.S. federal, state, local and non-U.S. income and other tax laws and any applicable tax treaty on the purchase, ownership and disposition of shares of our capital stock, including any reporting requirements.</w:t>
      </w:r>
    </w:p>
    <w:p>
      <w:pPr>
        <w:spacing w:after="0" w:line="111"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b w:val="1"/>
          <w:bCs w:val="1"/>
          <w:i w:val="1"/>
          <w:iCs w:val="1"/>
          <w:color w:val="auto"/>
        </w:rPr>
        <w:t>Distributions Generally</w:t>
      </w:r>
      <w:r>
        <w:rPr>
          <w:rFonts w:ascii="Arial" w:cs="Arial" w:eastAsia="Arial" w:hAnsi="Arial"/>
          <w:sz w:val="17"/>
          <w:szCs w:val="17"/>
          <w:color w:val="auto"/>
        </w:rPr>
        <w:t>. Distributions (including any taxable stock distributions) that are neither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attributable to gains from sales or exchanges by us of United States real property interests, or USRPIs, nor designated by us as capital gain dividends (except as described below) will be treated as dividends of ordinary income to the extent that they are made out of our current or accumulated earnings and profits. Such distributions ordinarily will be subject to withholding of U.S. federal income tax at a 30% rate or such lower rate as may be specified by an applicable income tax treaty, unless the distributions are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Under certain treaties, however, lower withholding rates generally applicable to dividends do not apply to dividends from a REIT. In addition, any portion of the dividends paid to non-U.S. holders that are treated as excess inclusion income will not be eligible for exemption from the 30% withholding tax or a reduced treaty rate. See “Taxation of Our Company — Excess Inclusion Income.” Certain certification and disclosure requirements must be satisfied for a non-U.S. holder to be exempt from withholding under the effectively connected income exemption. Dividends that are treated as effectively connected with a U.S. trade or business generally will not be subject to withholding but will be subject to U.S. federal income tax on a net basis at the regular rates, in the same manner as dividends paid to U.S. holders are subject to U.S. federal income tax. Any such dividends received by a non-U.S. holder that is a corporation may also be subject to an additional branch profits tax at a 30% rate (applicable after deducting U.S. federal income taxes paid on such effectively connected income) or such lower rate as may be specified by an applicable income tax treaty.</w:t>
      </w:r>
    </w:p>
    <w:p>
      <w:pPr>
        <w:spacing w:after="0" w:line="335"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Except as otherwise provided below, we expect to withhold U.S. federal income tax at the rate of 30% on any distributions made to a non-U.S. holder unless:</w:t>
      </w:r>
    </w:p>
    <w:p>
      <w:pPr>
        <w:spacing w:after="0" w:line="89" w:lineRule="exact"/>
        <w:rPr>
          <w:sz w:val="20"/>
          <w:szCs w:val="20"/>
          <w:color w:val="auto"/>
        </w:rPr>
      </w:pPr>
    </w:p>
    <w:p>
      <w:pPr>
        <w:ind w:left="1980" w:right="479" w:hanging="360"/>
        <w:spacing w:after="0" w:line="308" w:lineRule="auto"/>
        <w:tabs>
          <w:tab w:leader="none" w:pos="1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lower treaty rate applies and the non-U.S. holder furnishes an IRS Form W-8BEN or W-8BEN-E (or other applicable documentation) evidencing eligibility for that reduced treaty rate; or</w:t>
      </w:r>
    </w:p>
    <w:p>
      <w:pPr>
        <w:sectPr>
          <w:pgSz w:w="11900" w:h="16838" w:orient="portrait"/>
          <w:cols w:equalWidth="0" w:num="1">
            <w:col w:w="9879"/>
          </w:cols>
          <w:pgMar w:left="580" w:top="90" w:right="1440" w:bottom="1440" w:gutter="0" w:footer="0" w:header="0"/>
        </w:sectPr>
      </w:pP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980" w:right="519" w:hanging="360"/>
        <w:spacing w:after="0" w:line="308" w:lineRule="auto"/>
        <w:tabs>
          <w:tab w:leader="none" w:pos="1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non-U.S. holder furnishes an IRS Form W-8ECI (or other applicable documentation) claiming that the distribution is income effectively connected with the non-U.S. holder’s trade or business.</w:t>
      </w:r>
    </w:p>
    <w:p>
      <w:pPr>
        <w:spacing w:after="0" w:line="79" w:lineRule="exact"/>
        <w:rPr>
          <w:sz w:val="20"/>
          <w:szCs w:val="20"/>
          <w:color w:val="auto"/>
        </w:rPr>
      </w:pPr>
    </w:p>
    <w:p>
      <w:pPr>
        <w:ind w:left="1260" w:right="419" w:firstLine="360"/>
        <w:spacing w:after="0" w:line="260" w:lineRule="auto"/>
        <w:rPr>
          <w:sz w:val="20"/>
          <w:szCs w:val="20"/>
          <w:color w:val="auto"/>
        </w:rPr>
      </w:pPr>
      <w:r>
        <w:rPr>
          <w:rFonts w:ascii="Arial" w:cs="Arial" w:eastAsia="Arial" w:hAnsi="Arial"/>
          <w:sz w:val="17"/>
          <w:szCs w:val="17"/>
          <w:color w:val="auto"/>
        </w:rPr>
        <w:t>Distributions in excess of our current and accumulated earnings and profits will not be taxable to a non-U.S. holder to the extent that such distributions do not exceed the adjusted tax basis of the holder’s capital stock, but rather will reduce the adjusted tax basis of such stock. To the extent that such distributions exceed the non-U.S. holder’s adjusted tax basis in such capital stock, they generally will give rise to gain from the sale or exchange of such stock, the tax treatment of which is described below. However, such excess distributions may be treated as dividend income for certain non-U.S. holders. For withholding purposes, we expect to treat all distributions as made out of our current or accumulated earnings and profits. However, amounts withheld may be refundable if it is subsequently determined that the distribution was, in fact, in excess of our current and accumulated earnings and profits, provided that certain conditions are met.</w:t>
      </w:r>
    </w:p>
    <w:p>
      <w:pPr>
        <w:spacing w:after="0" w:line="106"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b w:val="1"/>
          <w:bCs w:val="1"/>
          <w:i w:val="1"/>
          <w:iCs w:val="1"/>
          <w:color w:val="auto"/>
        </w:rPr>
        <w:t>Capital Gain Dividends and Distributions Attributable to a Sale or Exchange of United States Real Property Interests</w:t>
      </w:r>
      <w:r>
        <w:rPr>
          <w:rFonts w:ascii="Arial" w:cs="Arial" w:eastAsia="Arial" w:hAnsi="Arial"/>
          <w:sz w:val="18"/>
          <w:szCs w:val="18"/>
          <w:color w:val="auto"/>
        </w:rPr>
        <w:t>. Distributions to a non-U.S. holder that we properly designate as capital gain dividends,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arising from the disposition of a USRPI, generally should not be subject to U.S. federal income taxation, unless:</w:t>
      </w:r>
    </w:p>
    <w:p>
      <w:pPr>
        <w:spacing w:after="0" w:line="100" w:lineRule="exact"/>
        <w:rPr>
          <w:sz w:val="20"/>
          <w:szCs w:val="20"/>
          <w:color w:val="auto"/>
        </w:rPr>
      </w:pPr>
    </w:p>
    <w:p>
      <w:pPr>
        <w:ind w:left="1980" w:right="459" w:hanging="360"/>
        <w:spacing w:after="0" w:line="273" w:lineRule="auto"/>
        <w:tabs>
          <w:tab w:leader="none" w:pos="1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in which case the non-U.S. holder will be subject to the same treatment as U.S. holders with respect to such gain, except that a non-U.S. holder that is a corporation may also be subject to a branch profits tax of up to 30%, as discussed above; or</w:t>
      </w:r>
    </w:p>
    <w:p>
      <w:pPr>
        <w:spacing w:after="0" w:line="110" w:lineRule="exact"/>
        <w:rPr>
          <w:rFonts w:ascii="Arial" w:cs="Arial" w:eastAsia="Arial" w:hAnsi="Arial"/>
          <w:sz w:val="17"/>
          <w:szCs w:val="17"/>
          <w:color w:val="auto"/>
        </w:rPr>
      </w:pPr>
    </w:p>
    <w:p>
      <w:pPr>
        <w:ind w:left="1980" w:hanging="360"/>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w:t>
      </w:r>
    </w:p>
    <w:p>
      <w:pPr>
        <w:spacing w:after="0" w:line="23" w:lineRule="exact"/>
        <w:rPr>
          <w:rFonts w:ascii="Arial" w:cs="Arial" w:eastAsia="Arial" w:hAnsi="Arial"/>
          <w:sz w:val="18"/>
          <w:szCs w:val="18"/>
          <w:color w:val="auto"/>
        </w:rPr>
      </w:pPr>
    </w:p>
    <w:p>
      <w:pPr>
        <w:ind w:left="1980" w:right="459"/>
        <w:spacing w:after="0" w:line="252" w:lineRule="auto"/>
        <w:rPr>
          <w:rFonts w:ascii="Arial" w:cs="Arial" w:eastAsia="Arial" w:hAnsi="Arial"/>
          <w:sz w:val="18"/>
          <w:szCs w:val="18"/>
          <w:color w:val="auto"/>
        </w:rPr>
      </w:pPr>
      <w:r>
        <w:rPr>
          <w:rFonts w:ascii="Arial" w:cs="Arial" w:eastAsia="Arial" w:hAnsi="Arial"/>
          <w:sz w:val="18"/>
          <w:szCs w:val="18"/>
          <w:color w:val="auto"/>
        </w:rPr>
        <w:t>183 days or more during the taxable year and certain other conditions are met, in which case the non-U.S. holder will be subject to U.S. federal income tax at a rate of 30% on the non-U.S. holder’s capital gains (or such lower rate specified by an applicable income tax treaty), which may be offset by U.S. source capital losses of such non-U.S. holder (even though the individual is not considered a resident of the United States), provided the non-U.S. holder has timely filed U.S. federal income tax returns with respect to such losses.</w:t>
      </w:r>
    </w:p>
    <w:p>
      <w:pPr>
        <w:spacing w:after="0" w:line="113"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Pursuant to the Foreign Investment in Real Property Tax Act, which is referred to as “FIRPTA,” distributions to a non-U.S. holder that are attributable to gain from sales or exchanges by us of USRPIs, whether or not designated as capital gain dividends, will cause the non-U.S. holder to be treated as recognizing such gain as income effectively connected with a U.S. trade or business. Non-U.S. holders generally would be taxed at the regular rates applicable to U.S. holders, subject to any applicable alternative minimum tax and a special alternative minimum tax in the case of nonresident alien individuals. We also will be required to withhold and to remit to the IRS 21% of any distribution to non-U.S. holders attributable to gain from sales or exchanges by us of USRPIs. Distributions subject to FIRPTA may also be subject to a 30% branch profits tax in the hands of a non- U.S. holder that is a corporation. The amount withheld is creditable against the non-U.S. holder’s U.S. federal income tax liability. However, any distribution with respect to any class of stock that is “regularly traded,” as defined by applicable Treasury Regulations, on an established securities market located in the United States is not subject to FIRPTA, and therefore, not subject to the 21% U.S. withholding tax described above, if the non-U.S. holder did not own more than 10% of such class of stock at any time during the one-year period ending on the date of the distribution. Instead, such distributions generally will be treated as ordinary dividend distributions and subject to withholding in the manner described above with respect to ordinary dividends. In addition, distributions to certain non-U.S. publicly traded shareholders that meet certain record- keeping and other requirements, or qualified shareholders, are exempt from FIRPTA, except to the extent owners of such qualified shareholders that are not also qualified shareholders own, actually or constructively, more than 10% of our capital stock. Furthermore, distributions to “qualified foreign pension funds” or entities all of the interests of which are held by “qualified foreign pension funds” are exempt from FIRPTA. Non-U.S. holders should consult their tax advisors regarding the application of these rules.</w:t>
      </w:r>
    </w:p>
    <w:p>
      <w:pPr>
        <w:spacing w:after="0" w:line="111"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b w:val="1"/>
          <w:bCs w:val="1"/>
          <w:i w:val="1"/>
          <w:iCs w:val="1"/>
          <w:color w:val="auto"/>
        </w:rPr>
        <w:t>Retention of Net Capital Gains</w:t>
      </w:r>
      <w:r>
        <w:rPr>
          <w:rFonts w:ascii="Arial" w:cs="Arial" w:eastAsia="Arial" w:hAnsi="Arial"/>
          <w:sz w:val="17"/>
          <w:szCs w:val="17"/>
          <w:color w:val="auto"/>
        </w:rPr>
        <w:t>. Although the law is not clear on the matter, it appears that amounts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designate as retained net capital gains in respect of our capital stock should be treated with respect to</w:t>
      </w:r>
    </w:p>
    <w:p>
      <w:pPr>
        <w:spacing w:after="0" w:line="30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1" w:name="page92"/>
    <w:bookmarkEnd w:id="9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63" w:lineRule="auto"/>
        <w:rPr>
          <w:sz w:val="20"/>
          <w:szCs w:val="20"/>
          <w:color w:val="auto"/>
        </w:rPr>
      </w:pPr>
      <w:r>
        <w:rPr>
          <w:rFonts w:ascii="Arial" w:cs="Arial" w:eastAsia="Arial" w:hAnsi="Arial"/>
          <w:sz w:val="17"/>
          <w:szCs w:val="17"/>
          <w:color w:val="auto"/>
        </w:rPr>
        <w:t>non-U.S. holders as actual distributions of capital gain dividends. Under this approach, the non-U.S. holders may be able to offset as a credit against their U.S. federal income tax liability their proportionate share of the tax paid by us on such retained net capital gains and to receive from the IRS a refund to the extent their proportionate share of such tax paid by us exceeds their actual U.S. federal income tax liability. If we were to designate any portion of our net capital gain as retained net capital gain, non-U.S. holders should consult their tax advisors regarding the taxation of such retained net capital gain.</w:t>
      </w:r>
    </w:p>
    <w:p>
      <w:pPr>
        <w:spacing w:after="0" w:line="105"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b w:val="1"/>
          <w:bCs w:val="1"/>
          <w:i w:val="1"/>
          <w:iCs w:val="1"/>
          <w:color w:val="auto"/>
        </w:rPr>
        <w:t>Sale of Our Capital Stock</w:t>
      </w:r>
      <w:r>
        <w:rPr>
          <w:rFonts w:ascii="Arial" w:cs="Arial" w:eastAsia="Arial" w:hAnsi="Arial"/>
          <w:sz w:val="18"/>
          <w:szCs w:val="18"/>
          <w:color w:val="auto"/>
        </w:rPr>
        <w:t>. Except as described below under “— Redemption or Repurchase by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realized by a non-U.S. holder upon the sale, exchange or other taxable disposition of our capital stock generally will not be subject to U.S. federal income tax unless such stock constitutes a USRPI. In general, stock of a domestic corporation that constitutes a “United States real property holding corporation,” or USRPHC, will constitute a USRPI. We believe that we are a USRPHC. Our capital stock will not, however, constitute a USRPI so long as we are a “domestically controlled qualified investment entity.” A “domestically controlled qualified investment entity” includes a REIT in which at all times during a five-year testing period less than 50% in value of its stock is held directly or indirectly by non-United States persons, subject to certain rules. For purposes of determining whether a REIT is a “domestically controlled qualified investment entity,” a person who at all applicable times holds less than 5% of a class of stock that is “regularly traded” is treated as a United States person unless the REIT has actual knowledge that such person is not a United States person. We believe, but cannot guarantee, that we are a “domestically controlled qualified investment entity.” Because our capital stock is (and, we anticipate, will continue to be) publicly traded, no assurance can be given that we will continue to be a “domestically controlled qualified investment entity.”</w:t>
      </w:r>
    </w:p>
    <w:p>
      <w:pPr>
        <w:spacing w:after="0" w:line="123" w:lineRule="exact"/>
        <w:rPr>
          <w:sz w:val="20"/>
          <w:szCs w:val="20"/>
          <w:color w:val="auto"/>
        </w:rPr>
      </w:pPr>
    </w:p>
    <w:p>
      <w:pPr>
        <w:ind w:left="1260" w:right="559" w:firstLine="360"/>
        <w:spacing w:after="0" w:line="249" w:lineRule="auto"/>
        <w:rPr>
          <w:sz w:val="20"/>
          <w:szCs w:val="20"/>
          <w:color w:val="auto"/>
        </w:rPr>
      </w:pPr>
      <w:r>
        <w:rPr>
          <w:rFonts w:ascii="Arial" w:cs="Arial" w:eastAsia="Arial" w:hAnsi="Arial"/>
          <w:sz w:val="18"/>
          <w:szCs w:val="18"/>
          <w:color w:val="auto"/>
        </w:rPr>
        <w:t>Even if we do not qualify as a “domestically controlled qualified investment entity” at the time a non-U.S. holder sells our capital stock, gain realized from the sale or other taxable disposition by a non-U.S. holder of such capital stock would not be subject to U.S. federal income tax under FIRPTA as a sale of a USRPI if:</w:t>
      </w:r>
    </w:p>
    <w:p>
      <w:pPr>
        <w:spacing w:after="0" w:line="100" w:lineRule="exact"/>
        <w:rPr>
          <w:sz w:val="20"/>
          <w:szCs w:val="20"/>
          <w:color w:val="auto"/>
        </w:rPr>
      </w:pPr>
    </w:p>
    <w:p>
      <w:pPr>
        <w:ind w:left="1980" w:right="799" w:hanging="360"/>
        <w:spacing w:after="0" w:line="277"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class of stock is “regularly traded,” as defined by applicable Treasury Regulations, on an established securities market such as the New York Stock Exchange, and</w:t>
      </w:r>
    </w:p>
    <w:p>
      <w:pPr>
        <w:spacing w:after="0" w:line="102" w:lineRule="exact"/>
        <w:rPr>
          <w:rFonts w:ascii="Arial" w:cs="Arial" w:eastAsia="Arial" w:hAnsi="Arial"/>
          <w:sz w:val="18"/>
          <w:szCs w:val="18"/>
          <w:color w:val="auto"/>
        </w:rPr>
      </w:pPr>
    </w:p>
    <w:p>
      <w:pPr>
        <w:jc w:val="both"/>
        <w:ind w:left="1980" w:right="979" w:hanging="360"/>
        <w:spacing w:after="0" w:line="263"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non-U.S. holder owned, actually and constructively, 10% or less of such class of stock throughout the shorter of the five-year period ending on the date of the sale or other taxable disposition or the non-U.S. holder’s holding period.</w:t>
      </w:r>
    </w:p>
    <w:p>
      <w:pPr>
        <w:spacing w:after="0" w:line="116"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In addition, dispositions of our capital stock by qualified shareholders are exempt from FIRPTA, except to the extent owners of such qualified shareholders that are not also qualified shareholders own, actually or constructively, more than 10% of our capital stock. Furthermore, dispositions of our capital stock by “qualified foreign pension funds” or entities all of the interests of which are held by “qualified foreign pension funds” are exempt from FIRPTA. Non-U.S. holders should consult their tax advisors regarding the application of these rules.</w:t>
      </w:r>
    </w:p>
    <w:p>
      <w:pPr>
        <w:spacing w:after="0" w:line="120"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Notwithstanding the foregoing, gain from the sale, exchange or other taxable disposition of our capital stock not otherwise subject to FIRPTA will be taxable to a non-U.S. holder if either (a) 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gain is attributable), in which case the non-U.S. holder will be subject to the same treatment as U.S. holders with respect to such gain, except that a non-U.S. holder that is a corporation may also be subject to the 30% branch profits tax (or such lower rate as may be specified by an applicable income tax treaty) on such gain, as adjusted for certain items, or</w:t>
      </w:r>
    </w:p>
    <w:p>
      <w:pPr>
        <w:ind w:left="1260" w:right="459"/>
        <w:spacing w:after="0" w:line="256" w:lineRule="auto"/>
        <w:tabs>
          <w:tab w:leader="none" w:pos="1529"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who is present in the United States for 183 days or more during the taxable year and certain other conditions are met, in which case the non-U.S. holder will be subject to a 30% tax on the non-U.S. holder’s capital gains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 In addition, even if we are a domestically controlled qualified investment entity, upon disposition of our capital stock, a non-U.S. holder may be treated as having gain from the sale or other taxable disposition of a USRPI if the non-U.S.</w:t>
      </w: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2" w:name="page93"/>
    <w:bookmarkEnd w:id="9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holder (1) disposes of such stock within a 30-day period preceding the ex-dividend date of a distribution, any portion of which, but for the disposition, would have been treated as gain from the sale or exchange of a USRPI and (2) acquires, or enters into a contract or option to acquire, or is deemed to acquire, other shares of that stock during the 61-day period beginning with the first day of the 30-day period described in clause</w:t>
      </w:r>
    </w:p>
    <w:p>
      <w:pPr>
        <w:spacing w:after="0" w:line="2"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(1), unless such class of stock is “regularly traded” and the non-U.S. holder did not own more than 10% of such class of stock at any time during the one-year period ending on the date of the distribution described in clause (1).</w:t>
      </w:r>
    </w:p>
    <w:p>
      <w:pPr>
        <w:spacing w:after="0" w:line="122"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If gain on the sale, exchange or other taxable disposition of our capital stock were subject to taxation under FIRPTA, the non-U.S. holder would be required to file a U.S. federal income tax return and would be subject to regular U.S. federal income tax with respect to such gain in the same manner as a taxable U.S. holder (subject to any applicable alternative minimum tax and a special alternative minimum tax in the case of nonresident alien individuals). In addition, if the sale, exchange or other taxable disposition of our capital stock were subject to taxation under FIRPTA, and if shares of the applicable class of our capital stock were not “regularly traded” on an established securities market, the purchaser of such capital stock generally would be required to withhold and remit to the IRS 15% of the purchase price.</w:t>
      </w:r>
    </w:p>
    <w:p>
      <w:pPr>
        <w:spacing w:after="0" w:line="111"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b w:val="1"/>
          <w:bCs w:val="1"/>
          <w:i w:val="1"/>
          <w:iCs w:val="1"/>
          <w:color w:val="auto"/>
        </w:rPr>
        <w:t>Redemption or Repurchase by Us</w:t>
      </w:r>
      <w:r>
        <w:rPr>
          <w:rFonts w:ascii="Arial" w:cs="Arial" w:eastAsia="Arial" w:hAnsi="Arial"/>
          <w:sz w:val="18"/>
          <w:szCs w:val="18"/>
          <w:color w:val="auto"/>
        </w:rPr>
        <w:t>. A redemption or repurchase of shares of our capital stock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under Section 302 of the Code as a distribution (and taxable as a dividend to the extent of our current and accumulated earnings and profits) unless the redemption or repurchase satisfies one of the tests set forth in Section 302(b) of the Code and is therefore treated as a sale or exchange of the redeemed or repurchased shares. See “— Taxation of Taxable U.S. Holders of Our Capital Stock — Redemption or Repurchase by Us.” Qualified shareholders and their owners may be subject to different rules, and should consult their tax advisors regarding the application of such rules. If the redemption or repurchase of shares is treated as a distribution, the amount of the distribution will be measured by the amount of cash and the fair market value of any property received. See “— Taxation of Non-U.S. Holders of Our Capital Stock —  Distributions Generally” above. If the redemption or repurchase of shares is not treated as a distribution, it will be treated as a taxable sale or exchange in the manner described above under “— Sale of Our Capital Stock.”</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Taxation of Holders of Our Operating Company’s Debt Securities</w:t>
      </w:r>
    </w:p>
    <w:p>
      <w:pPr>
        <w:spacing w:after="0" w:line="148"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 xml:space="preserve">The following summary describes the material U.S. federal income tax consequences of purchasing, owning and disposing of debt securities issued by our operating company. This discussion assumes the debt securities will be issued with less than a statutory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original issue discount for U.S. federal income tax purposes. In addition, this discussion is limited to persons purchasing the debt securities for cash at original issue and at their original “issue price” within the meaning of Section 1273 of the Code (</w:t>
      </w:r>
      <w:r>
        <w:rPr>
          <w:rFonts w:ascii="Arial" w:cs="Arial" w:eastAsia="Arial" w:hAnsi="Arial"/>
          <w:sz w:val="17"/>
          <w:szCs w:val="17"/>
          <w:i w:val="1"/>
          <w:iCs w:val="1"/>
          <w:color w:val="auto"/>
        </w:rPr>
        <w:t>i.e.</w:t>
      </w:r>
      <w:r>
        <w:rPr>
          <w:rFonts w:ascii="Arial" w:cs="Arial" w:eastAsia="Arial" w:hAnsi="Arial"/>
          <w:sz w:val="17"/>
          <w:szCs w:val="17"/>
          <w:color w:val="auto"/>
        </w:rPr>
        <w:t>, the first price at which a substantial amount of the debt securities is sold to the public for cash).</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Holders</w:t>
      </w:r>
    </w:p>
    <w:p>
      <w:pPr>
        <w:spacing w:after="0" w:line="15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i w:val="1"/>
          <w:iCs w:val="1"/>
          <w:color w:val="auto"/>
        </w:rPr>
        <w:t xml:space="preserve">Payments of Interest. </w:t>
      </w:r>
      <w:r>
        <w:rPr>
          <w:rFonts w:ascii="Arial" w:cs="Arial" w:eastAsia="Arial" w:hAnsi="Arial"/>
          <w:sz w:val="18"/>
          <w:szCs w:val="18"/>
          <w:color w:val="auto"/>
        </w:rPr>
        <w:t>Interest on a debt security generally will be taxable to a U.S. holder as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at the time such interest is received or accrued, in accordance with such U.S. holder’s method of accounting for U.S. federal income tax purposes.</w:t>
      </w:r>
    </w:p>
    <w:p>
      <w:pPr>
        <w:spacing w:after="0" w:line="11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i w:val="1"/>
          <w:iCs w:val="1"/>
          <w:color w:val="auto"/>
        </w:rPr>
        <w:t xml:space="preserve">Sale or Other Taxable Disposition. </w:t>
      </w:r>
      <w:r>
        <w:rPr>
          <w:rFonts w:ascii="Arial" w:cs="Arial" w:eastAsia="Arial" w:hAnsi="Arial"/>
          <w:sz w:val="18"/>
          <w:szCs w:val="18"/>
          <w:color w:val="auto"/>
        </w:rPr>
        <w:t>A U.S. holder will recognize gain or loss on the sale,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retirement or other taxable disposition 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 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such sale or other taxable disposition. Otherwise, such gain or loss will be short-term capital gain or loss. Long-term capital gains recognized by certain non-corporate U.S. holders, including individuals, generally will be taxable at reduced rates. The deductibility of capital losses is subject to limitations.</w:t>
      </w:r>
    </w:p>
    <w:p>
      <w:pPr>
        <w:sectPr>
          <w:pgSz w:w="11900" w:h="16838" w:orient="portrait"/>
          <w:cols w:equalWidth="0" w:num="1">
            <w:col w:w="9879"/>
          </w:cols>
          <w:pgMar w:left="580" w:top="90" w:right="1440" w:bottom="1440" w:gutter="0" w:footer="0" w:header="0"/>
        </w:sectPr>
      </w:pPr>
    </w:p>
    <w:p>
      <w:pPr>
        <w:spacing w:after="0" w:line="37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Non-U.S. Holders</w:t>
      </w:r>
    </w:p>
    <w:p>
      <w:pPr>
        <w:spacing w:after="0" w:line="158"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i w:val="1"/>
          <w:iCs w:val="1"/>
          <w:color w:val="auto"/>
        </w:rPr>
        <w:t xml:space="preserve">Payments of Interest. </w:t>
      </w:r>
      <w:r>
        <w:rPr>
          <w:rFonts w:ascii="Arial" w:cs="Arial" w:eastAsia="Arial" w:hAnsi="Arial"/>
          <w:sz w:val="18"/>
          <w:szCs w:val="18"/>
          <w:color w:val="auto"/>
        </w:rPr>
        <w:t>Interest paid on a debt security to a non-U.S. holder that is not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connected with the non-U.S. holder’s conduct of a trade or business within the United States generally will not be subject to U.S. federal income tax or withholding, provided that:</w:t>
      </w:r>
    </w:p>
    <w:p>
      <w:pPr>
        <w:spacing w:after="0" w:line="76" w:lineRule="exact"/>
        <w:rPr>
          <w:sz w:val="20"/>
          <w:szCs w:val="20"/>
          <w:color w:val="auto"/>
        </w:rPr>
      </w:pPr>
    </w:p>
    <w:p>
      <w:pPr>
        <w:ind w:left="1800" w:right="1199" w:hanging="180"/>
        <w:spacing w:after="0" w:line="27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our operating company’s capital or profits;</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related to our operating company through actual or constructive stock ownership; and</w:t>
      </w:r>
    </w:p>
    <w:p>
      <w:pPr>
        <w:spacing w:after="0" w:line="62" w:lineRule="exact"/>
        <w:rPr>
          <w:rFonts w:ascii="Arial" w:cs="Arial" w:eastAsia="Arial" w:hAnsi="Arial"/>
          <w:sz w:val="18"/>
          <w:szCs w:val="18"/>
          <w:color w:val="auto"/>
        </w:rPr>
      </w:pPr>
    </w:p>
    <w:p>
      <w:pPr>
        <w:ind w:left="1800" w:right="659" w:hanging="180"/>
        <w:spacing w:after="0" w:line="274" w:lineRule="auto"/>
        <w:tabs>
          <w:tab w:leader="none" w:pos="18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either (1) the non-U.S. holder certifies in a statement provided to the applicable withholding agent under penalties of perjury that it is not a United States person and provides its name and address;</w:t>
      </w:r>
    </w:p>
    <w:p>
      <w:pPr>
        <w:ind w:left="1800" w:right="479"/>
        <w:spacing w:after="0" w:line="265" w:lineRule="auto"/>
        <w:rPr>
          <w:rFonts w:ascii="Arial" w:cs="Arial" w:eastAsia="Arial" w:hAnsi="Arial"/>
          <w:sz w:val="17"/>
          <w:szCs w:val="17"/>
          <w:color w:val="auto"/>
        </w:rPr>
      </w:pPr>
      <w:r>
        <w:rPr>
          <w:rFonts w:ascii="Arial" w:cs="Arial" w:eastAsia="Arial" w:hAnsi="Arial"/>
          <w:sz w:val="17"/>
          <w:szCs w:val="17"/>
          <w:color w:val="auto"/>
        </w:rPr>
        <w:t>(2)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 debt</w:t>
      </w:r>
    </w:p>
    <w:p>
      <w:pPr>
        <w:ind w:left="1800" w:right="619"/>
        <w:spacing w:after="0" w:line="260" w:lineRule="auto"/>
        <w:rPr>
          <w:rFonts w:ascii="Arial" w:cs="Arial" w:eastAsia="Arial" w:hAnsi="Arial"/>
          <w:sz w:val="17"/>
          <w:szCs w:val="17"/>
          <w:color w:val="auto"/>
        </w:rPr>
      </w:pPr>
      <w:r>
        <w:rPr>
          <w:rFonts w:ascii="Arial" w:cs="Arial" w:eastAsia="Arial" w:hAnsi="Arial"/>
          <w:sz w:val="18"/>
          <w:szCs w:val="18"/>
          <w:color w:val="auto"/>
        </w:rPr>
        <w:t>security directly through a “qualified intermediary” (within​ the meaning of the applicable Treasury Regulations) and certain conditions are satisfied.</w:t>
      </w:r>
    </w:p>
    <w:p>
      <w:pPr>
        <w:spacing w:after="0" w:line="118"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If a non-U.S. holder does not satisfy the requirements above, such non-U.S. holder will be subject to withholding tax of 30%, subject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10"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w:t>
      </w:r>
    </w:p>
    <w:p>
      <w:pPr>
        <w:spacing w:after="0" w:line="96"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Any such effectively connected interest generally will be subject to U.S. federal income tax at the regular rates. A non-U.S. holder that is a corporation may also be subject to a branch profits tax at a rate of 30% (or such lower rate specified by an applicable income tax treaty) on such effectively connected interest, as adjusted for certain items.</w:t>
      </w:r>
    </w:p>
    <w:p>
      <w:pPr>
        <w:spacing w:after="0" w:line="119"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10"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i w:val="1"/>
          <w:iCs w:val="1"/>
          <w:color w:val="auto"/>
        </w:rPr>
        <w:t xml:space="preserve">Sale or Other Taxable Disposition. </w:t>
      </w:r>
      <w:r>
        <w:rPr>
          <w:rFonts w:ascii="Arial" w:cs="Arial" w:eastAsia="Arial" w:hAnsi="Arial"/>
          <w:sz w:val="17"/>
          <w:szCs w:val="17"/>
          <w:color w:val="auto"/>
        </w:rPr>
        <w:t>A non-U.S. holder will not be subject to U.S. federal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on any gain realized upon the sale, exchange, redemption, retirement or other taxable disposition of a debt security (such amount excludes any amount allocable to accrued and unpaid interest, which generally will be treated as interest and may be subject to the rules discussed above in “— Taxation of Holders of Our Operating Company’s Debt Securities — Non-U.S. Holders — Payments of Interest”) unless:</w:t>
      </w:r>
    </w:p>
    <w:p>
      <w:pPr>
        <w:spacing w:after="0" w:line="68" w:lineRule="exact"/>
        <w:rPr>
          <w:sz w:val="20"/>
          <w:szCs w:val="20"/>
          <w:color w:val="auto"/>
        </w:rPr>
      </w:pPr>
    </w:p>
    <w:p>
      <w:pPr>
        <w:ind w:left="1800" w:right="479" w:hanging="180"/>
        <w:spacing w:after="0" w:line="286" w:lineRule="auto"/>
        <w:tabs>
          <w:tab w:leader="none" w:pos="18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ectPr>
          <w:pgSz w:w="11900" w:h="16838" w:orient="portrait"/>
          <w:cols w:equalWidth="0" w:num="1">
            <w:col w:w="9879"/>
          </w:cols>
          <w:pgMar w:left="580" w:top="90" w:right="1440" w:bottom="1440" w:gutter="0" w:footer="0" w:header="0"/>
        </w:sectPr>
      </w:pPr>
    </w:p>
    <w:p>
      <w:pPr>
        <w:spacing w:after="0" w:line="34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799" w:hanging="180"/>
        <w:spacing w:after="0" w:line="308" w:lineRule="auto"/>
        <w:tabs>
          <w:tab w:leader="none" w:pos="1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w:t>
      </w:r>
    </w:p>
    <w:p>
      <w:pPr>
        <w:spacing w:after="0" w:line="79"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19" w:lineRule="exact"/>
        <w:rPr>
          <w:sz w:val="20"/>
          <w:szCs w:val="20"/>
          <w:color w:val="auto"/>
        </w:rPr>
      </w:pPr>
    </w:p>
    <w:p>
      <w:pPr>
        <w:jc w:val="both"/>
        <w:ind w:left="1260" w:right="479" w:firstLine="360"/>
        <w:spacing w:after="0" w:line="275" w:lineRule="auto"/>
        <w:rPr>
          <w:sz w:val="20"/>
          <w:szCs w:val="20"/>
          <w:color w:val="auto"/>
        </w:rPr>
      </w:pPr>
      <w:r>
        <w:rPr>
          <w:rFonts w:ascii="Arial" w:cs="Arial" w:eastAsia="Arial" w:hAnsi="Arial"/>
          <w:sz w:val="17"/>
          <w:szCs w:val="17"/>
          <w:color w:val="auto"/>
        </w:rPr>
        <w:t>A non-U.S. holder described in the second bullet point above will be subject to U.S. federal income tax at a rate of 30% (or such lower rate specified by an applicable income tax treaty) on gain realized upon the sale or other taxable disposition of a debt security,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95"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2"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b w:val="1"/>
          <w:bCs w:val="1"/>
          <w:i w:val="1"/>
          <w:iCs w:val="1"/>
          <w:color w:val="auto"/>
        </w:rPr>
        <w:t>U.S. Holders</w:t>
      </w:r>
      <w:r>
        <w:rPr>
          <w:rFonts w:ascii="Arial" w:cs="Arial" w:eastAsia="Arial" w:hAnsi="Arial"/>
          <w:sz w:val="18"/>
          <w:szCs w:val="18"/>
          <w:color w:val="auto"/>
        </w:rPr>
        <w:t>. A U.S. holder may be subject to information reporting and backup withholding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receives payments on our capital stock or our operating company’s debt securities or proceeds from the sale or other taxable disposition of such stock or debt securities (including a redemption or retirement of a debt security). Certain U.S. holders are exempt from backup withholding, including corporations and certain tax-exempt organizations. A U.S. holder will be subject to backup withholding if such holder is not otherwise exempt and:</w:t>
      </w:r>
    </w:p>
    <w:p>
      <w:pPr>
        <w:spacing w:after="0" w:line="84" w:lineRule="exact"/>
        <w:rPr>
          <w:sz w:val="20"/>
          <w:szCs w:val="20"/>
          <w:color w:val="auto"/>
        </w:rPr>
      </w:pPr>
    </w:p>
    <w:p>
      <w:pPr>
        <w:ind w:left="1800" w:right="819" w:hanging="180"/>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holder fails to furnish the holder’s taxpayer identification number, which for an individual is ordinarily his or her social security number;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holder furnishes an incorrect taxpayer identification number;</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applicable withholding agent is notified by the IRS that the holder previously failed to properly report payments of interest or dividends; or</w:t>
      </w:r>
    </w:p>
    <w:p>
      <w:pPr>
        <w:spacing w:after="0" w:line="62"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16"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b w:val="1"/>
          <w:bCs w:val="1"/>
          <w:i w:val="1"/>
          <w:iCs w:val="1"/>
          <w:color w:val="auto"/>
        </w:rPr>
        <w:t>Non-U.S. Holders</w:t>
      </w:r>
      <w:r>
        <w:rPr>
          <w:rFonts w:ascii="Arial" w:cs="Arial" w:eastAsia="Arial" w:hAnsi="Arial"/>
          <w:sz w:val="18"/>
          <w:szCs w:val="18"/>
          <w:color w:val="auto"/>
        </w:rPr>
        <w:t>. Payments of dividends on our capital stock or interest on our operating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 generally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capital stock or interest on our operating company’s debt securities paid to the non-U.S. holder, regardless of whether such distributions constitute a dividend or whether any tax was actually withheld. In addition, proceeds of the sale or other taxable disposition of such stock or debt securities (including a retirement or redemption of a debt security)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such stock or debt securities conducted through a non-U.S. office of a non-U.S. broker generally will not be subject to backup withholding or information reporting.</w:t>
      </w:r>
    </w:p>
    <w:p>
      <w:pPr>
        <w:sectPr>
          <w:pgSz w:w="11900" w:h="16838" w:orient="portrait"/>
          <w:cols w:equalWidth="0" w:num="1">
            <w:col w:w="9879"/>
          </w:cols>
          <w:pgMar w:left="580" w:top="90" w:right="1440" w:bottom="1440" w:gutter="0" w:footer="0" w:header="0"/>
        </w:sectPr>
      </w:pPr>
    </w:p>
    <w:p>
      <w:pPr>
        <w:spacing w:after="0" w:line="37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16"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Medicare Contribution Tax on Unearned Income</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Certain U.S. holders that are individuals, estates or trusts are required to pay an additional 3.8% tax on, among other things, dividends on stock, interest on debt obligations and capital gains from the sale or other disposition of stock or debt obligations, subject to certain limitations. U.S. holders should consult their tax advisors regarding the effect, if any, of these rules on their ownership and disposition of our capital stock or our operating company’s debt securities.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our capital stock, interest on our operating company’s debt securities, or (subject to the proposed Treasury Regulations discussed below) gross proceeds from the sale or other disposition of our capital stock or our operating company’s debt securities, in each case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w:t>
      </w:r>
    </w:p>
    <w:p>
      <w:pPr>
        <w:spacing w:after="0" w:line="7" w:lineRule="exact"/>
        <w:rPr>
          <w:sz w:val="20"/>
          <w:szCs w:val="20"/>
          <w:color w:val="auto"/>
        </w:rPr>
      </w:pPr>
    </w:p>
    <w:p>
      <w:pPr>
        <w:ind w:left="1260" w:right="519"/>
        <w:spacing w:after="0" w:line="265" w:lineRule="auto"/>
        <w:tabs>
          <w:tab w:leader="none" w:pos="1529" w:val="left"/>
        </w:tabs>
        <w:numPr>
          <w:ilvl w:val="0"/>
          <w:numId w:val="79"/>
        </w:numPr>
        <w:rPr>
          <w:rFonts w:ascii="Arial" w:cs="Arial" w:eastAsia="Arial" w:hAnsi="Arial"/>
          <w:sz w:val="17"/>
          <w:szCs w:val="17"/>
          <w:color w:val="auto"/>
        </w:rPr>
      </w:pPr>
      <w:r>
        <w:rPr>
          <w:rFonts w:ascii="Arial" w:cs="Arial" w:eastAsia="Arial" w:hAnsi="Arial"/>
          <w:sz w:val="17"/>
          <w:szCs w:val="17"/>
          <w:color w:val="auto"/>
        </w:rPr>
        <w:t>above, it must enter into an agreement with the U.S. Department of the Treasury requiring, among other things, that it undertake to identify accounts held by certain “specified United States persons” or “United</w:t>
      </w:r>
    </w:p>
    <w:p>
      <w:pPr>
        <w:jc w:val="both"/>
        <w:ind w:left="1260" w:right="499"/>
        <w:spacing w:after="0" w:line="273" w:lineRule="auto"/>
        <w:rPr>
          <w:rFonts w:ascii="Arial" w:cs="Arial" w:eastAsia="Arial" w:hAnsi="Arial"/>
          <w:sz w:val="17"/>
          <w:szCs w:val="17"/>
          <w:color w:val="auto"/>
        </w:rPr>
      </w:pPr>
      <w:r>
        <w:rPr>
          <w:rFonts w:ascii="Arial" w:cs="Arial" w:eastAsia="Arial" w:hAnsi="Arial"/>
          <w:sz w:val="17"/>
          <w:szCs w:val="17"/>
          <w:color w:val="auto"/>
        </w:rPr>
        <w:t>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09"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capital stock or interest on our operating company’s debt securities. While withholding under FATCA would have applied also to payments of gross proceeds from the sale or other disposition of stock or debt securities on or after January 1, 2019, proposed Treasury Regulations eliminate FATCA withholding on payments of gross proceeds entirely. Taxpayers generally may rely on these proposed Treasury Regulations until final Treasury Regulations are issued. Because we may not know the extent to which a distribution is a dividend for U.S. federal income tax purposes at the time it is made, for purposes of these withholding rules we may treat the entire distribution as a dividend.</w:t>
      </w:r>
    </w:p>
    <w:p>
      <w:pPr>
        <w:spacing w:after="0" w:line="111" w:lineRule="exact"/>
        <w:rPr>
          <w:sz w:val="20"/>
          <w:szCs w:val="20"/>
          <w:color w:val="auto"/>
        </w:rPr>
      </w:pPr>
    </w:p>
    <w:p>
      <w:pPr>
        <w:ind w:left="1260" w:right="1159" w:firstLine="360"/>
        <w:spacing w:after="0" w:line="263"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capital stock or our operating company’s debt securities.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Tax Consequences</w:t>
      </w:r>
    </w:p>
    <w:p>
      <w:pPr>
        <w:spacing w:after="0" w:line="148"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State, local and non-U.S. income tax laws may differ substantially from the corresponding U.S. federal income tax laws, and this discussion does not purport to describe any aspect of the tax laws of any state, local or non-U.S. jurisdiction, or any U.S. federal tax other than income tax. You should consult your tax advisor regarding the effect of state, local and non-U.S. tax laws with respect to our tax treatment as a REIT and on an investment in our capital stock or our operating company’s debt securities.</w:t>
      </w:r>
    </w:p>
    <w:p>
      <w:pPr>
        <w:sectPr>
          <w:pgSz w:w="11900" w:h="16838" w:orient="portrait"/>
          <w:cols w:equalWidth="0" w:num="1">
            <w:col w:w="9879"/>
          </w:cols>
          <w:pgMar w:left="580" w:top="90" w:right="1440" w:bottom="1440" w:gutter="0" w:footer="0" w:header="0"/>
        </w:sectPr>
      </w:pPr>
    </w:p>
    <w:p>
      <w:pPr>
        <w:spacing w:after="0" w:line="36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or any of the selling securityholders may sell the offered securities from time to time:</w:t>
      </w:r>
    </w:p>
    <w:p>
      <w:pPr>
        <w:spacing w:after="0" w:line="117" w:lineRule="exact"/>
        <w:rPr>
          <w:sz w:val="20"/>
          <w:szCs w:val="20"/>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7" w:name="page98"/>
    <w:bookmarkEnd w:id="9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Certain legal matters will be passed upon for us by Latham &amp; Watkins LLP, Los Angeles, California. Certain legal matters with respect to the validity of shares of our capital stock and certain other legal matters relating to Maryland law will be passed upon for us by Venable LLP, Baltimore, Maryland. Additional legal matters may be passed upon for us, the selling securityholders or any underwriters, dealers or agents, by counsel that we will name in the applicable prospectus supplement.</w:t>
      </w:r>
    </w:p>
    <w:p>
      <w:pPr>
        <w:spacing w:after="0" w:line="17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financial statements of iStar Inc. incorporated by reference in this Registration Statement, and the effectiveness of iStar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07"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7"/>
          <w:szCs w:val="17"/>
          <w:color w:val="auto"/>
        </w:rPr>
        <w:t>The financial statements of Safehold Inc. incorporated by reference in this Registration Statement, and the effectiveness of Safehold Inc.’s internal control over financial reporting, have been audited by Deloitte</w:t>
      </w:r>
    </w:p>
    <w:p>
      <w:pPr>
        <w:jc w:val="both"/>
        <w:ind w:left="1260" w:right="619"/>
        <w:spacing w:after="0" w:line="255" w:lineRule="auto"/>
        <w:tabs>
          <w:tab w:leader="none" w:pos="14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8" w:name="page99"/>
    <w:bookmarkEnd w:id="9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Arial" w:cs="Arial" w:eastAsia="Arial" w:hAnsi="Arial"/>
          <w:sz w:val="25"/>
          <w:szCs w:val="25"/>
          <w:b w:val="1"/>
          <w:bCs w:val="1"/>
          <w:color w:val="auto"/>
        </w:rPr>
        <w:t>6,500,000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534670</wp:posOffset>
            </wp:positionV>
            <wp:extent cx="1817370" cy="1157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181737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3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646430</wp:posOffset>
            </wp:positionV>
            <wp:extent cx="12344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170180</wp:posOffset>
            </wp:positionV>
            <wp:extent cx="12344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840"/>
        <w:spacing w:after="0"/>
        <w:rPr>
          <w:sz w:val="20"/>
          <w:szCs w:val="20"/>
          <w:color w:val="auto"/>
        </w:rPr>
      </w:pPr>
      <w:r>
        <w:rPr>
          <w:rFonts w:ascii="Arial" w:cs="Arial" w:eastAsia="Arial" w:hAnsi="Arial"/>
          <w:sz w:val="32"/>
          <w:szCs w:val="32"/>
          <w:b w:val="1"/>
          <w:bCs w:val="1"/>
          <w:color w:val="auto"/>
        </w:rPr>
        <w:t>BofA Securities</w:t>
      </w:r>
    </w:p>
    <w:p>
      <w:pPr>
        <w:spacing w:after="0" w:line="145" w:lineRule="exact"/>
        <w:rPr>
          <w:sz w:val="20"/>
          <w:szCs w:val="20"/>
          <w:color w:val="auto"/>
        </w:rPr>
      </w:pPr>
    </w:p>
    <w:p>
      <w:pPr>
        <w:jc w:val="center"/>
        <w:ind w:right="-840"/>
        <w:spacing w:after="0"/>
        <w:rPr>
          <w:sz w:val="20"/>
          <w:szCs w:val="20"/>
          <w:color w:val="auto"/>
        </w:rPr>
      </w:pPr>
      <w:r>
        <w:rPr>
          <w:rFonts w:ascii="Arial" w:cs="Arial" w:eastAsia="Arial" w:hAnsi="Arial"/>
          <w:sz w:val="29"/>
          <w:szCs w:val="29"/>
          <w:b w:val="1"/>
          <w:bCs w:val="1"/>
          <w:color w:val="auto"/>
        </w:rPr>
        <w:t>Goldman Sachs &amp; Co. LLC</w:t>
      </w:r>
    </w:p>
    <w:p>
      <w:pPr>
        <w:spacing w:after="0" w:line="193" w:lineRule="exact"/>
        <w:rPr>
          <w:sz w:val="20"/>
          <w:szCs w:val="20"/>
          <w:color w:val="auto"/>
        </w:rPr>
      </w:pPr>
    </w:p>
    <w:p>
      <w:pPr>
        <w:jc w:val="center"/>
        <w:ind w:right="-840"/>
        <w:spacing w:after="0"/>
        <w:rPr>
          <w:sz w:val="20"/>
          <w:szCs w:val="20"/>
          <w:color w:val="auto"/>
        </w:rPr>
      </w:pPr>
      <w:r>
        <w:rPr>
          <w:rFonts w:ascii="Arial" w:cs="Arial" w:eastAsia="Arial" w:hAnsi="Arial"/>
          <w:sz w:val="32"/>
          <w:szCs w:val="32"/>
          <w:b w:val="1"/>
          <w:bCs w:val="1"/>
          <w:color w:val="auto"/>
        </w:rPr>
        <w:t>J.P. Morgan</w:t>
      </w:r>
    </w:p>
    <w:p>
      <w:pPr>
        <w:spacing w:after="0" w:line="159" w:lineRule="exact"/>
        <w:rPr>
          <w:sz w:val="20"/>
          <w:szCs w:val="20"/>
          <w:color w:val="auto"/>
        </w:rPr>
      </w:pPr>
    </w:p>
    <w:p>
      <w:pPr>
        <w:jc w:val="center"/>
        <w:ind w:right="-840"/>
        <w:spacing w:after="0"/>
        <w:rPr>
          <w:sz w:val="20"/>
          <w:szCs w:val="20"/>
          <w:color w:val="auto"/>
        </w:rPr>
      </w:pPr>
      <w:r>
        <w:rPr>
          <w:rFonts w:ascii="Arial" w:cs="Arial" w:eastAsia="Arial" w:hAnsi="Arial"/>
          <w:sz w:val="32"/>
          <w:szCs w:val="32"/>
          <w:b w:val="1"/>
          <w:bCs w:val="1"/>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726440</wp:posOffset>
            </wp:positionV>
            <wp:extent cx="52120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247015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1)"/>
      <w:numFmt w:val="decimal"/>
      <w:start w:val="1"/>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1)"/>
      <w:numFmt w:val="decimal"/>
      <w:start w:val="2"/>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lowerLetter"/>
      <w:start w:val="1"/>
    </w:lvl>
    <w:lvl w:ilvl="1">
      <w:lvlJc w:val="left"/>
      <w:lvlText w:val="%2"/>
      <w:numFmt w:val="lowerLetter"/>
      <w:start w:val="1"/>
    </w:lvl>
  </w:abstractNum>
  <w:abstractNum w:abstractNumId="14">
    <w:nsid w:val="7644A45C"/>
    <w:multiLevelType w:val="hybridMultilevel"/>
    <w:lvl w:ilvl="0">
      <w:lvlJc w:val="left"/>
      <w:lvlText w:val="(%1)"/>
      <w:numFmt w:val="lowerLetter"/>
      <w:start w:val="5"/>
    </w:lvl>
    <w:lvl w:ilvl="1">
      <w:lvlJc w:val="left"/>
      <w:lvlText w:val="%2"/>
      <w:numFmt w:val="lowerLetter"/>
      <w:start w:val="1"/>
    </w:lvl>
  </w:abstractNum>
  <w:abstractNum w:abstractNumId="15">
    <w:nsid w:val="32FFF902"/>
    <w:multiLevelType w:val="hybridMultilevel"/>
    <w:lvl w:ilvl="0">
      <w:lvlJc w:val="left"/>
      <w:lvlText w:val="(%1)"/>
      <w:numFmt w:val="lowerLetter"/>
      <w:start w:val="2"/>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amp;"/>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1)"/>
      <w:numFmt w:val="lowerRoman"/>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1)"/>
      <w:numFmt w:val="lowerRoman"/>
      <w:start w:val="2"/>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2"/>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lowerLetter"/>
      <w:start w:val="1"/>
    </w:lvl>
  </w:abstractNum>
  <w:abstractNum w:abstractNumId="31">
    <w:nsid w:val="39386575"/>
    <w:multiLevelType w:val="hybridMultilevel"/>
    <w:lvl w:ilvl="0">
      <w:lvlJc w:val="left"/>
      <w:lvlText w:val="(%1)"/>
      <w:numFmt w:val="lowerLetter"/>
      <w:start w:val="5"/>
    </w:lvl>
  </w:abstractNum>
  <w:abstractNum w:abstractNumId="32">
    <w:nsid w:val="1CF10FD8"/>
    <w:multiLevelType w:val="hybridMultilevel"/>
    <w:lvl w:ilvl="0">
      <w:lvlJc w:val="left"/>
      <w:lvlText w:val="(%1)"/>
      <w:numFmt w:val="lowerLetter"/>
      <w:start w:val="1"/>
    </w:lvl>
  </w:abstractNum>
  <w:abstractNum w:abstractNumId="33">
    <w:nsid w:val="180115BE"/>
    <w:multiLevelType w:val="hybridMultilevel"/>
    <w:lvl w:ilvl="0">
      <w:lvlJc w:val="left"/>
      <w:lvlText w:val="(%1)"/>
      <w:numFmt w:val="lowerLetter"/>
      <w:start w:val="5"/>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lvl w:ilvl="1">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1)"/>
      <w:numFmt w:val="lowerRoman"/>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1)"/>
      <w:numFmt w:val="lowerRoman"/>
      <w:start w:val="3"/>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1)"/>
      <w:numFmt w:val="decimal"/>
      <w:start w:val="5"/>
    </w:lvl>
  </w:abstractNum>
  <w:abstractNum w:abstractNumId="57">
    <w:nsid w:val="15014ACB"/>
    <w:multiLevelType w:val="hybridMultilevel"/>
    <w:lvl w:ilvl="0">
      <w:lvlJc w:val="left"/>
      <w:lvlText w:val="(%1)"/>
      <w:numFmt w:val="lowerRoman"/>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1)"/>
      <w:numFmt w:val="lowerRoman"/>
      <w:start w:val="2"/>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1)"/>
      <w:numFmt w:val="decimal"/>
      <w:start w:val="2"/>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2"/>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lowerLetter"/>
      <w:start w:val="2"/>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decimal"/>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jpe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jpe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36" Type="http://schemas.openxmlformats.org/officeDocument/2006/relationships/hyperlink" Target="https://www.sec.gov/Archives/edgar/data/1095651/000110465923041210/tm2310731d1_ex99-3.htm" TargetMode="External"/><Relationship Id="rId67" Type="http://schemas.openxmlformats.org/officeDocument/2006/relationships/hyperlink" Target="https://www.sec.gov/ix?doc=/Archives/edgar/data/1095651/000155837023001675/star-20221231x10k.htm" TargetMode="External"/><Relationship Id="rId68" Type="http://schemas.openxmlformats.org/officeDocument/2006/relationships/hyperlink" Target="https://www.sec.gov/ix?doc=/Archives/edgar/data/1688852/000155837023001306/tmb-20221231x10k.htm" TargetMode="External"/><Relationship Id="rId69" Type="http://schemas.openxmlformats.org/officeDocument/2006/relationships/hyperlink" Target="https://www.sec.gov/ix?doc=/Archives/edgar/data/1688852/000110465923039172/tm2310461d1_10ka.htm" TargetMode="External"/><Relationship Id="rId70" Type="http://schemas.openxmlformats.org/officeDocument/2006/relationships/hyperlink" Target="https://www.sec.gov/ix?doc=/Archives/edgar/data/1095651/000110465923039176/tm239851d1_10ka.htm" TargetMode="External"/><Relationship Id="rId71" Type="http://schemas.openxmlformats.org/officeDocument/2006/relationships/hyperlink" Target="https://www.sec.gov/ix?doc=/Archives/edgar/data/1095651/000155837023007327/safe-20230331x10q.htm" TargetMode="External"/><Relationship Id="rId72" Type="http://schemas.openxmlformats.org/officeDocument/2006/relationships/hyperlink" Target="http://www.sec.gov/ix?doc=/Archives/edgar/data/1095651/000155837023012762/safe-20230630x10q.htm" TargetMode="External"/><Relationship Id="rId73" Type="http://schemas.openxmlformats.org/officeDocument/2006/relationships/hyperlink" Target="https://www.sec.gov/ix?doc=/Archives/edgar/data/1095651/000110465923028016/tm238307d1_8k.htm" TargetMode="External"/><Relationship Id="rId74" Type="http://schemas.openxmlformats.org/officeDocument/2006/relationships/hyperlink" Target="https://www.sec.gov/ix?doc=/Archives/edgar/data/1095651/000110465923030656/tm238781d1_8k.htm" TargetMode="External"/><Relationship Id="rId75" Type="http://schemas.openxmlformats.org/officeDocument/2006/relationships/hyperlink" Target="https://www.sec.gov/ix?doc=/Archives/edgar/data/1095651/000110465923041210/tm2310731d1_8k.htm" TargetMode="External"/><Relationship Id="rId76" Type="http://schemas.openxmlformats.org/officeDocument/2006/relationships/hyperlink" Target="https://www.sec.gov/ix?doc=/Archives/edgar/data/1095651/000110465923042176/tm2310731d2_8k.htm" TargetMode="External"/><Relationship Id="rId77" Type="http://schemas.openxmlformats.org/officeDocument/2006/relationships/hyperlink" Target="https://www.sec.gov/ix?doc=/Archives/edgar/data/1095651/000110465923045621/tm2312145d1_8k.htm" TargetMode="External"/><Relationship Id="rId78" Type="http://schemas.openxmlformats.org/officeDocument/2006/relationships/hyperlink" Target="https://www.sec.gov/ix?doc=/Archives/edgar/data/1095651/000155837023006845/safe-20230426x8k.htm" TargetMode="External"/><Relationship Id="rId79" Type="http://schemas.openxmlformats.org/officeDocument/2006/relationships/hyperlink" Target="https://www.sec.gov/ix?doc=/Archives/edgar/data/1095651/000110465923073556/tm2319262d1_8k.htm" TargetMode="External"/><Relationship Id="rId80" Type="http://schemas.openxmlformats.org/officeDocument/2006/relationships/hyperlink" Target="https://www.sec.gov/ix?doc=/Archives/edgar/data/1095651/000155837023012751/safe-20230801x8k.htm" TargetMode="External"/><Relationship Id="rId81" Type="http://schemas.openxmlformats.org/officeDocument/2006/relationships/hyperlink" Target="https://www.sec.gov/ix?doc=/Archives/edgar/data/1688852/000155837023001228/tmb-20230214x8k.htm" TargetMode="External"/><Relationship Id="rId82" Type="http://schemas.openxmlformats.org/officeDocument/2006/relationships/hyperlink" Target="https://www.sec.gov/ix?doc=/Archives/edgar/data/1688852/000110465923028021/tm238310d1_8k.htm" TargetMode="External"/><Relationship Id="rId83" Type="http://schemas.openxmlformats.org/officeDocument/2006/relationships/hyperlink" Target="https://www.sec.gov/ix?doc=/Archives/edgar/data/1688852/000110465923030658/tm238785d1_8k.htm" TargetMode="External"/><Relationship Id="rId84" Type="http://schemas.openxmlformats.org/officeDocument/2006/relationships/hyperlink" Target="https://www.sec.gov/ix?doc=/Archives/edgar/data/1688852/000110465923039699/tm2311045d1_8k.htm" TargetMode="External"/><Relationship Id="rId85" Type="http://schemas.openxmlformats.org/officeDocument/2006/relationships/hyperlink" Target="https://www.sec.gov/Archives/edgar/data/1095651/000110465923041210/tm2310731d1_ex4-1.htm" TargetMode="External"/><Relationship Id="rId109" Type="http://schemas.openxmlformats.org/officeDocument/2006/relationships/hyperlink" Target="http://www.sec.gov/Archives/edgar/data/1095651/000110465923041210/tm2310731d1_ex10-24.htm" TargetMode="External"/><Relationship Id="rId113" Type="http://schemas.openxmlformats.org/officeDocument/2006/relationships/hyperlink" Target="http://www.sec.gov/Archives/edgar/data/1095651/000110465923041210/tm2310731d1_ex99-3.htm" TargetMode="External"/><Relationship Id="rId114" Type="http://schemas.openxmlformats.org/officeDocument/2006/relationships/hyperlink" Target="http://www.sec.gov/ix?doc=/Archives/edgar/data/1095651/000110465923041210/tm2310731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2023-08-07T15:34:57Z</dcterms:created>
  <dcterms:modified xsi:type="dcterms:W3CDTF">2023-08-07T15:34:57Z</dcterms:modified>
</cp:coreProperties>
</file>