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0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95" w:lineRule="exact"/>
        <w:rPr>
          <w:sz w:val="24"/>
          <w:szCs w:val="24"/>
          <w:color w:val="auto"/>
        </w:rPr>
      </w:pPr>
    </w:p>
    <w:p>
      <w:pPr>
        <w:ind w:left="2840"/>
        <w:spacing w:after="0"/>
        <w:rPr>
          <w:sz w:val="20"/>
          <w:szCs w:val="20"/>
          <w:color w:val="auto"/>
        </w:rPr>
      </w:pPr>
      <w:r>
        <w:rPr>
          <w:rFonts w:ascii="Courier New" w:cs="Courier New" w:eastAsia="Courier New" w:hAnsi="Courier New"/>
          <w:sz w:val="16"/>
          <w:szCs w:val="16"/>
          <w:color w:val="auto"/>
        </w:rPr>
        <w:t>WASHINGTON, D.C. 20549</w:t>
      </w:r>
    </w:p>
    <w:p>
      <w:pPr>
        <w:spacing w:after="0" w:line="195" w:lineRule="exact"/>
        <w:rPr>
          <w:sz w:val="24"/>
          <w:szCs w:val="24"/>
          <w:color w:val="auto"/>
        </w:rPr>
      </w:pPr>
    </w:p>
    <w:p>
      <w:pPr>
        <w:ind w:left="352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jc w:val="center"/>
        <w:ind w:right="3700"/>
        <w:spacing w:after="0"/>
        <w:rPr>
          <w:sz w:val="20"/>
          <w:szCs w:val="20"/>
          <w:color w:val="auto"/>
        </w:rPr>
      </w:pPr>
      <w:r>
        <w:rPr>
          <w:rFonts w:ascii="Courier New" w:cs="Courier New" w:eastAsia="Courier New" w:hAnsi="Courier New"/>
          <w:sz w:val="16"/>
          <w:szCs w:val="16"/>
          <w:color w:val="auto"/>
        </w:rPr>
        <w:t>FORM S-8</w:t>
      </w:r>
    </w:p>
    <w:p>
      <w:pPr>
        <w:spacing w:after="0" w:line="7" w:lineRule="exact"/>
        <w:rPr>
          <w:sz w:val="24"/>
          <w:szCs w:val="24"/>
          <w:color w:val="auto"/>
        </w:rPr>
      </w:pPr>
    </w:p>
    <w:p>
      <w:pPr>
        <w:jc w:val="center"/>
        <w:ind w:right="3700"/>
        <w:spacing w:after="0"/>
        <w:rPr>
          <w:sz w:val="20"/>
          <w:szCs w:val="20"/>
          <w:color w:val="auto"/>
        </w:rPr>
      </w:pPr>
      <w:r>
        <w:rPr>
          <w:rFonts w:ascii="Courier New" w:cs="Courier New" w:eastAsia="Courier New" w:hAnsi="Courier New"/>
          <w:sz w:val="16"/>
          <w:szCs w:val="16"/>
          <w:color w:val="auto"/>
        </w:rPr>
        <w:t>REGISTRATION STATEMENT</w:t>
      </w:r>
    </w:p>
    <w:p>
      <w:pPr>
        <w:spacing w:after="0" w:line="7" w:lineRule="exact"/>
        <w:rPr>
          <w:sz w:val="24"/>
          <w:szCs w:val="24"/>
          <w:color w:val="auto"/>
        </w:rPr>
      </w:pPr>
    </w:p>
    <w:p>
      <w:pPr>
        <w:jc w:val="center"/>
        <w:ind w:right="3620"/>
        <w:spacing w:after="0"/>
        <w:rPr>
          <w:sz w:val="20"/>
          <w:szCs w:val="20"/>
          <w:color w:val="auto"/>
        </w:rPr>
      </w:pPr>
      <w:r>
        <w:rPr>
          <w:rFonts w:ascii="Courier New" w:cs="Courier New" w:eastAsia="Courier New" w:hAnsi="Courier New"/>
          <w:sz w:val="16"/>
          <w:szCs w:val="16"/>
          <w:color w:val="auto"/>
        </w:rPr>
        <w:t>UNDER</w:t>
      </w:r>
    </w:p>
    <w:p>
      <w:pPr>
        <w:spacing w:after="0" w:line="7" w:lineRule="exact"/>
        <w:rPr>
          <w:sz w:val="24"/>
          <w:szCs w:val="24"/>
          <w:color w:val="auto"/>
        </w:rPr>
      </w:pPr>
    </w:p>
    <w:p>
      <w:pPr>
        <w:jc w:val="center"/>
        <w:ind w:right="3700"/>
        <w:spacing w:after="0"/>
        <w:rPr>
          <w:sz w:val="20"/>
          <w:szCs w:val="20"/>
          <w:color w:val="auto"/>
        </w:rPr>
      </w:pPr>
      <w:r>
        <w:rPr>
          <w:rFonts w:ascii="Courier New" w:cs="Courier New" w:eastAsia="Courier New" w:hAnsi="Courier New"/>
          <w:sz w:val="16"/>
          <w:szCs w:val="16"/>
          <w:color w:val="auto"/>
        </w:rPr>
        <w:t>THE SECURITIES ACT OF 1933</w:t>
      </w:r>
    </w:p>
    <w:p>
      <w:pPr>
        <w:spacing w:after="0" w:line="195" w:lineRule="exact"/>
        <w:rPr>
          <w:sz w:val="24"/>
          <w:szCs w:val="24"/>
          <w:color w:val="auto"/>
        </w:rPr>
      </w:pPr>
    </w:p>
    <w:p>
      <w:pPr>
        <w:ind w:left="352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jc w:val="center"/>
        <w:ind w:right="3620"/>
        <w:spacing w:after="0"/>
        <w:rPr>
          <w:sz w:val="20"/>
          <w:szCs w:val="20"/>
          <w:color w:val="auto"/>
        </w:rPr>
      </w:pPr>
      <w:r>
        <w:rPr>
          <w:rFonts w:ascii="Courier New" w:cs="Courier New" w:eastAsia="Courier New" w:hAnsi="Courier New"/>
          <w:sz w:val="16"/>
          <w:szCs w:val="16"/>
          <w:color w:val="auto"/>
        </w:rPr>
        <w:t>STARWOOD FINANCIAL INC.</w:t>
      </w:r>
    </w:p>
    <w:p>
      <w:pPr>
        <w:spacing w:after="0" w:line="7" w:lineRule="exact"/>
        <w:rPr>
          <w:sz w:val="24"/>
          <w:szCs w:val="24"/>
          <w:color w:val="auto"/>
        </w:rPr>
      </w:pPr>
    </w:p>
    <w:p>
      <w:pPr>
        <w:jc w:val="center"/>
        <w:ind w:right="370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1520"/>
          </w:cols>
          <w:pgMar w:left="240" w:top="618" w:right="139" w:bottom="1440" w:gutter="0" w:footer="0" w:header="0"/>
        </w:sectPr>
      </w:pPr>
    </w:p>
    <w:p>
      <w:pPr>
        <w:spacing w:after="0" w:line="195" w:lineRule="exact"/>
        <w:rPr>
          <w:sz w:val="24"/>
          <w:szCs w:val="24"/>
          <w:color w:val="auto"/>
        </w:rPr>
      </w:pPr>
    </w:p>
    <w:p>
      <w:pPr>
        <w:ind w:left="980"/>
        <w:spacing w:after="0"/>
        <w:rPr>
          <w:sz w:val="20"/>
          <w:szCs w:val="20"/>
          <w:color w:val="auto"/>
        </w:rPr>
      </w:pPr>
      <w:r>
        <w:rPr>
          <w:rFonts w:ascii="Courier New" w:cs="Courier New" w:eastAsia="Courier New" w:hAnsi="Courier New"/>
          <w:sz w:val="16"/>
          <w:szCs w:val="16"/>
          <w:color w:val="auto"/>
        </w:rPr>
        <w:t>MARYLAND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APPLIED FOR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95" w:lineRule="exact"/>
        <w:rPr>
          <w:sz w:val="24"/>
          <w:szCs w:val="24"/>
          <w:color w:val="auto"/>
        </w:rPr>
      </w:pPr>
    </w:p>
    <w:p>
      <w:pPr>
        <w:sectPr>
          <w:pgSz w:w="11900" w:h="16838" w:orient="portrait"/>
          <w:cols w:equalWidth="0" w:num="2">
            <w:col w:w="4860" w:space="720"/>
            <w:col w:w="5940"/>
          </w:cols>
          <w:pgMar w:left="240" w:top="618" w:right="139" w:bottom="1440" w:gutter="0" w:footer="0" w:header="0"/>
          <w:type w:val="continuous"/>
        </w:sectPr>
      </w:pPr>
    </w:p>
    <w:p>
      <w:pPr>
        <w:jc w:val="center"/>
        <w:ind w:right="3600"/>
        <w:spacing w:after="0"/>
        <w:rPr>
          <w:sz w:val="20"/>
          <w:szCs w:val="20"/>
          <w:color w:val="auto"/>
        </w:rPr>
      </w:pPr>
      <w:r>
        <w:rPr>
          <w:rFonts w:ascii="Courier New" w:cs="Courier New" w:eastAsia="Courier New" w:hAnsi="Courier New"/>
          <w:sz w:val="16"/>
          <w:szCs w:val="16"/>
          <w:color w:val="auto"/>
        </w:rPr>
        <w:t>1114 AVENUE OF THE AMERICAS, 27TH FLOOR</w:t>
      </w:r>
    </w:p>
    <w:p>
      <w:pPr>
        <w:spacing w:after="0" w:line="7" w:lineRule="exact"/>
        <w:rPr>
          <w:sz w:val="24"/>
          <w:szCs w:val="24"/>
          <w:color w:val="auto"/>
        </w:rPr>
      </w:pPr>
    </w:p>
    <w:p>
      <w:pPr>
        <w:jc w:val="center"/>
        <w:ind w:right="3700"/>
        <w:spacing w:after="0"/>
        <w:rPr>
          <w:sz w:val="20"/>
          <w:szCs w:val="20"/>
          <w:color w:val="auto"/>
        </w:rPr>
      </w:pPr>
      <w:r>
        <w:rPr>
          <w:rFonts w:ascii="Courier New" w:cs="Courier New" w:eastAsia="Courier New" w:hAnsi="Courier New"/>
          <w:sz w:val="16"/>
          <w:szCs w:val="16"/>
          <w:color w:val="auto"/>
        </w:rPr>
        <w:t>NEW YORK, NEW YORK 10036</w:t>
      </w:r>
    </w:p>
    <w:p>
      <w:pPr>
        <w:spacing w:after="0" w:line="7" w:lineRule="exact"/>
        <w:rPr>
          <w:sz w:val="24"/>
          <w:szCs w:val="24"/>
          <w:color w:val="auto"/>
        </w:rPr>
      </w:pPr>
    </w:p>
    <w:p>
      <w:pPr>
        <w:jc w:val="center"/>
        <w:ind w:right="3700"/>
        <w:spacing w:after="0"/>
        <w:rPr>
          <w:sz w:val="20"/>
          <w:szCs w:val="20"/>
          <w:color w:val="auto"/>
        </w:rPr>
      </w:pPr>
      <w:r>
        <w:rPr>
          <w:rFonts w:ascii="Courier New" w:cs="Courier New" w:eastAsia="Courier New" w:hAnsi="Courier New"/>
          <w:sz w:val="16"/>
          <w:szCs w:val="16"/>
          <w:color w:val="auto"/>
        </w:rPr>
        <w:t>(212) 930-9400</w:t>
      </w:r>
    </w:p>
    <w:p>
      <w:pPr>
        <w:spacing w:after="0" w:line="195" w:lineRule="exact"/>
        <w:rPr>
          <w:sz w:val="24"/>
          <w:szCs w:val="24"/>
          <w:color w:val="auto"/>
        </w:rPr>
      </w:pPr>
    </w:p>
    <w:p>
      <w:pPr>
        <w:jc w:val="center"/>
        <w:ind w:right="3600"/>
        <w:spacing w:after="0"/>
        <w:rPr>
          <w:sz w:val="20"/>
          <w:szCs w:val="20"/>
          <w:color w:val="auto"/>
        </w:rPr>
      </w:pPr>
      <w:r>
        <w:rPr>
          <w:rFonts w:ascii="Courier New" w:cs="Courier New" w:eastAsia="Courier New" w:hAnsi="Courier New"/>
          <w:sz w:val="16"/>
          <w:szCs w:val="16"/>
          <w:color w:val="auto"/>
        </w:rPr>
        <w:t>(ADDRESS, INCLUDING ZIP CODE, AND TELEPHONE NUMBER, INCLUDING</w:t>
      </w:r>
    </w:p>
    <w:p>
      <w:pPr>
        <w:spacing w:after="0" w:line="7" w:lineRule="exact"/>
        <w:rPr>
          <w:sz w:val="24"/>
          <w:szCs w:val="24"/>
          <w:color w:val="auto"/>
        </w:rPr>
      </w:pPr>
    </w:p>
    <w:p>
      <w:pPr>
        <w:jc w:val="center"/>
        <w:ind w:right="3600"/>
        <w:spacing w:after="0"/>
        <w:rPr>
          <w:sz w:val="20"/>
          <w:szCs w:val="20"/>
          <w:color w:val="auto"/>
        </w:rPr>
      </w:pPr>
      <w:r>
        <w:rPr>
          <w:rFonts w:ascii="Courier New" w:cs="Courier New" w:eastAsia="Courier New" w:hAnsi="Courier New"/>
          <w:sz w:val="16"/>
          <w:szCs w:val="16"/>
          <w:color w:val="auto"/>
        </w:rPr>
        <w:t>AREA CODE, OF REGISTRANT'S PRINCIPAL EXECUTIVE OFFICES)</w:t>
      </w:r>
    </w:p>
    <w:p>
      <w:pPr>
        <w:spacing w:after="0" w:line="195" w:lineRule="exact"/>
        <w:rPr>
          <w:sz w:val="24"/>
          <w:szCs w:val="24"/>
          <w:color w:val="auto"/>
        </w:rPr>
      </w:pPr>
    </w:p>
    <w:p>
      <w:pPr>
        <w:ind w:left="980"/>
        <w:spacing w:after="0"/>
        <w:rPr>
          <w:sz w:val="20"/>
          <w:szCs w:val="20"/>
          <w:color w:val="auto"/>
        </w:rPr>
      </w:pPr>
      <w:r>
        <w:rPr>
          <w:rFonts w:ascii="Courier New" w:cs="Courier New" w:eastAsia="Courier New" w:hAnsi="Courier New"/>
          <w:sz w:val="16"/>
          <w:szCs w:val="16"/>
          <w:color w:val="auto"/>
        </w:rPr>
        <w:t>TRINET CORPORATE REALTY TRUST, INC. 1995 STOCK INCENTIVE PLAN</w:t>
      </w:r>
    </w:p>
    <w:p>
      <w:pPr>
        <w:spacing w:after="0" w:line="7" w:lineRule="exact"/>
        <w:rPr>
          <w:sz w:val="24"/>
          <w:szCs w:val="24"/>
          <w:color w:val="auto"/>
        </w:rPr>
      </w:pPr>
    </w:p>
    <w:p>
      <w:pPr>
        <w:ind w:left="980"/>
        <w:spacing w:after="0"/>
        <w:rPr>
          <w:sz w:val="20"/>
          <w:szCs w:val="20"/>
          <w:color w:val="auto"/>
        </w:rPr>
      </w:pPr>
      <w:r>
        <w:rPr>
          <w:rFonts w:ascii="Courier New" w:cs="Courier New" w:eastAsia="Courier New" w:hAnsi="Courier New"/>
          <w:sz w:val="16"/>
          <w:szCs w:val="16"/>
          <w:color w:val="auto"/>
        </w:rPr>
        <w:t>TRINET CORPORATE REALTY TRUST, INC. 1997 STOCK INCENTIVE PLAN</w:t>
      </w:r>
    </w:p>
    <w:p>
      <w:pPr>
        <w:spacing w:after="0" w:line="195" w:lineRule="exact"/>
        <w:rPr>
          <w:sz w:val="24"/>
          <w:szCs w:val="24"/>
          <w:color w:val="auto"/>
        </w:rPr>
      </w:pPr>
    </w:p>
    <w:p>
      <w:pPr>
        <w:ind w:left="312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ind w:left="3320"/>
        <w:spacing w:after="0"/>
        <w:rPr>
          <w:sz w:val="20"/>
          <w:szCs w:val="20"/>
          <w:color w:val="auto"/>
        </w:rPr>
      </w:pPr>
      <w:r>
        <w:rPr>
          <w:rFonts w:ascii="Courier New" w:cs="Courier New" w:eastAsia="Courier New" w:hAnsi="Courier New"/>
          <w:sz w:val="16"/>
          <w:szCs w:val="16"/>
          <w:color w:val="auto"/>
        </w:rPr>
        <w:t>JAY SUGARMAN</w:t>
      </w:r>
    </w:p>
    <w:p>
      <w:pPr>
        <w:spacing w:after="0" w:line="7" w:lineRule="exact"/>
        <w:rPr>
          <w:sz w:val="24"/>
          <w:szCs w:val="24"/>
          <w:color w:val="auto"/>
        </w:rPr>
      </w:pPr>
    </w:p>
    <w:p>
      <w:pPr>
        <w:ind w:left="2840"/>
        <w:spacing w:after="0"/>
        <w:rPr>
          <w:sz w:val="20"/>
          <w:szCs w:val="20"/>
          <w:color w:val="auto"/>
        </w:rPr>
      </w:pPr>
      <w:r>
        <w:rPr>
          <w:rFonts w:ascii="Courier New" w:cs="Courier New" w:eastAsia="Courier New" w:hAnsi="Courier New"/>
          <w:sz w:val="16"/>
          <w:szCs w:val="16"/>
          <w:color w:val="auto"/>
        </w:rPr>
        <w:t>CHIEF EXECUTIVE OFFICER</w:t>
      </w:r>
    </w:p>
    <w:p>
      <w:pPr>
        <w:spacing w:after="0" w:line="7" w:lineRule="exact"/>
        <w:rPr>
          <w:sz w:val="24"/>
          <w:szCs w:val="24"/>
          <w:color w:val="auto"/>
        </w:rPr>
      </w:pPr>
    </w:p>
    <w:p>
      <w:pPr>
        <w:ind w:left="2840"/>
        <w:spacing w:after="0"/>
        <w:rPr>
          <w:sz w:val="20"/>
          <w:szCs w:val="20"/>
          <w:color w:val="auto"/>
        </w:rPr>
      </w:pPr>
      <w:r>
        <w:rPr>
          <w:rFonts w:ascii="Courier New" w:cs="Courier New" w:eastAsia="Courier New" w:hAnsi="Courier New"/>
          <w:sz w:val="16"/>
          <w:szCs w:val="16"/>
          <w:color w:val="auto"/>
        </w:rPr>
        <w:t>STARWOOD FINANCIAL INC.</w:t>
      </w:r>
    </w:p>
    <w:p>
      <w:pPr>
        <w:spacing w:after="0" w:line="7" w:lineRule="exact"/>
        <w:rPr>
          <w:sz w:val="24"/>
          <w:szCs w:val="24"/>
          <w:color w:val="auto"/>
        </w:rPr>
      </w:pPr>
    </w:p>
    <w:p>
      <w:pPr>
        <w:ind w:left="2060"/>
        <w:spacing w:after="0"/>
        <w:rPr>
          <w:sz w:val="20"/>
          <w:szCs w:val="20"/>
          <w:color w:val="auto"/>
        </w:rPr>
      </w:pPr>
      <w:r>
        <w:rPr>
          <w:rFonts w:ascii="Courier New" w:cs="Courier New" w:eastAsia="Courier New" w:hAnsi="Courier New"/>
          <w:sz w:val="16"/>
          <w:szCs w:val="16"/>
          <w:color w:val="auto"/>
        </w:rPr>
        <w:t>1114 AVENUE OF THE AMERICAS, 27TH FLOOR</w:t>
      </w:r>
    </w:p>
    <w:p>
      <w:pPr>
        <w:spacing w:after="0" w:line="7"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NEW YORK, NEW YORK 10036</w:t>
      </w:r>
    </w:p>
    <w:p>
      <w:pPr>
        <w:spacing w:after="0" w:line="7" w:lineRule="exact"/>
        <w:rPr>
          <w:sz w:val="24"/>
          <w:szCs w:val="24"/>
          <w:color w:val="auto"/>
        </w:rPr>
      </w:pPr>
    </w:p>
    <w:p>
      <w:pPr>
        <w:ind w:left="3220"/>
        <w:spacing w:after="0"/>
        <w:rPr>
          <w:sz w:val="20"/>
          <w:szCs w:val="20"/>
          <w:color w:val="auto"/>
        </w:rPr>
      </w:pPr>
      <w:r>
        <w:rPr>
          <w:rFonts w:ascii="Courier New" w:cs="Courier New" w:eastAsia="Courier New" w:hAnsi="Courier New"/>
          <w:sz w:val="16"/>
          <w:szCs w:val="16"/>
          <w:color w:val="auto"/>
        </w:rPr>
        <w:t>(212) 930-9400</w:t>
      </w:r>
    </w:p>
    <w:p>
      <w:pPr>
        <w:spacing w:after="0" w:line="195" w:lineRule="exact"/>
        <w:rPr>
          <w:sz w:val="24"/>
          <w:szCs w:val="24"/>
          <w:color w:val="auto"/>
        </w:rPr>
      </w:pPr>
    </w:p>
    <w:p>
      <w:pPr>
        <w:jc w:val="center"/>
        <w:ind w:right="3600"/>
        <w:spacing w:after="0"/>
        <w:rPr>
          <w:sz w:val="20"/>
          <w:szCs w:val="20"/>
          <w:color w:val="auto"/>
        </w:rPr>
      </w:pPr>
      <w:r>
        <w:rPr>
          <w:rFonts w:ascii="Courier New" w:cs="Courier New" w:eastAsia="Courier New" w:hAnsi="Courier New"/>
          <w:sz w:val="16"/>
          <w:szCs w:val="16"/>
          <w:color w:val="auto"/>
        </w:rPr>
        <w:t>(NAME, ADDRESS INCLUDING ZIP CODE AND</w:t>
      </w:r>
    </w:p>
    <w:p>
      <w:pPr>
        <w:spacing w:after="0" w:line="7" w:lineRule="exact"/>
        <w:rPr>
          <w:sz w:val="24"/>
          <w:szCs w:val="24"/>
          <w:color w:val="auto"/>
        </w:rPr>
      </w:pPr>
    </w:p>
    <w:p>
      <w:pPr>
        <w:jc w:val="center"/>
        <w:ind w:right="3600"/>
        <w:spacing w:after="0"/>
        <w:rPr>
          <w:sz w:val="20"/>
          <w:szCs w:val="20"/>
          <w:color w:val="auto"/>
        </w:rPr>
      </w:pPr>
      <w:r>
        <w:rPr>
          <w:rFonts w:ascii="Courier New" w:cs="Courier New" w:eastAsia="Courier New" w:hAnsi="Courier New"/>
          <w:sz w:val="16"/>
          <w:szCs w:val="16"/>
          <w:color w:val="auto"/>
        </w:rPr>
        <w:t>TELEPHONE NUMBER, INCLUDING AREA CODE OF AGENT FOR SERVICE)</w:t>
      </w:r>
    </w:p>
    <w:p>
      <w:pPr>
        <w:spacing w:after="0" w:line="195" w:lineRule="exact"/>
        <w:rPr>
          <w:sz w:val="24"/>
          <w:szCs w:val="24"/>
          <w:color w:val="auto"/>
        </w:rPr>
      </w:pPr>
    </w:p>
    <w:p>
      <w:pPr>
        <w:jc w:val="center"/>
        <w:ind w:right="3600"/>
        <w:spacing w:after="0"/>
        <w:rPr>
          <w:sz w:val="20"/>
          <w:szCs w:val="20"/>
          <w:color w:val="auto"/>
        </w:rPr>
      </w:pPr>
      <w:r>
        <w:rPr>
          <w:rFonts w:ascii="Courier New" w:cs="Courier New" w:eastAsia="Courier New" w:hAnsi="Courier New"/>
          <w:sz w:val="16"/>
          <w:szCs w:val="16"/>
          <w:color w:val="auto"/>
        </w:rPr>
        <w:t>with a copy to:</w:t>
      </w:r>
    </w:p>
    <w:p>
      <w:pPr>
        <w:spacing w:after="0" w:line="7" w:lineRule="exact"/>
        <w:rPr>
          <w:sz w:val="24"/>
          <w:szCs w:val="24"/>
          <w:color w:val="auto"/>
        </w:rPr>
      </w:pPr>
    </w:p>
    <w:p>
      <w:pPr>
        <w:jc w:val="center"/>
        <w:ind w:right="3600"/>
        <w:spacing w:after="0"/>
        <w:rPr>
          <w:sz w:val="20"/>
          <w:szCs w:val="20"/>
          <w:color w:val="auto"/>
        </w:rPr>
      </w:pPr>
      <w:r>
        <w:rPr>
          <w:rFonts w:ascii="Courier New" w:cs="Courier New" w:eastAsia="Courier New" w:hAnsi="Courier New"/>
          <w:sz w:val="16"/>
          <w:szCs w:val="16"/>
          <w:color w:val="auto"/>
        </w:rPr>
        <w:t>ROBERT E. KING, JR., ESQ.</w:t>
      </w:r>
    </w:p>
    <w:p>
      <w:pPr>
        <w:spacing w:after="0" w:line="7" w:lineRule="exact"/>
        <w:rPr>
          <w:sz w:val="24"/>
          <w:szCs w:val="24"/>
          <w:color w:val="auto"/>
        </w:rPr>
      </w:pPr>
    </w:p>
    <w:p>
      <w:pPr>
        <w:jc w:val="center"/>
        <w:ind w:right="3700"/>
        <w:spacing w:after="0"/>
        <w:rPr>
          <w:sz w:val="20"/>
          <w:szCs w:val="20"/>
          <w:color w:val="auto"/>
        </w:rPr>
      </w:pPr>
      <w:r>
        <w:rPr>
          <w:rFonts w:ascii="Courier New" w:cs="Courier New" w:eastAsia="Courier New" w:hAnsi="Courier New"/>
          <w:sz w:val="16"/>
          <w:szCs w:val="16"/>
          <w:color w:val="auto"/>
        </w:rPr>
        <w:t>ROGERS &amp; WELLS LLP</w:t>
      </w:r>
    </w:p>
    <w:p>
      <w:pPr>
        <w:spacing w:after="0" w:line="7" w:lineRule="exact"/>
        <w:rPr>
          <w:sz w:val="24"/>
          <w:szCs w:val="24"/>
          <w:color w:val="auto"/>
        </w:rPr>
      </w:pPr>
    </w:p>
    <w:p>
      <w:pPr>
        <w:jc w:val="center"/>
        <w:ind w:right="3600"/>
        <w:spacing w:after="0"/>
        <w:rPr>
          <w:sz w:val="20"/>
          <w:szCs w:val="20"/>
          <w:color w:val="auto"/>
        </w:rPr>
      </w:pPr>
      <w:r>
        <w:rPr>
          <w:rFonts w:ascii="Courier New" w:cs="Courier New" w:eastAsia="Courier New" w:hAnsi="Courier New"/>
          <w:sz w:val="16"/>
          <w:szCs w:val="16"/>
          <w:color w:val="auto"/>
        </w:rPr>
        <w:t>200 PARK AVENUE</w:t>
      </w:r>
    </w:p>
    <w:p>
      <w:pPr>
        <w:spacing w:after="0" w:line="7" w:lineRule="exact"/>
        <w:rPr>
          <w:sz w:val="24"/>
          <w:szCs w:val="24"/>
          <w:color w:val="auto"/>
        </w:rPr>
      </w:pPr>
    </w:p>
    <w:p>
      <w:pPr>
        <w:jc w:val="center"/>
        <w:ind w:right="3700"/>
        <w:spacing w:after="0"/>
        <w:rPr>
          <w:sz w:val="20"/>
          <w:szCs w:val="20"/>
          <w:color w:val="auto"/>
        </w:rPr>
      </w:pPr>
      <w:r>
        <w:rPr>
          <w:rFonts w:ascii="Courier New" w:cs="Courier New" w:eastAsia="Courier New" w:hAnsi="Courier New"/>
          <w:sz w:val="16"/>
          <w:szCs w:val="16"/>
          <w:color w:val="auto"/>
        </w:rPr>
        <w:t>NEW YORK, NEW YORK 10166</w:t>
      </w:r>
    </w:p>
    <w:p>
      <w:pPr>
        <w:spacing w:after="0" w:line="7" w:lineRule="exact"/>
        <w:rPr>
          <w:sz w:val="24"/>
          <w:szCs w:val="24"/>
          <w:color w:val="auto"/>
        </w:rPr>
      </w:pPr>
    </w:p>
    <w:p>
      <w:pPr>
        <w:jc w:val="center"/>
        <w:ind w:right="3700"/>
        <w:spacing w:after="0"/>
        <w:rPr>
          <w:sz w:val="20"/>
          <w:szCs w:val="20"/>
          <w:color w:val="auto"/>
        </w:rPr>
      </w:pPr>
      <w:r>
        <w:rPr>
          <w:rFonts w:ascii="Courier New" w:cs="Courier New" w:eastAsia="Courier New" w:hAnsi="Courier New"/>
          <w:sz w:val="16"/>
          <w:szCs w:val="16"/>
          <w:color w:val="auto"/>
        </w:rPr>
        <w:t>(212) 878-8000</w:t>
      </w:r>
    </w:p>
    <w:p>
      <w:pPr>
        <w:spacing w:after="0" w:line="200" w:lineRule="exact"/>
        <w:rPr>
          <w:sz w:val="24"/>
          <w:szCs w:val="24"/>
          <w:color w:val="auto"/>
        </w:rPr>
      </w:pPr>
    </w:p>
    <w:p>
      <w:pPr>
        <w:spacing w:after="0" w:line="371" w:lineRule="exact"/>
        <w:rPr>
          <w:sz w:val="24"/>
          <w:szCs w:val="24"/>
          <w:color w:val="auto"/>
        </w:rPr>
      </w:pPr>
    </w:p>
    <w:p>
      <w:pPr>
        <w:ind w:left="2440"/>
        <w:spacing w:after="0"/>
        <w:rPr>
          <w:sz w:val="20"/>
          <w:szCs w:val="20"/>
          <w:color w:val="auto"/>
        </w:rPr>
      </w:pPr>
      <w:r>
        <w:rPr>
          <w:rFonts w:ascii="Courier New" w:cs="Courier New" w:eastAsia="Courier New" w:hAnsi="Courier New"/>
          <w:sz w:val="16"/>
          <w:szCs w:val="16"/>
          <w:color w:val="auto"/>
        </w:rPr>
        <w:t>CALCULATION OF REGISTRATION FEE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 --------------------- -------------------- -------------------</w:t>
      </w:r>
    </w:p>
    <w:p>
      <w:pPr>
        <w:spacing w:after="0" w:line="7" w:lineRule="exact"/>
        <w:rPr>
          <w:sz w:val="24"/>
          <w:szCs w:val="24"/>
          <w:color w:val="auto"/>
        </w:rPr>
      </w:pPr>
    </w:p>
    <w:tbl>
      <w:tblPr>
        <w:tblLayout w:type="fixed"/>
        <w:tblInd w:w="200" w:type="dxa"/>
        <w:tblCellMar>
          <w:top w:w="0" w:type="dxa"/>
          <w:left w:w="0" w:type="dxa"/>
          <w:bottom w:w="0" w:type="dxa"/>
          <w:right w:w="0" w:type="dxa"/>
        </w:tblCellMar>
      </w:tblPr>
      <w:tr>
        <w:trPr>
          <w:trHeight w:val="184"/>
        </w:trPr>
        <w:tc>
          <w:tcPr>
            <w:tcW w:w="2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100" w:type="dxa"/>
            <w:vAlign w:val="bottom"/>
          </w:tcPr>
          <w:p>
            <w:pPr>
              <w:jc w:val="center"/>
              <w:ind w:left="39"/>
              <w:spacing w:after="0"/>
              <w:rPr>
                <w:sz w:val="20"/>
                <w:szCs w:val="20"/>
                <w:color w:val="auto"/>
              </w:rPr>
            </w:pPr>
            <w:r>
              <w:rPr>
                <w:rFonts w:ascii="Courier New" w:cs="Courier New" w:eastAsia="Courier New" w:hAnsi="Courier New"/>
                <w:sz w:val="16"/>
                <w:szCs w:val="16"/>
                <w:color w:val="auto"/>
              </w:rPr>
              <w:t>Proposed</w:t>
            </w:r>
          </w:p>
        </w:tc>
        <w:tc>
          <w:tcPr>
            <w:tcW w:w="22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8"/>
        </w:trPr>
        <w:tc>
          <w:tcPr>
            <w:tcW w:w="2840" w:type="dxa"/>
            <w:vAlign w:val="bottom"/>
          </w:tcPr>
          <w:p>
            <w:pPr>
              <w:spacing w:after="0"/>
              <w:rPr>
                <w:sz w:val="16"/>
                <w:szCs w:val="16"/>
                <w:color w:val="auto"/>
              </w:rPr>
            </w:pPr>
          </w:p>
        </w:tc>
        <w:tc>
          <w:tcPr>
            <w:tcW w:w="2100" w:type="dxa"/>
            <w:vAlign w:val="bottom"/>
          </w:tcPr>
          <w:p>
            <w:pPr>
              <w:ind w:left="780"/>
              <w:spacing w:after="0"/>
              <w:rPr>
                <w:sz w:val="20"/>
                <w:szCs w:val="20"/>
                <w:color w:val="auto"/>
              </w:rPr>
            </w:pPr>
            <w:r>
              <w:rPr>
                <w:rFonts w:ascii="Courier New" w:cs="Courier New" w:eastAsia="Courier New" w:hAnsi="Courier New"/>
                <w:sz w:val="16"/>
                <w:szCs w:val="16"/>
                <w:color w:val="auto"/>
              </w:rPr>
              <w:t>Amount</w:t>
            </w:r>
          </w:p>
        </w:tc>
        <w:tc>
          <w:tcPr>
            <w:tcW w:w="2100" w:type="dxa"/>
            <w:vAlign w:val="bottom"/>
          </w:tcPr>
          <w:p>
            <w:pPr>
              <w:ind w:left="720"/>
              <w:spacing w:after="0"/>
              <w:rPr>
                <w:sz w:val="20"/>
                <w:szCs w:val="20"/>
                <w:color w:val="auto"/>
              </w:rPr>
            </w:pPr>
            <w:r>
              <w:rPr>
                <w:rFonts w:ascii="Courier New" w:cs="Courier New" w:eastAsia="Courier New" w:hAnsi="Courier New"/>
                <w:sz w:val="16"/>
                <w:szCs w:val="16"/>
                <w:color w:val="auto"/>
              </w:rPr>
              <w:t>Maximum</w:t>
            </w:r>
          </w:p>
        </w:tc>
        <w:tc>
          <w:tcPr>
            <w:tcW w:w="2240" w:type="dxa"/>
            <w:vAlign w:val="bottom"/>
          </w:tcPr>
          <w:p>
            <w:pPr>
              <w:ind w:left="680"/>
              <w:spacing w:after="0"/>
              <w:rPr>
                <w:sz w:val="20"/>
                <w:szCs w:val="20"/>
                <w:color w:val="auto"/>
              </w:rPr>
            </w:pPr>
            <w:r>
              <w:rPr>
                <w:rFonts w:ascii="Courier New" w:cs="Courier New" w:eastAsia="Courier New" w:hAnsi="Courier New"/>
                <w:sz w:val="16"/>
                <w:szCs w:val="16"/>
                <w:color w:val="auto"/>
              </w:rPr>
              <w:t>Proposed</w:t>
            </w:r>
          </w:p>
        </w:tc>
        <w:tc>
          <w:tcPr>
            <w:tcW w:w="1460" w:type="dxa"/>
            <w:vAlign w:val="bottom"/>
          </w:tcPr>
          <w:p>
            <w:pPr>
              <w:ind w:left="400"/>
              <w:spacing w:after="0"/>
              <w:rPr>
                <w:sz w:val="20"/>
                <w:szCs w:val="20"/>
                <w:color w:val="auto"/>
              </w:rPr>
            </w:pPr>
            <w:r>
              <w:rPr>
                <w:rFonts w:ascii="Courier New" w:cs="Courier New" w:eastAsia="Courier New" w:hAnsi="Courier New"/>
                <w:sz w:val="16"/>
                <w:szCs w:val="16"/>
                <w:color w:val="auto"/>
              </w:rPr>
              <w:t>Amount of</w:t>
            </w:r>
          </w:p>
        </w:tc>
      </w:tr>
      <w:tr>
        <w:trPr>
          <w:trHeight w:val="188"/>
        </w:trPr>
        <w:tc>
          <w:tcPr>
            <w:tcW w:w="2840" w:type="dxa"/>
            <w:vAlign w:val="bottom"/>
          </w:tcPr>
          <w:p>
            <w:pPr>
              <w:spacing w:after="0"/>
              <w:rPr>
                <w:sz w:val="20"/>
                <w:szCs w:val="20"/>
                <w:color w:val="auto"/>
              </w:rPr>
            </w:pPr>
            <w:r>
              <w:rPr>
                <w:rFonts w:ascii="Courier New" w:cs="Courier New" w:eastAsia="Courier New" w:hAnsi="Courier New"/>
                <w:sz w:val="16"/>
                <w:szCs w:val="16"/>
                <w:color w:val="auto"/>
              </w:rPr>
              <w:t>Title of Securities to be</w:t>
            </w:r>
          </w:p>
        </w:tc>
        <w:tc>
          <w:tcPr>
            <w:tcW w:w="2100" w:type="dxa"/>
            <w:vAlign w:val="bottom"/>
          </w:tcPr>
          <w:p>
            <w:pPr>
              <w:ind w:left="780"/>
              <w:spacing w:after="0"/>
              <w:rPr>
                <w:sz w:val="20"/>
                <w:szCs w:val="20"/>
                <w:color w:val="auto"/>
              </w:rPr>
            </w:pPr>
            <w:r>
              <w:rPr>
                <w:rFonts w:ascii="Courier New" w:cs="Courier New" w:eastAsia="Courier New" w:hAnsi="Courier New"/>
                <w:sz w:val="16"/>
                <w:szCs w:val="16"/>
                <w:color w:val="auto"/>
              </w:rPr>
              <w:t>to be</w:t>
            </w:r>
          </w:p>
        </w:tc>
        <w:tc>
          <w:tcPr>
            <w:tcW w:w="2100" w:type="dxa"/>
            <w:vAlign w:val="bottom"/>
          </w:tcPr>
          <w:p>
            <w:pPr>
              <w:jc w:val="center"/>
              <w:ind w:left="59"/>
              <w:spacing w:after="0"/>
              <w:rPr>
                <w:sz w:val="20"/>
                <w:szCs w:val="20"/>
                <w:color w:val="auto"/>
              </w:rPr>
            </w:pPr>
            <w:r>
              <w:rPr>
                <w:rFonts w:ascii="Courier New" w:cs="Courier New" w:eastAsia="Courier New" w:hAnsi="Courier New"/>
                <w:sz w:val="16"/>
                <w:szCs w:val="16"/>
                <w:color w:val="auto"/>
              </w:rPr>
              <w:t>Offering Price</w:t>
            </w:r>
          </w:p>
        </w:tc>
        <w:tc>
          <w:tcPr>
            <w:tcW w:w="2240" w:type="dxa"/>
            <w:vAlign w:val="bottom"/>
          </w:tcPr>
          <w:p>
            <w:pPr>
              <w:ind w:left="280"/>
              <w:spacing w:after="0"/>
              <w:rPr>
                <w:sz w:val="20"/>
                <w:szCs w:val="20"/>
                <w:color w:val="auto"/>
              </w:rPr>
            </w:pPr>
            <w:r>
              <w:rPr>
                <w:rFonts w:ascii="Courier New" w:cs="Courier New" w:eastAsia="Courier New" w:hAnsi="Courier New"/>
                <w:sz w:val="16"/>
                <w:szCs w:val="16"/>
                <w:color w:val="auto"/>
              </w:rPr>
              <w:t>Maximum Aggregate</w:t>
            </w:r>
          </w:p>
        </w:tc>
        <w:tc>
          <w:tcPr>
            <w:tcW w:w="1460" w:type="dxa"/>
            <w:vAlign w:val="bottom"/>
          </w:tcPr>
          <w:p>
            <w:pPr>
              <w:ind w:left="300"/>
              <w:spacing w:after="0"/>
              <w:rPr>
                <w:sz w:val="20"/>
                <w:szCs w:val="20"/>
                <w:color w:val="auto"/>
              </w:rPr>
            </w:pPr>
            <w:r>
              <w:rPr>
                <w:rFonts w:ascii="Courier New" w:cs="Courier New" w:eastAsia="Courier New" w:hAnsi="Courier New"/>
                <w:sz w:val="16"/>
                <w:szCs w:val="16"/>
                <w:color w:val="auto"/>
                <w:w w:val="98"/>
              </w:rPr>
              <w:t>Registration</w:t>
            </w:r>
          </w:p>
        </w:tc>
      </w:tr>
      <w:tr>
        <w:trPr>
          <w:trHeight w:val="188"/>
        </w:trPr>
        <w:tc>
          <w:tcPr>
            <w:tcW w:w="2840" w:type="dxa"/>
            <w:vAlign w:val="bottom"/>
          </w:tcPr>
          <w:p>
            <w:pPr>
              <w:ind w:left="780"/>
              <w:spacing w:after="0"/>
              <w:rPr>
                <w:sz w:val="20"/>
                <w:szCs w:val="20"/>
                <w:color w:val="auto"/>
              </w:rPr>
            </w:pPr>
            <w:r>
              <w:rPr>
                <w:rFonts w:ascii="Courier New" w:cs="Courier New" w:eastAsia="Courier New" w:hAnsi="Courier New"/>
                <w:sz w:val="16"/>
                <w:szCs w:val="16"/>
                <w:color w:val="auto"/>
              </w:rPr>
              <w:t>Registered</w:t>
            </w:r>
          </w:p>
        </w:tc>
        <w:tc>
          <w:tcPr>
            <w:tcW w:w="2100" w:type="dxa"/>
            <w:vAlign w:val="bottom"/>
          </w:tcPr>
          <w:p>
            <w:pPr>
              <w:ind w:left="380"/>
              <w:spacing w:after="0"/>
              <w:rPr>
                <w:sz w:val="20"/>
                <w:szCs w:val="20"/>
                <w:color w:val="auto"/>
              </w:rPr>
            </w:pPr>
            <w:r>
              <w:rPr>
                <w:rFonts w:ascii="Courier New" w:cs="Courier New" w:eastAsia="Courier New" w:hAnsi="Courier New"/>
                <w:sz w:val="16"/>
                <w:szCs w:val="16"/>
                <w:color w:val="auto"/>
              </w:rPr>
              <w:t>Registered(1)</w:t>
            </w:r>
          </w:p>
        </w:tc>
        <w:tc>
          <w:tcPr>
            <w:tcW w:w="2100" w:type="dxa"/>
            <w:vAlign w:val="bottom"/>
          </w:tcPr>
          <w:p>
            <w:pPr>
              <w:jc w:val="center"/>
              <w:ind w:left="39"/>
              <w:spacing w:after="0"/>
              <w:rPr>
                <w:sz w:val="20"/>
                <w:szCs w:val="20"/>
                <w:color w:val="auto"/>
              </w:rPr>
            </w:pPr>
            <w:r>
              <w:rPr>
                <w:rFonts w:ascii="Courier New" w:cs="Courier New" w:eastAsia="Courier New" w:hAnsi="Courier New"/>
                <w:sz w:val="16"/>
                <w:szCs w:val="16"/>
                <w:color w:val="auto"/>
              </w:rPr>
              <w:t>Per Share(2)</w:t>
            </w:r>
          </w:p>
        </w:tc>
        <w:tc>
          <w:tcPr>
            <w:tcW w:w="2240" w:type="dxa"/>
            <w:vAlign w:val="bottom"/>
          </w:tcPr>
          <w:p>
            <w:pPr>
              <w:ind w:left="480"/>
              <w:spacing w:after="0"/>
              <w:rPr>
                <w:sz w:val="20"/>
                <w:szCs w:val="20"/>
                <w:color w:val="auto"/>
              </w:rPr>
            </w:pPr>
            <w:r>
              <w:rPr>
                <w:rFonts w:ascii="Courier New" w:cs="Courier New" w:eastAsia="Courier New" w:hAnsi="Courier New"/>
                <w:sz w:val="16"/>
                <w:szCs w:val="16"/>
                <w:color w:val="auto"/>
              </w:rPr>
              <w:t>Offering Price</w:t>
            </w:r>
          </w:p>
        </w:tc>
        <w:tc>
          <w:tcPr>
            <w:tcW w:w="1460" w:type="dxa"/>
            <w:vAlign w:val="bottom"/>
          </w:tcPr>
          <w:p>
            <w:pPr>
              <w:ind w:left="780"/>
              <w:spacing w:after="0"/>
              <w:rPr>
                <w:sz w:val="20"/>
                <w:szCs w:val="20"/>
                <w:color w:val="auto"/>
              </w:rPr>
            </w:pPr>
            <w:r>
              <w:rPr>
                <w:rFonts w:ascii="Courier New" w:cs="Courier New" w:eastAsia="Courier New" w:hAnsi="Courier New"/>
                <w:sz w:val="16"/>
                <w:szCs w:val="16"/>
                <w:color w:val="auto"/>
              </w:rPr>
              <w:t>Fee</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 --------------------- -------------------- -------------------</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Stock, par value $.001</w:t>
      </w:r>
    </w:p>
    <w:p>
      <w:pPr>
        <w:spacing w:after="0" w:line="7" w:lineRule="exact"/>
        <w:rPr>
          <w:sz w:val="24"/>
          <w:szCs w:val="24"/>
          <w:color w:val="auto"/>
        </w:rPr>
      </w:pPr>
    </w:p>
    <w:p>
      <w:pPr>
        <w:spacing w:after="0"/>
        <w:tabs>
          <w:tab w:leader="none" w:pos="3100" w:val="left"/>
          <w:tab w:leader="none" w:pos="5260" w:val="left"/>
          <w:tab w:leader="none" w:pos="7400" w:val="left"/>
          <w:tab w:leader="none" w:pos="9460" w:val="left"/>
        </w:tabs>
        <w:rPr>
          <w:sz w:val="20"/>
          <w:szCs w:val="20"/>
          <w:color w:val="auto"/>
        </w:rPr>
      </w:pPr>
      <w:r>
        <w:rPr>
          <w:rFonts w:ascii="Courier New" w:cs="Courier New" w:eastAsia="Courier New" w:hAnsi="Courier New"/>
          <w:sz w:val="16"/>
          <w:szCs w:val="16"/>
          <w:color w:val="auto"/>
        </w:rPr>
        <w:t>per share</w:t>
      </w:r>
      <w:r>
        <w:rPr>
          <w:sz w:val="20"/>
          <w:szCs w:val="20"/>
          <w:color w:val="auto"/>
        </w:rPr>
        <w:tab/>
      </w:r>
      <w:r>
        <w:rPr>
          <w:rFonts w:ascii="Courier New" w:cs="Courier New" w:eastAsia="Courier New" w:hAnsi="Courier New"/>
          <w:sz w:val="16"/>
          <w:szCs w:val="16"/>
          <w:color w:val="auto"/>
        </w:rPr>
        <w:t>726,410</w:t>
      </w:r>
      <w:r>
        <w:rPr>
          <w:sz w:val="20"/>
          <w:szCs w:val="20"/>
          <w:color w:val="auto"/>
        </w:rPr>
        <w:tab/>
      </w:r>
      <w:r>
        <w:rPr>
          <w:rFonts w:ascii="Courier New" w:cs="Courier New" w:eastAsia="Courier New" w:hAnsi="Courier New"/>
          <w:sz w:val="16"/>
          <w:szCs w:val="16"/>
          <w:color w:val="auto"/>
        </w:rPr>
        <w:t>$20.45</w:t>
      </w:r>
      <w:r>
        <w:rPr>
          <w:sz w:val="20"/>
          <w:szCs w:val="20"/>
          <w:color w:val="auto"/>
        </w:rPr>
        <w:tab/>
      </w:r>
      <w:r>
        <w:rPr>
          <w:rFonts w:ascii="Courier New" w:cs="Courier New" w:eastAsia="Courier New" w:hAnsi="Courier New"/>
          <w:sz w:val="16"/>
          <w:szCs w:val="16"/>
          <w:color w:val="auto"/>
        </w:rPr>
        <w:t>$14,855,084</w:t>
      </w:r>
      <w:r>
        <w:rPr>
          <w:sz w:val="20"/>
          <w:szCs w:val="20"/>
          <w:color w:val="auto"/>
        </w:rPr>
        <w:tab/>
      </w:r>
      <w:r>
        <w:rPr>
          <w:rFonts w:ascii="Courier New" w:cs="Courier New" w:eastAsia="Courier New" w:hAnsi="Courier New"/>
          <w:sz w:val="16"/>
          <w:szCs w:val="16"/>
          <w:color w:val="auto"/>
        </w:rPr>
        <w:t>$4,129.71</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 ==================== ===================</w:t>
      </w:r>
    </w:p>
    <w:p>
      <w:pPr>
        <w:spacing w:after="0" w:line="383" w:lineRule="exact"/>
        <w:rPr>
          <w:sz w:val="24"/>
          <w:szCs w:val="24"/>
          <w:color w:val="auto"/>
        </w:rPr>
      </w:pPr>
    </w:p>
    <w:p>
      <w:pPr>
        <w:ind w:left="400" w:right="4000" w:hanging="400"/>
        <w:spacing w:after="0" w:line="248" w:lineRule="auto"/>
        <w:tabs>
          <w:tab w:leader="none" w:pos="4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11,084 for the TriNet Corporate Realty Trust Inc. 1995 Stock Incentive Plan and 620,577 shares TriNet Corporate Realty Trust Inc. 1997 Stock Incentive Plan. Any additional shares to be issued as a result of stock dividends, stock splits or similar transactions prior to the termination of this Registration Statement shall be covered by this Registration Statement as provided in Rule 416.</w:t>
      </w:r>
    </w:p>
    <w:p>
      <w:pPr>
        <w:spacing w:after="0" w:line="3" w:lineRule="exact"/>
        <w:rPr>
          <w:rFonts w:ascii="Courier New" w:cs="Courier New" w:eastAsia="Courier New" w:hAnsi="Courier New"/>
          <w:sz w:val="16"/>
          <w:szCs w:val="16"/>
          <w:color w:val="auto"/>
        </w:rPr>
      </w:pPr>
    </w:p>
    <w:p>
      <w:pPr>
        <w:ind w:left="400" w:right="4100" w:hanging="400"/>
        <w:spacing w:after="0" w:line="249" w:lineRule="auto"/>
        <w:tabs>
          <w:tab w:leader="none" w:pos="4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calculating the registration fee, pursuant to Rule 457(c), on the basis of the average of the high and low prices of the Registrant's Common Stock reported in the consolidated reporting system on the New York Stock Exchange Composite Tape on November 4, 1999.</w:t>
      </w:r>
    </w:p>
    <w:p>
      <w:pPr>
        <w:sectPr>
          <w:pgSz w:w="11900" w:h="16838" w:orient="portrait"/>
          <w:cols w:equalWidth="0" w:num="1">
            <w:col w:w="11520"/>
          </w:cols>
          <w:pgMar w:left="240" w:top="618" w:right="139" w:bottom="1440" w:gutter="0" w:footer="0" w:header="0"/>
          <w:type w:val="continuous"/>
        </w:sectPr>
      </w:pPr>
    </w:p>
    <w:bookmarkStart w:id="1" w:name="page2"/>
    <w:bookmarkEnd w:id="1"/>
    <w:p>
      <w:pPr>
        <w:jc w:val="center"/>
        <w:ind w:right="2399"/>
        <w:spacing w:after="0"/>
        <w:rPr>
          <w:sz w:val="20"/>
          <w:szCs w:val="20"/>
          <w:color w:val="auto"/>
        </w:rPr>
      </w:pPr>
      <w:r>
        <w:rPr>
          <w:rFonts w:ascii="Courier New" w:cs="Courier New" w:eastAsia="Courier New" w:hAnsi="Courier New"/>
          <w:sz w:val="16"/>
          <w:szCs w:val="16"/>
          <w:color w:val="auto"/>
        </w:rPr>
        <w:t>PART I</w:t>
      </w:r>
    </w:p>
    <w:p>
      <w:pPr>
        <w:spacing w:after="0" w:line="195"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INFORMATION REQUIRED IN THE SECTION 10(A) PROSPECTUS</w:t>
      </w:r>
    </w:p>
    <w:p>
      <w:pPr>
        <w:spacing w:after="0" w:line="195"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The information specified by Item 1 and 2 of Part I of Form S-8 is omitted from this filing in accordance with the provisions of Rule 428 under the Securities Act of 1933, as amended and the introductory note to Part I of Form S-8.</w:t>
      </w:r>
    </w:p>
    <w:p>
      <w:pPr>
        <w:sectPr>
          <w:pgSz w:w="11900" w:h="16838" w:orient="portrait"/>
          <w:cols w:equalWidth="0" w:num="1">
            <w:col w:w="10219"/>
          </w:cols>
          <w:pgMar w:left="240" w:top="680" w:right="1440" w:bottom="1440" w:gutter="0" w:footer="0" w:header="0"/>
        </w:sectPr>
      </w:pPr>
    </w:p>
    <w:bookmarkStart w:id="2" w:name="page3"/>
    <w:bookmarkEnd w:id="2"/>
    <w:p>
      <w:pPr>
        <w:jc w:val="center"/>
        <w:ind w:right="2299"/>
        <w:spacing w:after="0"/>
        <w:rPr>
          <w:sz w:val="20"/>
          <w:szCs w:val="20"/>
          <w:color w:val="auto"/>
        </w:rPr>
      </w:pPr>
      <w:r>
        <w:rPr>
          <w:rFonts w:ascii="Courier New" w:cs="Courier New" w:eastAsia="Courier New" w:hAnsi="Courier New"/>
          <w:sz w:val="16"/>
          <w:szCs w:val="16"/>
          <w:color w:val="auto"/>
        </w:rPr>
        <w:t>PART II</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INFORMATION REQUIRED IN THE REGISTRATION STATEMENT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INCORPORATION OF DOCUMENTS BY REFERENCE.</w:t>
      </w:r>
    </w:p>
    <w:p>
      <w:pPr>
        <w:spacing w:after="0" w:line="195" w:lineRule="exact"/>
        <w:rPr>
          <w:sz w:val="20"/>
          <w:szCs w:val="20"/>
          <w:color w:val="auto"/>
        </w:rPr>
      </w:pPr>
    </w:p>
    <w:p>
      <w:pPr>
        <w:ind w:right="2499" w:firstLine="1759"/>
        <w:spacing w:after="0" w:line="249" w:lineRule="auto"/>
        <w:rPr>
          <w:sz w:val="20"/>
          <w:szCs w:val="20"/>
          <w:color w:val="auto"/>
        </w:rPr>
      </w:pPr>
      <w:r>
        <w:rPr>
          <w:rFonts w:ascii="Courier New" w:cs="Courier New" w:eastAsia="Courier New" w:hAnsi="Courier New"/>
          <w:sz w:val="16"/>
          <w:szCs w:val="16"/>
          <w:color w:val="auto"/>
        </w:rPr>
        <w:t>The following documents of Starwood Financial Inc. (the "Company"), its predecessor Starwood Financial Trust (the "Predecessor"), and TriNet Corporate Realty Trust, Inc. ("TriNet"), all of which are on file with the Securities and Exchange Commission (the "Commission "), are incorporated by reference in this Registration Statement:</w:t>
      </w:r>
    </w:p>
    <w:p>
      <w:pPr>
        <w:spacing w:after="0" w:line="187" w:lineRule="exact"/>
        <w:rPr>
          <w:sz w:val="20"/>
          <w:szCs w:val="20"/>
          <w:color w:val="auto"/>
        </w:rPr>
      </w:pPr>
    </w:p>
    <w:p>
      <w:pPr>
        <w:ind w:right="2799" w:firstLine="1759"/>
        <w:spacing w:after="0" w:line="252" w:lineRule="auto"/>
        <w:tabs>
          <w:tab w:leader="none" w:pos="215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Predecessor's Annual Report on Form 10-K, File No. 1-10150, for the fiscal year ended December 31, 1998;</w:t>
      </w:r>
    </w:p>
    <w:p>
      <w:pPr>
        <w:spacing w:after="0" w:line="183" w:lineRule="exact"/>
        <w:rPr>
          <w:rFonts w:ascii="Courier New" w:cs="Courier New" w:eastAsia="Courier New" w:hAnsi="Courier New"/>
          <w:sz w:val="16"/>
          <w:szCs w:val="16"/>
          <w:color w:val="auto"/>
        </w:rPr>
      </w:pPr>
    </w:p>
    <w:p>
      <w:pPr>
        <w:ind w:right="2499" w:firstLine="1759"/>
        <w:spacing w:after="0" w:line="252" w:lineRule="auto"/>
        <w:tabs>
          <w:tab w:leader="none" w:pos="215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Predecessor's Quarterly Report on Form 10-Q, File No. 1-10150, for the fiscal period ended June 30, 1999;</w:t>
      </w:r>
    </w:p>
    <w:p>
      <w:pPr>
        <w:spacing w:after="0" w:line="183" w:lineRule="exact"/>
        <w:rPr>
          <w:rFonts w:ascii="Courier New" w:cs="Courier New" w:eastAsia="Courier New" w:hAnsi="Courier New"/>
          <w:sz w:val="16"/>
          <w:szCs w:val="16"/>
          <w:color w:val="auto"/>
        </w:rPr>
      </w:pPr>
    </w:p>
    <w:p>
      <w:pPr>
        <w:ind w:left="2160" w:hanging="401"/>
        <w:spacing w:after="0"/>
        <w:tabs>
          <w:tab w:leader="none" w:pos="21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Predecessor's Current Report on Form 8-K, File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1-10150, dated June 22, 1999 as amended;</w:t>
      </w:r>
    </w:p>
    <w:p>
      <w:pPr>
        <w:spacing w:after="0" w:line="195" w:lineRule="exact"/>
        <w:rPr>
          <w:sz w:val="20"/>
          <w:szCs w:val="20"/>
          <w:color w:val="auto"/>
        </w:rPr>
      </w:pPr>
    </w:p>
    <w:p>
      <w:pPr>
        <w:ind w:right="2599" w:firstLine="1759"/>
        <w:spacing w:after="0" w:line="252" w:lineRule="auto"/>
        <w:tabs>
          <w:tab w:leader="none" w:pos="215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Predecessor's Registration Statement on Form S-4, as amended, File No. 333-85897, dated September 20, 1999;</w:t>
      </w:r>
    </w:p>
    <w:p>
      <w:pPr>
        <w:spacing w:after="0" w:line="183" w:lineRule="exact"/>
        <w:rPr>
          <w:rFonts w:ascii="Courier New" w:cs="Courier New" w:eastAsia="Courier New" w:hAnsi="Courier New"/>
          <w:sz w:val="16"/>
          <w:szCs w:val="16"/>
          <w:color w:val="auto"/>
        </w:rPr>
      </w:pPr>
    </w:p>
    <w:p>
      <w:pPr>
        <w:ind w:right="2399" w:firstLine="1759"/>
        <w:spacing w:after="0" w:line="250" w:lineRule="auto"/>
        <w:tabs>
          <w:tab w:leader="none" w:pos="215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the Company's Common Stock contained in the Company's Registration Statement on Form 8-A, File No. 1-15371, dated October 5, 1999;</w:t>
      </w:r>
    </w:p>
    <w:p>
      <w:pPr>
        <w:spacing w:after="0" w:line="185" w:lineRule="exact"/>
        <w:rPr>
          <w:rFonts w:ascii="Courier New" w:cs="Courier New" w:eastAsia="Courier New" w:hAnsi="Courier New"/>
          <w:sz w:val="16"/>
          <w:szCs w:val="16"/>
          <w:color w:val="auto"/>
        </w:rPr>
      </w:pPr>
    </w:p>
    <w:p>
      <w:pPr>
        <w:ind w:right="2399" w:firstLine="1759"/>
        <w:spacing w:after="0" w:line="252" w:lineRule="auto"/>
        <w:tabs>
          <w:tab w:leader="none" w:pos="215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TriNet's Annual Report on Form 10-K, File No. 1-11918, for the fiscal year ended December 31, 1998;</w:t>
      </w:r>
    </w:p>
    <w:p>
      <w:pPr>
        <w:spacing w:after="0" w:line="183" w:lineRule="exact"/>
        <w:rPr>
          <w:rFonts w:ascii="Courier New" w:cs="Courier New" w:eastAsia="Courier New" w:hAnsi="Courier New"/>
          <w:sz w:val="16"/>
          <w:szCs w:val="16"/>
          <w:color w:val="auto"/>
        </w:rPr>
      </w:pPr>
    </w:p>
    <w:p>
      <w:pPr>
        <w:ind w:right="2499" w:firstLine="1759"/>
        <w:spacing w:after="0" w:line="252" w:lineRule="auto"/>
        <w:tabs>
          <w:tab w:leader="none" w:pos="215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TriNet's Quarterly Report on Form 10-Q, File No. 1-11918, for the fiscal period ended June 30, 1999; and</w:t>
      </w:r>
    </w:p>
    <w:p>
      <w:pPr>
        <w:spacing w:after="0" w:line="183" w:lineRule="exact"/>
        <w:rPr>
          <w:rFonts w:ascii="Courier New" w:cs="Courier New" w:eastAsia="Courier New" w:hAnsi="Courier New"/>
          <w:sz w:val="16"/>
          <w:szCs w:val="16"/>
          <w:color w:val="auto"/>
        </w:rPr>
      </w:pPr>
    </w:p>
    <w:p>
      <w:pPr>
        <w:ind w:right="2799" w:firstLine="1759"/>
        <w:spacing w:after="0" w:line="252" w:lineRule="auto"/>
        <w:tabs>
          <w:tab w:leader="none" w:pos="215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TriNet's Current Report on Form 8-K, File No. 1-11918, dated July 15, 1999, June 22, 1999, April 1, 1999 and February 3, 1999.</w:t>
      </w:r>
    </w:p>
    <w:p>
      <w:pPr>
        <w:spacing w:after="0" w:line="183" w:lineRule="exact"/>
        <w:rPr>
          <w:sz w:val="20"/>
          <w:szCs w:val="20"/>
          <w:color w:val="auto"/>
        </w:rPr>
      </w:pPr>
    </w:p>
    <w:p>
      <w:pPr>
        <w:ind w:right="2499" w:firstLine="1759"/>
        <w:spacing w:after="0" w:line="249" w:lineRule="auto"/>
        <w:rPr>
          <w:sz w:val="20"/>
          <w:szCs w:val="20"/>
          <w:color w:val="auto"/>
        </w:rPr>
      </w:pPr>
      <w:r>
        <w:rPr>
          <w:rFonts w:ascii="Courier New" w:cs="Courier New" w:eastAsia="Courier New" w:hAnsi="Courier New"/>
          <w:sz w:val="16"/>
          <w:szCs w:val="16"/>
          <w:color w:val="auto"/>
        </w:rPr>
        <w:t>All documents subsequently filed by the Company pursuant to Section 13(a), 13(c), 14 or 15(d) of the Securities Exchange Act of 1934, as amended, prior to the filing of a post-effective amendment which indicates that all securities offered have been sold or which deregisters all securities then remaining unsold, will be deemed incorporated by reference in this Registration Statement and to be a part of it from the date of filing those documents.</w:t>
      </w:r>
    </w:p>
    <w:p>
      <w:pPr>
        <w:spacing w:after="0" w:line="187" w:lineRule="exact"/>
        <w:rPr>
          <w:sz w:val="20"/>
          <w:szCs w:val="20"/>
          <w:color w:val="auto"/>
        </w:rPr>
      </w:pPr>
    </w:p>
    <w:p>
      <w:pPr>
        <w:ind w:right="2499" w:firstLine="1759"/>
        <w:spacing w:after="0" w:line="249" w:lineRule="auto"/>
        <w:rPr>
          <w:sz w:val="20"/>
          <w:szCs w:val="20"/>
          <w:color w:val="auto"/>
        </w:rPr>
      </w:pPr>
      <w:r>
        <w:rPr>
          <w:rFonts w:ascii="Courier New" w:cs="Courier New" w:eastAsia="Courier New" w:hAnsi="Courier New"/>
          <w:sz w:val="16"/>
          <w:szCs w:val="16"/>
          <w:color w:val="auto"/>
        </w:rPr>
        <w:t>For purposes of this Registration Statement, any statement contained in a report, document or appendix incorporated or deemed incorporated by reference in this Registration Statement will be deemed modified or superseded to the extent that a statement contained in this Registration Statement or in any subsequently filed report, document or appendix which also is or is deemed incorporated by reference modifies or supersedes that statement in that report, document or appendix. Any statement so modified or superseded will not be deemed, except as modified or superseded, to constitute a part of this Registration Statement.</w:t>
      </w:r>
    </w:p>
    <w:p>
      <w:pPr>
        <w:spacing w:after="0" w:line="187" w:lineRule="exact"/>
        <w:rPr>
          <w:sz w:val="20"/>
          <w:szCs w:val="20"/>
          <w:color w:val="auto"/>
        </w:rPr>
      </w:pPr>
    </w:p>
    <w:p>
      <w:pPr>
        <w:ind w:right="2699" w:firstLine="1759"/>
        <w:spacing w:after="0" w:line="249" w:lineRule="auto"/>
        <w:rPr>
          <w:sz w:val="20"/>
          <w:szCs w:val="20"/>
          <w:color w:val="auto"/>
        </w:rPr>
      </w:pPr>
      <w:r>
        <w:rPr>
          <w:rFonts w:ascii="Courier New" w:cs="Courier New" w:eastAsia="Courier New" w:hAnsi="Courier New"/>
          <w:sz w:val="16"/>
          <w:szCs w:val="16"/>
          <w:color w:val="auto"/>
        </w:rPr>
        <w:t>Upon the written or oral request of any person to whom this Registration Statement has been delivered, the Company will provide without charge to that person a copy of any of the information (excluding exhibits unless such exhibits are specifically incorporated by reference into such information) that has been incorporated by reference into this Registration Statement but not delivered with it. Requests should be directed to Investor Relations at the following address and telephone number:</w:t>
      </w:r>
    </w:p>
    <w:p>
      <w:pPr>
        <w:sectPr>
          <w:pgSz w:w="11900" w:h="16838" w:orient="portrait"/>
          <w:cols w:equalWidth="0" w:num="1">
            <w:col w:w="10219"/>
          </w:cols>
          <w:pgMar w:left="240" w:top="680" w:right="1440" w:bottom="1440" w:gutter="0" w:footer="0" w:header="0"/>
        </w:sectPr>
      </w:pPr>
    </w:p>
    <w:bookmarkStart w:id="3" w:name="page4"/>
    <w:bookmarkEnd w:id="3"/>
    <w:p>
      <w:pPr>
        <w:ind w:right="2499"/>
        <w:spacing w:after="0" w:line="252" w:lineRule="auto"/>
        <w:rPr>
          <w:sz w:val="20"/>
          <w:szCs w:val="20"/>
          <w:color w:val="auto"/>
        </w:rPr>
      </w:pPr>
      <w:r>
        <w:rPr>
          <w:rFonts w:ascii="Courier New" w:cs="Courier New" w:eastAsia="Courier New" w:hAnsi="Courier New"/>
          <w:sz w:val="16"/>
          <w:szCs w:val="16"/>
          <w:color w:val="auto"/>
        </w:rPr>
        <w:t>Starwood Financial Inc., 1114 Avenue of the Americas, 27th Floor, New York, New York 10036 (212) 930-9400.</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DESCRIPTION OF SECURITIES.</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Not applicable.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INTERESTS OF NAMED EXPERTS AND COUNSEL.</w:t>
      </w:r>
    </w:p>
    <w:p>
      <w:pPr>
        <w:spacing w:after="0" w:line="195"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6"/>
          <w:szCs w:val="16"/>
          <w:color w:val="auto"/>
        </w:rPr>
        <w:t>Not applicable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INDEMNIFICATION OF DIRECTORS AND OFFICERS.</w:t>
      </w:r>
    </w:p>
    <w:p>
      <w:pPr>
        <w:spacing w:after="0" w:line="195" w:lineRule="exact"/>
        <w:rPr>
          <w:sz w:val="20"/>
          <w:szCs w:val="20"/>
          <w:color w:val="auto"/>
        </w:rPr>
      </w:pPr>
    </w:p>
    <w:p>
      <w:pPr>
        <w:ind w:right="2799" w:firstLine="1759"/>
        <w:spacing w:after="0" w:line="250" w:lineRule="auto"/>
        <w:rPr>
          <w:sz w:val="20"/>
          <w:szCs w:val="20"/>
          <w:color w:val="auto"/>
        </w:rPr>
      </w:pPr>
      <w:r>
        <w:rPr>
          <w:rFonts w:ascii="Courier New" w:cs="Courier New" w:eastAsia="Courier New" w:hAnsi="Courier New"/>
          <w:sz w:val="16"/>
          <w:szCs w:val="16"/>
          <w:color w:val="auto"/>
        </w:rPr>
        <w:t>As permitted by the MGCL, Article VII of our Charter ("the Charter") provides for the limitation of the liability of our directors and officers as follows:</w:t>
      </w:r>
    </w:p>
    <w:p>
      <w:pPr>
        <w:spacing w:after="0" w:line="185" w:lineRule="exact"/>
        <w:rPr>
          <w:sz w:val="20"/>
          <w:szCs w:val="20"/>
          <w:color w:val="auto"/>
        </w:rPr>
      </w:pPr>
    </w:p>
    <w:p>
      <w:pPr>
        <w:ind w:left="480" w:right="2399"/>
        <w:spacing w:after="0" w:line="249" w:lineRule="auto"/>
        <w:rPr>
          <w:sz w:val="20"/>
          <w:szCs w:val="20"/>
          <w:color w:val="auto"/>
        </w:rPr>
      </w:pPr>
      <w:r>
        <w:rPr>
          <w:rFonts w:ascii="Courier New" w:cs="Courier New" w:eastAsia="Courier New" w:hAnsi="Courier New"/>
          <w:sz w:val="16"/>
          <w:szCs w:val="16"/>
          <w:color w:val="auto"/>
        </w:rPr>
        <w:t>To the fullest extent permitted by Maryland statutory or decisional law, as amended or interpreted, no director or officer of the Corporation shall be personally liable to the Corporation or its Stockholders for money damages. No amendment of the Charter of the Corporation or repeal of any of its provisions shall limit or eliminate the limitation on liability provided to directors and officers hereunder with respect to any act or omission occurring prior to such amendment or repeal. In addition to any Maryland statute limiting the liability of directors or officers of a Maryland corporation, no director or officer of the Corporation shall be liable to the Corporation or to any director for any act or omission of any other director, stockholder, officer, or agent of the Corporation or be held to any personal liability whatsoever in tort, contract, or otherwise in connection with the affairs of this Corporation except only that arising from his own willful violation of the provisions of this Charter or of the Bylaws which violation is materially against the interests of the stockholders and results in material harm to such interests, or gross negligence in the performance of his or her duties.</w:t>
      </w:r>
    </w:p>
    <w:p>
      <w:pPr>
        <w:spacing w:after="0" w:line="186" w:lineRule="exact"/>
        <w:rPr>
          <w:sz w:val="20"/>
          <w:szCs w:val="20"/>
          <w:color w:val="auto"/>
        </w:rPr>
      </w:pPr>
    </w:p>
    <w:p>
      <w:pPr>
        <w:ind w:right="3579" w:firstLine="1759"/>
        <w:spacing w:after="0" w:line="252" w:lineRule="auto"/>
        <w:rPr>
          <w:sz w:val="20"/>
          <w:szCs w:val="20"/>
          <w:color w:val="auto"/>
        </w:rPr>
      </w:pPr>
      <w:r>
        <w:rPr>
          <w:rFonts w:ascii="Courier New" w:cs="Courier New" w:eastAsia="Courier New" w:hAnsi="Courier New"/>
          <w:sz w:val="16"/>
          <w:szCs w:val="16"/>
          <w:color w:val="auto"/>
        </w:rPr>
        <w:t>As permitted by the MGCL, our Charter provides for indemnification of our directors and officers as follows:</w:t>
      </w:r>
    </w:p>
    <w:p>
      <w:pPr>
        <w:spacing w:after="0" w:line="183" w:lineRule="exact"/>
        <w:rPr>
          <w:sz w:val="20"/>
          <w:szCs w:val="20"/>
          <w:color w:val="auto"/>
        </w:rPr>
      </w:pPr>
    </w:p>
    <w:p>
      <w:pPr>
        <w:ind w:left="480" w:right="2399"/>
        <w:spacing w:after="0" w:line="249" w:lineRule="auto"/>
        <w:rPr>
          <w:sz w:val="20"/>
          <w:szCs w:val="20"/>
          <w:color w:val="auto"/>
        </w:rPr>
      </w:pPr>
      <w:r>
        <w:rPr>
          <w:rFonts w:ascii="Courier New" w:cs="Courier New" w:eastAsia="Courier New" w:hAnsi="Courier New"/>
          <w:sz w:val="16"/>
          <w:szCs w:val="16"/>
          <w:color w:val="auto"/>
        </w:rPr>
        <w:t>The Corporation shall indemnify (i) its directors and officers, whether serving the Corporation or, at its request, any other entity, to the full extent required or permitted by the General Laws of the State of Maryland now or hereafter in force, including the advance or reimbursement of reasonable expenses as incurred (including reasonable attorneys fees) under the procedures and to the full extent permitted by law and (ii) other employees and agents to such extent as shall be authorized by the Board or the Corporation's Bylaws and be permitted by law. The foregoing rights of indemnification shall not be exclusive of any other rights to which those seeking indemnification may be entitled. The Board may take such action as is necessary to carry out these indemnification provisions and is expressly empowered to adopt, approve and amend from time to time such Bylaws, resolutions or contracts implementing such provisions or such further indemnification arrangements as may be permitted by law. No amendment of the Charter or repeal of any of its provisions shall limit or eliminate the right to indemnification provided hereunder with respect to acts or omissions occurring prior to such amendment or repeal.</w:t>
      </w:r>
    </w:p>
    <w:p>
      <w:pPr>
        <w:sectPr>
          <w:pgSz w:w="11900" w:h="16838" w:orient="portrait"/>
          <w:cols w:equalWidth="0" w:num="1">
            <w:col w:w="10219"/>
          </w:cols>
          <w:pgMar w:left="240" w:top="680" w:right="1440" w:bottom="1440" w:gutter="0" w:footer="0" w:header="0"/>
        </w:sectPr>
      </w:pPr>
    </w:p>
    <w:bookmarkStart w:id="4" w:name="page5"/>
    <w:bookmarkEnd w:id="4"/>
    <w:p>
      <w:pPr>
        <w:ind w:right="2879" w:firstLine="1759"/>
        <w:spacing w:after="0" w:line="249" w:lineRule="auto"/>
        <w:rPr>
          <w:sz w:val="20"/>
          <w:szCs w:val="20"/>
          <w:color w:val="auto"/>
        </w:rPr>
      </w:pPr>
      <w:r>
        <w:rPr>
          <w:rFonts w:ascii="Courier New" w:cs="Courier New" w:eastAsia="Courier New" w:hAnsi="Courier New"/>
          <w:sz w:val="16"/>
          <w:szCs w:val="16"/>
          <w:color w:val="auto"/>
        </w:rPr>
        <w:t>Section 12.1 of our Bylaws implements the Indemnification provisions of our Charter. The Bylaws state that, to the maximum extent permitted by Maryland law, as amended from time to time, the Company shall indemnify and hold harmless, and pay or reimburse reasonable expenses in advance of final disposition of a proceeding, to each director and officer.</w:t>
      </w:r>
    </w:p>
    <w:p>
      <w:pPr>
        <w:spacing w:after="0" w:line="187" w:lineRule="exact"/>
        <w:rPr>
          <w:sz w:val="20"/>
          <w:szCs w:val="20"/>
          <w:color w:val="auto"/>
        </w:rPr>
      </w:pPr>
    </w:p>
    <w:p>
      <w:pPr>
        <w:ind w:right="2399" w:firstLine="1759"/>
        <w:spacing w:after="0" w:line="249" w:lineRule="auto"/>
        <w:rPr>
          <w:sz w:val="20"/>
          <w:szCs w:val="20"/>
          <w:color w:val="auto"/>
        </w:rPr>
      </w:pPr>
      <w:r>
        <w:rPr>
          <w:rFonts w:ascii="Courier New" w:cs="Courier New" w:eastAsia="Courier New" w:hAnsi="Courier New"/>
          <w:sz w:val="16"/>
          <w:szCs w:val="16"/>
          <w:color w:val="auto"/>
        </w:rPr>
        <w:t>Section 2-418 of the MGCL permits the charter of a Maryland corporation to include a provision limiting the liability of directors and officers to the corporation and its stockholders for money damages, except when it is established that (i) the act or omission was material to the matter giving rise to the proceeding and either (a) was committed in bad faith, or (b) was the result of active and deliberate dishonesty, (ii) the person actually received an improper benefit or profit in money, property or services, or (iii) in the case of any criminal proceeding, the trustee had reasonable cause to believe that the omission was unlawful.</w:t>
      </w:r>
    </w:p>
    <w:p>
      <w:pPr>
        <w:spacing w:after="0" w:line="187" w:lineRule="exact"/>
        <w:rPr>
          <w:sz w:val="20"/>
          <w:szCs w:val="20"/>
          <w:color w:val="auto"/>
        </w:rPr>
      </w:pPr>
    </w:p>
    <w:p>
      <w:pPr>
        <w:ind w:right="2399" w:firstLine="1759"/>
        <w:spacing w:after="0" w:line="249" w:lineRule="auto"/>
        <w:rPr>
          <w:sz w:val="20"/>
          <w:szCs w:val="20"/>
          <w:color w:val="auto"/>
        </w:rPr>
      </w:pPr>
      <w:r>
        <w:rPr>
          <w:rFonts w:ascii="Courier New" w:cs="Courier New" w:eastAsia="Courier New" w:hAnsi="Courier New"/>
          <w:sz w:val="16"/>
          <w:szCs w:val="16"/>
          <w:color w:val="auto"/>
        </w:rPr>
        <w:t>As permitted under Section 2-418 of the MGCL, we have purchased and maintain insurance on behalf of our directors and officers against any liability asserted against such directors and officers in their capacities as such, whether or not we would have the power to indemnify such persons under the provisions of Maryland law governing indemnification.</w:t>
      </w:r>
    </w:p>
    <w:p>
      <w:pPr>
        <w:spacing w:after="0" w:line="187" w:lineRule="exact"/>
        <w:rPr>
          <w:sz w:val="20"/>
          <w:szCs w:val="20"/>
          <w:color w:val="auto"/>
        </w:rPr>
      </w:pPr>
    </w:p>
    <w:p>
      <w:pPr>
        <w:ind w:right="2699" w:firstLine="1759"/>
        <w:spacing w:after="0" w:line="249" w:lineRule="auto"/>
        <w:rPr>
          <w:sz w:val="20"/>
          <w:szCs w:val="20"/>
          <w:color w:val="auto"/>
        </w:rPr>
      </w:pPr>
      <w:r>
        <w:rPr>
          <w:rFonts w:ascii="Courier New" w:cs="Courier New" w:eastAsia="Courier New" w:hAnsi="Courier New"/>
          <w:sz w:val="16"/>
          <w:szCs w:val="16"/>
          <w:color w:val="auto"/>
        </w:rPr>
        <w:t>We have also entered into indemnification agreements with each of our directors and executive officers. The indemnification agreements provide that we will indemnify the directors and executive officers to the fullest extent permitted under law against certain liabilities (including settlements) and expenses actually and reasonably incurred by them in connection with any threatened or pending legal action, proceeding or investigation to which any of them is, or is threatened to be, made a party by reason of their status as a director, officer or agent of Starwood Financial, or by reason of their serving at our request; provided that the director or executive officer acted in a manner determined in good faith to be within the scope of his authority and to be in our best interest and so long as the director or executive officer was not guilty of gross negligence, misconduct or a breach of his fiduciary obligation in the act or failure to act. We will not indemnify the director and executive officer to the extent prohibited by our Charter or Section 2.418 of the MGCL. If an amendment to the Charter or Section 2.418 of the MGCL with respect to removal of limitations on indemnification is approved, the indemnification agreements will be amended accordingly. We are not required to indemnify any director or executive officer for liabilities: (1) for which he receives payment under an insurance policy, except for the excess beyond payment under such insurance, or which could have been claimed under an expired insurance policy; (2) based upon or attributable to his gaining in fact any personal profit or advantage to which he was not legally entitled; (3) resulting from an accounting of profits under Section 16(b) of the Securities Exchange Act of 1934; (4) brought about or contributed to by his dishonesty, willful misconduct or bad faith unless a judgement or other final adjudication adverse to the director or executive officer establishes that he was not guilty of the claimed conduct and that the conduct was not material to the course of the action so adjudicated.</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 EXEMPTION FROM REGISTRATION CLAIMED.</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68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ITEM 8. EXHIBITS.</w:t>
      </w:r>
    </w:p>
    <w:p>
      <w:pPr>
        <w:spacing w:after="0" w:line="195" w:lineRule="exact"/>
        <w:rPr>
          <w:sz w:val="20"/>
          <w:szCs w:val="20"/>
          <w:color w:val="auto"/>
        </w:rPr>
      </w:pPr>
    </w:p>
    <w:p>
      <w:pPr>
        <w:ind w:right="2879" w:firstLine="1759"/>
        <w:spacing w:after="0" w:line="252" w:lineRule="auto"/>
        <w:rPr>
          <w:sz w:val="20"/>
          <w:szCs w:val="20"/>
          <w:color w:val="auto"/>
        </w:rPr>
      </w:pPr>
      <w:r>
        <w:rPr>
          <w:rFonts w:ascii="Courier New" w:cs="Courier New" w:eastAsia="Courier New" w:hAnsi="Courier New"/>
          <w:sz w:val="16"/>
          <w:szCs w:val="16"/>
          <w:color w:val="auto"/>
        </w:rPr>
        <w:t>The following documents are filed with or incorporated by reference in this Registration Statement:</w:t>
      </w:r>
    </w:p>
    <w:p>
      <w:pPr>
        <w:spacing w:after="0" w:line="183" w:lineRule="exact"/>
        <w:rPr>
          <w:sz w:val="20"/>
          <w:szCs w:val="20"/>
          <w:color w:val="auto"/>
        </w:rPr>
      </w:pPr>
    </w:p>
    <w:p>
      <w:pPr>
        <w:ind w:left="2340" w:right="3379" w:hanging="581"/>
        <w:spacing w:after="0" w:line="252" w:lineRule="auto"/>
        <w:tabs>
          <w:tab w:leader="none" w:pos="23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and consent of Ballard Spahr Andrews &amp; Ingersoll, LLP.</w:t>
      </w:r>
    </w:p>
    <w:p>
      <w:pPr>
        <w:spacing w:after="0" w:line="183" w:lineRule="exact"/>
        <w:rPr>
          <w:sz w:val="20"/>
          <w:szCs w:val="20"/>
          <w:color w:val="auto"/>
        </w:rPr>
      </w:pPr>
    </w:p>
    <w:p>
      <w:pPr>
        <w:ind w:left="1760"/>
        <w:spacing w:after="0"/>
        <w:tabs>
          <w:tab w:leader="none" w:pos="2320" w:val="left"/>
        </w:tabs>
        <w:rPr>
          <w:sz w:val="20"/>
          <w:szCs w:val="20"/>
          <w:color w:val="auto"/>
        </w:rPr>
      </w:pPr>
      <w:r>
        <w:rPr>
          <w:rFonts w:ascii="Courier New" w:cs="Courier New" w:eastAsia="Courier New" w:hAnsi="Courier New"/>
          <w:sz w:val="16"/>
          <w:szCs w:val="16"/>
          <w:color w:val="auto"/>
        </w:rPr>
        <w:t>23.1</w:t>
        <w:tab/>
        <w:t>Consent of PricewaterhouseCoopers LLP (New York).</w:t>
      </w:r>
    </w:p>
    <w:p>
      <w:pPr>
        <w:spacing w:after="0" w:line="195" w:lineRule="exact"/>
        <w:rPr>
          <w:sz w:val="20"/>
          <w:szCs w:val="20"/>
          <w:color w:val="auto"/>
        </w:rPr>
      </w:pPr>
    </w:p>
    <w:p>
      <w:pPr>
        <w:ind w:left="1760"/>
        <w:spacing w:after="0"/>
        <w:tabs>
          <w:tab w:leader="none" w:pos="2320" w:val="left"/>
        </w:tabs>
        <w:rPr>
          <w:sz w:val="20"/>
          <w:szCs w:val="20"/>
          <w:color w:val="auto"/>
        </w:rPr>
      </w:pPr>
      <w:r>
        <w:rPr>
          <w:rFonts w:ascii="Courier New" w:cs="Courier New" w:eastAsia="Courier New" w:hAnsi="Courier New"/>
          <w:sz w:val="16"/>
          <w:szCs w:val="16"/>
          <w:color w:val="auto"/>
        </w:rPr>
        <w:t>23.2</w:t>
        <w:tab/>
        <w:t>Consent of PricewaterhouseCoopers LLP (San Francisco).</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 UNDERTAKINGS.</w:t>
      </w:r>
    </w:p>
    <w:p>
      <w:pPr>
        <w:spacing w:after="0" w:line="195" w:lineRule="exact"/>
        <w:rPr>
          <w:sz w:val="20"/>
          <w:szCs w:val="20"/>
          <w:color w:val="auto"/>
        </w:rPr>
      </w:pPr>
    </w:p>
    <w:p>
      <w:pPr>
        <w:ind w:left="2160" w:hanging="401"/>
        <w:spacing w:after="0"/>
        <w:tabs>
          <w:tab w:leader="none" w:pos="21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94" w:lineRule="exact"/>
        <w:rPr>
          <w:rFonts w:ascii="Courier New" w:cs="Courier New" w:eastAsia="Courier New" w:hAnsi="Courier New"/>
          <w:sz w:val="16"/>
          <w:szCs w:val="16"/>
          <w:color w:val="auto"/>
        </w:rPr>
      </w:pPr>
    </w:p>
    <w:p>
      <w:pPr>
        <w:ind w:left="1760" w:right="2499" w:firstLine="586"/>
        <w:spacing w:after="0" w:line="250" w:lineRule="auto"/>
        <w:tabs>
          <w:tab w:leader="none" w:pos="2737"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5" w:lineRule="exact"/>
        <w:rPr>
          <w:rFonts w:ascii="Courier New" w:cs="Courier New" w:eastAsia="Courier New" w:hAnsi="Courier New"/>
          <w:sz w:val="16"/>
          <w:szCs w:val="16"/>
          <w:color w:val="auto"/>
        </w:rPr>
      </w:pPr>
    </w:p>
    <w:p>
      <w:pPr>
        <w:ind w:left="2340" w:right="2499" w:firstLine="592"/>
        <w:spacing w:after="0" w:line="252" w:lineRule="auto"/>
        <w:tabs>
          <w:tab w:leader="none" w:pos="3317" w:val="left"/>
        </w:tabs>
        <w:numPr>
          <w:ilvl w:val="2"/>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 as amended;</w:t>
      </w:r>
    </w:p>
    <w:p>
      <w:pPr>
        <w:spacing w:after="0" w:line="183" w:lineRule="exact"/>
        <w:rPr>
          <w:rFonts w:ascii="Courier New" w:cs="Courier New" w:eastAsia="Courier New" w:hAnsi="Courier New"/>
          <w:sz w:val="16"/>
          <w:szCs w:val="16"/>
          <w:color w:val="auto"/>
        </w:rPr>
      </w:pPr>
    </w:p>
    <w:p>
      <w:pPr>
        <w:ind w:left="2340" w:right="2399" w:firstLine="592"/>
        <w:spacing w:after="0" w:line="249" w:lineRule="auto"/>
        <w:tabs>
          <w:tab w:leader="none" w:pos="3415" w:val="left"/>
        </w:tabs>
        <w:numPr>
          <w:ilvl w:val="2"/>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 (b) if, in the aggregate, the changes in volume and price represent no more than 20 percent change in the maximum aggregate offering price set forth in the "Calculation of Registration Fee" table in the effective Registration Statement.</w:t>
      </w:r>
    </w:p>
    <w:p>
      <w:pPr>
        <w:spacing w:after="0" w:line="374" w:lineRule="exact"/>
        <w:rPr>
          <w:rFonts w:ascii="Courier New" w:cs="Courier New" w:eastAsia="Courier New" w:hAnsi="Courier New"/>
          <w:sz w:val="16"/>
          <w:szCs w:val="16"/>
          <w:color w:val="auto"/>
        </w:rPr>
      </w:pPr>
    </w:p>
    <w:p>
      <w:pPr>
        <w:ind w:left="2340" w:right="2499" w:firstLine="592"/>
        <w:spacing w:after="0" w:line="249" w:lineRule="auto"/>
        <w:tabs>
          <w:tab w:leader="none" w:pos="3513" w:val="left"/>
        </w:tabs>
        <w:numPr>
          <w:ilvl w:val="2"/>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Provided, however, that paragraphs (1)(i) and (1)(ii) do not apply if the Registration Statement is on Form S-3 or Form S-8, and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187" w:lineRule="exact"/>
        <w:rPr>
          <w:sz w:val="20"/>
          <w:szCs w:val="20"/>
          <w:color w:val="auto"/>
        </w:rPr>
      </w:pPr>
    </w:p>
    <w:p>
      <w:pPr>
        <w:ind w:left="1760" w:right="2399" w:firstLine="586"/>
        <w:spacing w:after="0" w:line="249" w:lineRule="auto"/>
        <w:tabs>
          <w:tab w:leader="none" w:pos="273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will be deemed a new Registration Statement relating to the securities offered in it, and the offering of the securities at that time will be deemed the</w:t>
      </w:r>
    </w:p>
    <w:p>
      <w:pPr>
        <w:sectPr>
          <w:pgSz w:w="11900" w:h="16838" w:orient="portrait"/>
          <w:cols w:equalWidth="0" w:num="1">
            <w:col w:w="10219"/>
          </w:cols>
          <w:pgMar w:left="240" w:top="680" w:right="1440" w:bottom="1440" w:gutter="0" w:footer="0" w:header="0"/>
        </w:sectPr>
      </w:pPr>
    </w:p>
    <w:bookmarkStart w:id="6" w:name="page7"/>
    <w:bookmarkEnd w:id="6"/>
    <w:p>
      <w:pPr>
        <w:ind w:left="560"/>
        <w:spacing w:after="0"/>
        <w:rPr>
          <w:sz w:val="20"/>
          <w:szCs w:val="20"/>
          <w:color w:val="auto"/>
        </w:rPr>
      </w:pPr>
      <w:r>
        <w:rPr>
          <w:rFonts w:ascii="Courier New" w:cs="Courier New" w:eastAsia="Courier New" w:hAnsi="Courier New"/>
          <w:sz w:val="16"/>
          <w:szCs w:val="16"/>
          <w:color w:val="auto"/>
        </w:rPr>
        <w:t>initial bona fide offering.</w:t>
      </w:r>
    </w:p>
    <w:p>
      <w:pPr>
        <w:spacing w:after="0" w:line="195" w:lineRule="exact"/>
        <w:rPr>
          <w:sz w:val="20"/>
          <w:szCs w:val="20"/>
          <w:color w:val="auto"/>
        </w:rPr>
      </w:pPr>
    </w:p>
    <w:p>
      <w:pPr>
        <w:ind w:left="560" w:right="2979" w:firstLine="586"/>
        <w:spacing w:after="0" w:line="249" w:lineRule="auto"/>
        <w:tabs>
          <w:tab w:leader="none" w:pos="1537"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7" w:lineRule="exact"/>
        <w:rPr>
          <w:rFonts w:ascii="Courier New" w:cs="Courier New" w:eastAsia="Courier New" w:hAnsi="Courier New"/>
          <w:sz w:val="16"/>
          <w:szCs w:val="16"/>
          <w:color w:val="auto"/>
        </w:rPr>
      </w:pPr>
    </w:p>
    <w:p>
      <w:pPr>
        <w:ind w:left="-1200" w:right="2499" w:firstLine="1759"/>
        <w:spacing w:after="0" w:line="249" w:lineRule="auto"/>
        <w:tabs>
          <w:tab w:leader="none" w:pos="95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will be deemed to be a new Registration Statement relating to the securities offered in that Registration Statement, and the offering of the securities at that time will be deemed to be the initial bona fide offering thereof.</w:t>
      </w:r>
    </w:p>
    <w:p>
      <w:pPr>
        <w:spacing w:after="0" w:line="187" w:lineRule="exact"/>
        <w:rPr>
          <w:rFonts w:ascii="Courier New" w:cs="Courier New" w:eastAsia="Courier New" w:hAnsi="Courier New"/>
          <w:sz w:val="16"/>
          <w:szCs w:val="16"/>
          <w:color w:val="auto"/>
        </w:rPr>
      </w:pPr>
    </w:p>
    <w:p>
      <w:pPr>
        <w:ind w:left="-1200" w:right="2399" w:firstLine="1759"/>
        <w:spacing w:after="0" w:line="249" w:lineRule="auto"/>
        <w:tabs>
          <w:tab w:leader="none" w:pos="95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ectPr>
          <w:pgSz w:w="11900" w:h="16838" w:orient="portrait"/>
          <w:cols w:equalWidth="0" w:num="1">
            <w:col w:w="9019"/>
          </w:cols>
          <w:pgMar w:left="1440" w:top="680" w:right="1440" w:bottom="1440" w:gutter="0" w:footer="0" w:header="0"/>
        </w:sectPr>
      </w:pPr>
    </w:p>
    <w:bookmarkStart w:id="7" w:name="page8"/>
    <w:bookmarkEnd w:id="7"/>
    <w:p>
      <w:pPr>
        <w:ind w:left="3420"/>
        <w:spacing w:after="0"/>
        <w:rPr>
          <w:sz w:val="20"/>
          <w:szCs w:val="20"/>
          <w:color w:val="auto"/>
        </w:rPr>
      </w:pPr>
      <w:r>
        <w:rPr>
          <w:rFonts w:ascii="Courier New" w:cs="Courier New" w:eastAsia="Courier New" w:hAnsi="Courier New"/>
          <w:sz w:val="16"/>
          <w:szCs w:val="16"/>
          <w:color w:val="auto"/>
        </w:rPr>
        <w:t>SIGNATURES</w:t>
      </w:r>
    </w:p>
    <w:p>
      <w:pPr>
        <w:spacing w:after="0" w:line="195" w:lineRule="exact"/>
        <w:rPr>
          <w:sz w:val="20"/>
          <w:szCs w:val="20"/>
          <w:color w:val="auto"/>
        </w:rPr>
      </w:pPr>
    </w:p>
    <w:p>
      <w:pPr>
        <w:ind w:right="2799"/>
        <w:spacing w:after="0" w:line="249"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on November 4, 1999.</w:t>
      </w:r>
    </w:p>
    <w:p>
      <w:pPr>
        <w:spacing w:after="0" w:line="18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STARWOOD FINANCIAL INC.</w:t>
      </w:r>
    </w:p>
    <w:p>
      <w:pPr>
        <w:spacing w:after="0" w:line="195"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/s/ Jay Sugarman</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000"/>
        <w:spacing w:after="0"/>
        <w:tabs>
          <w:tab w:leader="none" w:pos="46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Jay Sugarman</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Title: Chief Executive Officer and</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President</w:t>
      </w:r>
    </w:p>
    <w:p>
      <w:pPr>
        <w:spacing w:after="0" w:line="19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POWER OF ATTORNEY</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KNOW ALL PERSONS BY THESE PRESENTS, that each person whose signature appears hereby constitutes and appoints Barry S. Sternlicht, Jay Sugarman and Madison Grose (each with full power to act alone), his or her true and lawful attorney-in-fact and agent with full power of substitution, in the name and on behalf of the undersigned, to do any and all acts and things and to execute any and all instruments which said attorney and agent, may deem necessary or advisable to enable Starwood Financial Inc. (the "Registrant") to comply with the Securities Act of 1933 (the "Securities Act"), and with the Securities Exchange Act of 1934, and any rules, regulations and requirements of the Securities and Exchange Commission in respect thereof in connection with this Registration Statement and any and all amendments thereto or reports that the Registrant is required to file pursuant to the requirements of federal or state securities laws or any rules and regulations thereunder. The authority granted under this Power of Attorney shall include, but not be limited to, the power and authority to sign the name of the undersigned in the capacity or capacities set forth below to a Registration Statement on Form S-8 to be filed with the Securities and Exchange Commission, to any and all amendments (including post-effective amendments) to that Registration Statement in respect of the same, and to any and all instruments filed as a part of or in connection with that Registration Statement; and each of the undersigned hereby ratifies and confirms all that the attorney-in-fact and agent, shall lawfully do or cause to be done by virtue hereof.</w:t>
      </w:r>
    </w:p>
    <w:p>
      <w:pPr>
        <w:spacing w:after="0" w:line="374"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219"/>
          </w:cols>
          <w:pgMar w:left="240" w:top="680" w:right="1440"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w:t>
      </w:r>
    </w:p>
    <w:p>
      <w:pPr>
        <w:spacing w:after="0" w:line="18"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3580" w:space="720"/>
            <w:col w:w="2900" w:space="720"/>
            <w:col w:w="2299"/>
          </w:cols>
          <w:pgMar w:left="240" w:top="680" w:right="1440" w:bottom="1440" w:gutter="0" w:footer="0" w:header="0"/>
          <w:type w:val="continuous"/>
        </w:sect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Barry S. Sternlicht</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of Directors</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4, 1999</w:t>
      </w:r>
    </w:p>
    <w:p>
      <w:pPr>
        <w:spacing w:after="0" w:line="7" w:lineRule="exact"/>
        <w:rPr>
          <w:sz w:val="20"/>
          <w:szCs w:val="20"/>
          <w:color w:val="auto"/>
        </w:rPr>
      </w:pPr>
    </w:p>
    <w:p>
      <w:pPr>
        <w:sectPr>
          <w:pgSz w:w="11900" w:h="16838" w:orient="portrait"/>
          <w:cols w:equalWidth="0" w:num="3">
            <w:col w:w="2240" w:space="500"/>
            <w:col w:w="3780" w:space="720"/>
            <w:col w:w="2979"/>
          </w:cols>
          <w:pgMar w:left="240" w:top="680" w:right="1440" w:bottom="1440" w:gutter="0" w:footer="0" w:header="0"/>
          <w:type w:val="continuous"/>
        </w:sectPr>
      </w:pPr>
    </w:p>
    <w:p>
      <w:pPr>
        <w:ind w:left="200" w:hanging="200"/>
        <w:spacing w:after="0"/>
        <w:tabs>
          <w:tab w:leader="none" w:pos="2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Barry S. Sternlicht</w:t>
      </w:r>
    </w:p>
    <w:p>
      <w:pPr>
        <w:spacing w:after="0" w:line="195" w:lineRule="exact"/>
        <w:rPr>
          <w:sz w:val="20"/>
          <w:szCs w:val="20"/>
          <w:color w:val="auto"/>
        </w:rPr>
      </w:pPr>
    </w:p>
    <w:p>
      <w:pPr>
        <w:spacing w:after="0"/>
        <w:tabs>
          <w:tab w:leader="none" w:pos="2720" w:val="left"/>
          <w:tab w:leader="none" w:pos="7220" w:val="left"/>
        </w:tabs>
        <w:rPr>
          <w:sz w:val="20"/>
          <w:szCs w:val="20"/>
          <w:color w:val="auto"/>
        </w:rPr>
      </w:pPr>
      <w:r>
        <w:rPr>
          <w:rFonts w:ascii="Courier New" w:cs="Courier New" w:eastAsia="Courier New" w:hAnsi="Courier New"/>
          <w:sz w:val="16"/>
          <w:szCs w:val="16"/>
          <w:color w:val="auto"/>
        </w:rPr>
        <w:t>/s/ Jay Sugarman</w:t>
      </w:r>
      <w:r>
        <w:rPr>
          <w:sz w:val="20"/>
          <w:szCs w:val="20"/>
          <w:color w:val="auto"/>
        </w:rPr>
        <w:tab/>
      </w:r>
      <w:r>
        <w:rPr>
          <w:rFonts w:ascii="Courier New" w:cs="Courier New" w:eastAsia="Courier New" w:hAnsi="Courier New"/>
          <w:sz w:val="16"/>
          <w:szCs w:val="16"/>
          <w:color w:val="auto"/>
        </w:rPr>
        <w:t>Chief Executive Officer and President</w:t>
      </w:r>
      <w:r>
        <w:rPr>
          <w:sz w:val="20"/>
          <w:szCs w:val="20"/>
          <w:color w:val="auto"/>
        </w:rPr>
        <w:tab/>
      </w:r>
      <w:r>
        <w:rPr>
          <w:rFonts w:ascii="Courier New" w:cs="Courier New" w:eastAsia="Courier New" w:hAnsi="Courier New"/>
          <w:sz w:val="16"/>
          <w:szCs w:val="16"/>
          <w:color w:val="auto"/>
        </w:rPr>
        <w:t>November 4, 1999</w:t>
      </w:r>
    </w:p>
    <w:p>
      <w:pPr>
        <w:spacing w:after="0" w:line="7" w:lineRule="exact"/>
        <w:rPr>
          <w:sz w:val="20"/>
          <w:szCs w:val="20"/>
          <w:color w:val="auto"/>
        </w:rPr>
      </w:pPr>
    </w:p>
    <w:p>
      <w:pPr>
        <w:ind w:left="200" w:hanging="200"/>
        <w:spacing w:after="0"/>
        <w:tabs>
          <w:tab w:leader="none" w:pos="2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Jay Sugarman</w:t>
      </w:r>
    </w:p>
    <w:p>
      <w:pPr>
        <w:sectPr>
          <w:pgSz w:w="11900" w:h="16838" w:orient="portrait"/>
          <w:cols w:equalWidth="0" w:num="1">
            <w:col w:w="10219"/>
          </w:cols>
          <w:pgMar w:left="240" w:top="680"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2680" w:type="dxa"/>
            <w:vAlign w:val="bottom"/>
          </w:tcPr>
          <w:p>
            <w:pPr>
              <w:spacing w:after="0"/>
              <w:rPr>
                <w:sz w:val="15"/>
                <w:szCs w:val="15"/>
                <w:color w:val="auto"/>
              </w:rPr>
            </w:pPr>
          </w:p>
        </w:tc>
        <w:tc>
          <w:tcPr>
            <w:tcW w:w="4120" w:type="dxa"/>
            <w:vAlign w:val="bottom"/>
          </w:tcPr>
          <w:p>
            <w:pPr>
              <w:ind w:left="60"/>
              <w:spacing w:after="0"/>
              <w:rPr>
                <w:sz w:val="20"/>
                <w:szCs w:val="20"/>
                <w:color w:val="auto"/>
              </w:rPr>
            </w:pPr>
            <w:r>
              <w:rPr>
                <w:rFonts w:ascii="Courier New" w:cs="Courier New" w:eastAsia="Courier New" w:hAnsi="Courier New"/>
                <w:sz w:val="16"/>
                <w:szCs w:val="16"/>
                <w:color w:val="auto"/>
              </w:rPr>
              <w:t>Executive Vice President - Finance and</w:t>
            </w:r>
          </w:p>
        </w:tc>
        <w:tc>
          <w:tcPr>
            <w:tcW w:w="2000" w:type="dxa"/>
            <w:vAlign w:val="bottom"/>
          </w:tcPr>
          <w:p>
            <w:pPr>
              <w:spacing w:after="0"/>
              <w:rPr>
                <w:sz w:val="15"/>
                <w:szCs w:val="15"/>
                <w:color w:val="auto"/>
              </w:rPr>
            </w:pP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/s/ Spencer B. Haber</w:t>
            </w:r>
          </w:p>
        </w:tc>
        <w:tc>
          <w:tcPr>
            <w:tcW w:w="4120" w:type="dxa"/>
            <w:vAlign w:val="bottom"/>
          </w:tcPr>
          <w:p>
            <w:pPr>
              <w:ind w:left="60"/>
              <w:spacing w:after="0"/>
              <w:rPr>
                <w:sz w:val="20"/>
                <w:szCs w:val="20"/>
                <w:color w:val="auto"/>
              </w:rPr>
            </w:pPr>
            <w:r>
              <w:rPr>
                <w:rFonts w:ascii="Courier New" w:cs="Courier New" w:eastAsia="Courier New" w:hAnsi="Courier New"/>
                <w:sz w:val="16"/>
                <w:szCs w:val="16"/>
                <w:color w:val="auto"/>
              </w:rPr>
              <w:t>Chief Financial Officer</w:t>
            </w:r>
          </w:p>
        </w:tc>
        <w:tc>
          <w:tcPr>
            <w:tcW w:w="2000" w:type="dxa"/>
            <w:vAlign w:val="bottom"/>
          </w:tcPr>
          <w:p>
            <w:pPr>
              <w:ind w:left="440"/>
              <w:spacing w:after="0"/>
              <w:rPr>
                <w:sz w:val="20"/>
                <w:szCs w:val="20"/>
                <w:color w:val="auto"/>
              </w:rPr>
            </w:pPr>
            <w:r>
              <w:rPr>
                <w:rFonts w:ascii="Courier New" w:cs="Courier New" w:eastAsia="Courier New" w:hAnsi="Courier New"/>
                <w:sz w:val="16"/>
                <w:szCs w:val="16"/>
                <w:color w:val="auto"/>
              </w:rPr>
              <w:t>November 4, 1999</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1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188"/>
        </w:trPr>
        <w:tc>
          <w:tcPr>
            <w:tcW w:w="2680" w:type="dxa"/>
            <w:vAlign w:val="bottom"/>
          </w:tcPr>
          <w:p>
            <w:pPr>
              <w:ind w:left="400"/>
              <w:spacing w:after="0"/>
              <w:rPr>
                <w:sz w:val="20"/>
                <w:szCs w:val="20"/>
                <w:color w:val="auto"/>
              </w:rPr>
            </w:pPr>
            <w:r>
              <w:rPr>
                <w:rFonts w:ascii="Courier New" w:cs="Courier New" w:eastAsia="Courier New" w:hAnsi="Courier New"/>
                <w:sz w:val="16"/>
                <w:szCs w:val="16"/>
                <w:color w:val="auto"/>
              </w:rPr>
              <w:t>Spencer B. Haber</w:t>
            </w:r>
          </w:p>
        </w:tc>
        <w:tc>
          <w:tcPr>
            <w:tcW w:w="41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564"/>
        </w:trPr>
        <w:tc>
          <w:tcPr>
            <w:tcW w:w="2680" w:type="dxa"/>
            <w:vAlign w:val="bottom"/>
          </w:tcPr>
          <w:p>
            <w:pPr>
              <w:spacing w:after="0"/>
              <w:rPr>
                <w:sz w:val="20"/>
                <w:szCs w:val="20"/>
                <w:color w:val="auto"/>
              </w:rPr>
            </w:pPr>
            <w:r>
              <w:rPr>
                <w:rFonts w:ascii="Courier New" w:cs="Courier New" w:eastAsia="Courier New" w:hAnsi="Courier New"/>
                <w:sz w:val="16"/>
                <w:szCs w:val="16"/>
                <w:color w:val="auto"/>
              </w:rPr>
              <w:t>/s/ Willis Andersen, Jr.</w:t>
            </w:r>
          </w:p>
        </w:tc>
        <w:tc>
          <w:tcPr>
            <w:tcW w:w="4120" w:type="dxa"/>
            <w:vAlign w:val="bottom"/>
          </w:tcPr>
          <w:p>
            <w:pPr>
              <w:ind w:left="1320"/>
              <w:spacing w:after="0"/>
              <w:rPr>
                <w:sz w:val="20"/>
                <w:szCs w:val="20"/>
                <w:color w:val="auto"/>
              </w:rPr>
            </w:pPr>
            <w:r>
              <w:rPr>
                <w:rFonts w:ascii="Courier New" w:cs="Courier New" w:eastAsia="Courier New" w:hAnsi="Courier New"/>
                <w:sz w:val="16"/>
                <w:szCs w:val="16"/>
                <w:color w:val="auto"/>
              </w:rPr>
              <w:t>Director</w:t>
            </w:r>
          </w:p>
        </w:tc>
        <w:tc>
          <w:tcPr>
            <w:tcW w:w="2000" w:type="dxa"/>
            <w:vAlign w:val="bottom"/>
          </w:tcPr>
          <w:p>
            <w:pPr>
              <w:ind w:left="340"/>
              <w:spacing w:after="0"/>
              <w:rPr>
                <w:sz w:val="20"/>
                <w:szCs w:val="20"/>
                <w:color w:val="auto"/>
              </w:rPr>
            </w:pPr>
            <w:r>
              <w:rPr>
                <w:rFonts w:ascii="Courier New" w:cs="Courier New" w:eastAsia="Courier New" w:hAnsi="Courier New"/>
                <w:sz w:val="16"/>
                <w:szCs w:val="16"/>
                <w:color w:val="auto"/>
              </w:rPr>
              <w:t>November 4, 1999</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1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188"/>
        </w:trPr>
        <w:tc>
          <w:tcPr>
            <w:tcW w:w="2680" w:type="dxa"/>
            <w:vAlign w:val="bottom"/>
          </w:tcPr>
          <w:p>
            <w:pPr>
              <w:ind w:left="400"/>
              <w:spacing w:after="0"/>
              <w:rPr>
                <w:sz w:val="20"/>
                <w:szCs w:val="20"/>
                <w:color w:val="auto"/>
              </w:rPr>
            </w:pPr>
            <w:r>
              <w:rPr>
                <w:rFonts w:ascii="Courier New" w:cs="Courier New" w:eastAsia="Courier New" w:hAnsi="Courier New"/>
                <w:sz w:val="16"/>
                <w:szCs w:val="16"/>
                <w:color w:val="auto"/>
              </w:rPr>
              <w:t>Willis Andersen, Jr.</w:t>
            </w:r>
          </w:p>
        </w:tc>
        <w:tc>
          <w:tcPr>
            <w:tcW w:w="41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564"/>
        </w:trPr>
        <w:tc>
          <w:tcPr>
            <w:tcW w:w="2680" w:type="dxa"/>
            <w:vAlign w:val="bottom"/>
          </w:tcPr>
          <w:p>
            <w:pPr>
              <w:spacing w:after="0"/>
              <w:rPr>
                <w:sz w:val="20"/>
                <w:szCs w:val="20"/>
                <w:color w:val="auto"/>
              </w:rPr>
            </w:pPr>
            <w:r>
              <w:rPr>
                <w:rFonts w:ascii="Courier New" w:cs="Courier New" w:eastAsia="Courier New" w:hAnsi="Courier New"/>
                <w:sz w:val="16"/>
                <w:szCs w:val="16"/>
                <w:color w:val="auto"/>
              </w:rPr>
              <w:t>/s/ Jeffrey G. Dishner</w:t>
            </w:r>
          </w:p>
        </w:tc>
        <w:tc>
          <w:tcPr>
            <w:tcW w:w="4120" w:type="dxa"/>
            <w:vAlign w:val="bottom"/>
          </w:tcPr>
          <w:p>
            <w:pPr>
              <w:ind w:left="1320"/>
              <w:spacing w:after="0"/>
              <w:rPr>
                <w:sz w:val="20"/>
                <w:szCs w:val="20"/>
                <w:color w:val="auto"/>
              </w:rPr>
            </w:pPr>
            <w:r>
              <w:rPr>
                <w:rFonts w:ascii="Courier New" w:cs="Courier New" w:eastAsia="Courier New" w:hAnsi="Courier New"/>
                <w:sz w:val="16"/>
                <w:szCs w:val="16"/>
                <w:color w:val="auto"/>
              </w:rPr>
              <w:t>Director</w:t>
            </w:r>
          </w:p>
        </w:tc>
        <w:tc>
          <w:tcPr>
            <w:tcW w:w="2000" w:type="dxa"/>
            <w:vAlign w:val="bottom"/>
          </w:tcPr>
          <w:p>
            <w:pPr>
              <w:ind w:left="340"/>
              <w:spacing w:after="0"/>
              <w:rPr>
                <w:sz w:val="20"/>
                <w:szCs w:val="20"/>
                <w:color w:val="auto"/>
              </w:rPr>
            </w:pPr>
            <w:r>
              <w:rPr>
                <w:rFonts w:ascii="Courier New" w:cs="Courier New" w:eastAsia="Courier New" w:hAnsi="Courier New"/>
                <w:sz w:val="16"/>
                <w:szCs w:val="16"/>
                <w:color w:val="auto"/>
              </w:rPr>
              <w:t>November 4, 1999</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1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188"/>
        </w:trPr>
        <w:tc>
          <w:tcPr>
            <w:tcW w:w="2680" w:type="dxa"/>
            <w:vAlign w:val="bottom"/>
          </w:tcPr>
          <w:p>
            <w:pPr>
              <w:ind w:left="400"/>
              <w:spacing w:after="0"/>
              <w:rPr>
                <w:sz w:val="20"/>
                <w:szCs w:val="20"/>
                <w:color w:val="auto"/>
              </w:rPr>
            </w:pPr>
            <w:r>
              <w:rPr>
                <w:rFonts w:ascii="Courier New" w:cs="Courier New" w:eastAsia="Courier New" w:hAnsi="Courier New"/>
                <w:sz w:val="16"/>
                <w:szCs w:val="16"/>
                <w:color w:val="auto"/>
              </w:rPr>
              <w:t>Jeffrey G. Dishner</w:t>
            </w:r>
          </w:p>
        </w:tc>
        <w:tc>
          <w:tcPr>
            <w:tcW w:w="41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564"/>
        </w:trPr>
        <w:tc>
          <w:tcPr>
            <w:tcW w:w="2680" w:type="dxa"/>
            <w:vAlign w:val="bottom"/>
          </w:tcPr>
          <w:p>
            <w:pPr>
              <w:spacing w:after="0"/>
              <w:rPr>
                <w:sz w:val="20"/>
                <w:szCs w:val="20"/>
                <w:color w:val="auto"/>
              </w:rPr>
            </w:pPr>
            <w:r>
              <w:rPr>
                <w:rFonts w:ascii="Courier New" w:cs="Courier New" w:eastAsia="Courier New" w:hAnsi="Courier New"/>
                <w:sz w:val="16"/>
                <w:szCs w:val="16"/>
                <w:color w:val="auto"/>
              </w:rPr>
              <w:t>/s/ Jonathan D. Eilian</w:t>
            </w:r>
          </w:p>
        </w:tc>
        <w:tc>
          <w:tcPr>
            <w:tcW w:w="4120" w:type="dxa"/>
            <w:vAlign w:val="bottom"/>
          </w:tcPr>
          <w:p>
            <w:pPr>
              <w:ind w:left="1320"/>
              <w:spacing w:after="0"/>
              <w:rPr>
                <w:sz w:val="20"/>
                <w:szCs w:val="20"/>
                <w:color w:val="auto"/>
              </w:rPr>
            </w:pPr>
            <w:r>
              <w:rPr>
                <w:rFonts w:ascii="Courier New" w:cs="Courier New" w:eastAsia="Courier New" w:hAnsi="Courier New"/>
                <w:sz w:val="16"/>
                <w:szCs w:val="16"/>
                <w:color w:val="auto"/>
              </w:rPr>
              <w:t>Director</w:t>
            </w:r>
          </w:p>
        </w:tc>
        <w:tc>
          <w:tcPr>
            <w:tcW w:w="2000" w:type="dxa"/>
            <w:vAlign w:val="bottom"/>
          </w:tcPr>
          <w:p>
            <w:pPr>
              <w:ind w:left="340"/>
              <w:spacing w:after="0"/>
              <w:rPr>
                <w:sz w:val="20"/>
                <w:szCs w:val="20"/>
                <w:color w:val="auto"/>
              </w:rPr>
            </w:pPr>
            <w:r>
              <w:rPr>
                <w:rFonts w:ascii="Courier New" w:cs="Courier New" w:eastAsia="Courier New" w:hAnsi="Courier New"/>
                <w:sz w:val="16"/>
                <w:szCs w:val="16"/>
                <w:color w:val="auto"/>
              </w:rPr>
              <w:t>November 4, 1999</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1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188"/>
        </w:trPr>
        <w:tc>
          <w:tcPr>
            <w:tcW w:w="2680" w:type="dxa"/>
            <w:vAlign w:val="bottom"/>
          </w:tcPr>
          <w:p>
            <w:pPr>
              <w:ind w:left="400"/>
              <w:spacing w:after="0"/>
              <w:rPr>
                <w:sz w:val="20"/>
                <w:szCs w:val="20"/>
                <w:color w:val="auto"/>
              </w:rPr>
            </w:pPr>
            <w:r>
              <w:rPr>
                <w:rFonts w:ascii="Courier New" w:cs="Courier New" w:eastAsia="Courier New" w:hAnsi="Courier New"/>
                <w:sz w:val="16"/>
                <w:szCs w:val="16"/>
                <w:color w:val="auto"/>
              </w:rPr>
              <w:t>Jonathan D. Eilian</w:t>
            </w:r>
          </w:p>
        </w:tc>
        <w:tc>
          <w:tcPr>
            <w:tcW w:w="41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564"/>
        </w:trPr>
        <w:tc>
          <w:tcPr>
            <w:tcW w:w="2680" w:type="dxa"/>
            <w:vAlign w:val="bottom"/>
          </w:tcPr>
          <w:p>
            <w:pPr>
              <w:spacing w:after="0"/>
              <w:rPr>
                <w:sz w:val="20"/>
                <w:szCs w:val="20"/>
                <w:color w:val="auto"/>
              </w:rPr>
            </w:pPr>
            <w:r>
              <w:rPr>
                <w:rFonts w:ascii="Courier New" w:cs="Courier New" w:eastAsia="Courier New" w:hAnsi="Courier New"/>
                <w:sz w:val="16"/>
                <w:szCs w:val="16"/>
                <w:color w:val="auto"/>
              </w:rPr>
              <w:t>/s/ Madison F. Grose</w:t>
            </w:r>
          </w:p>
        </w:tc>
        <w:tc>
          <w:tcPr>
            <w:tcW w:w="4120" w:type="dxa"/>
            <w:vAlign w:val="bottom"/>
          </w:tcPr>
          <w:p>
            <w:pPr>
              <w:ind w:left="1320"/>
              <w:spacing w:after="0"/>
              <w:rPr>
                <w:sz w:val="20"/>
                <w:szCs w:val="20"/>
                <w:color w:val="auto"/>
              </w:rPr>
            </w:pPr>
            <w:r>
              <w:rPr>
                <w:rFonts w:ascii="Courier New" w:cs="Courier New" w:eastAsia="Courier New" w:hAnsi="Courier New"/>
                <w:sz w:val="16"/>
                <w:szCs w:val="16"/>
                <w:color w:val="auto"/>
              </w:rPr>
              <w:t>Director</w:t>
            </w:r>
          </w:p>
        </w:tc>
        <w:tc>
          <w:tcPr>
            <w:tcW w:w="2000" w:type="dxa"/>
            <w:vAlign w:val="bottom"/>
          </w:tcPr>
          <w:p>
            <w:pPr>
              <w:ind w:left="340"/>
              <w:spacing w:after="0"/>
              <w:rPr>
                <w:sz w:val="20"/>
                <w:szCs w:val="20"/>
                <w:color w:val="auto"/>
              </w:rPr>
            </w:pPr>
            <w:r>
              <w:rPr>
                <w:rFonts w:ascii="Courier New" w:cs="Courier New" w:eastAsia="Courier New" w:hAnsi="Courier New"/>
                <w:sz w:val="16"/>
                <w:szCs w:val="16"/>
                <w:color w:val="auto"/>
              </w:rPr>
              <w:t>November 4, 1999</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1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188"/>
        </w:trPr>
        <w:tc>
          <w:tcPr>
            <w:tcW w:w="2680" w:type="dxa"/>
            <w:vAlign w:val="bottom"/>
          </w:tcPr>
          <w:p>
            <w:pPr>
              <w:ind w:left="400"/>
              <w:spacing w:after="0"/>
              <w:rPr>
                <w:sz w:val="20"/>
                <w:szCs w:val="20"/>
                <w:color w:val="auto"/>
              </w:rPr>
            </w:pPr>
            <w:r>
              <w:rPr>
                <w:rFonts w:ascii="Courier New" w:cs="Courier New" w:eastAsia="Courier New" w:hAnsi="Courier New"/>
                <w:sz w:val="16"/>
                <w:szCs w:val="16"/>
                <w:color w:val="auto"/>
              </w:rPr>
              <w:t>Madison F. Grose</w:t>
            </w:r>
          </w:p>
        </w:tc>
        <w:tc>
          <w:tcPr>
            <w:tcW w:w="41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564"/>
        </w:trPr>
        <w:tc>
          <w:tcPr>
            <w:tcW w:w="2680" w:type="dxa"/>
            <w:vAlign w:val="bottom"/>
          </w:tcPr>
          <w:p>
            <w:pPr>
              <w:spacing w:after="0"/>
              <w:rPr>
                <w:sz w:val="20"/>
                <w:szCs w:val="20"/>
                <w:color w:val="auto"/>
              </w:rPr>
            </w:pPr>
            <w:r>
              <w:rPr>
                <w:rFonts w:ascii="Courier New" w:cs="Courier New" w:eastAsia="Courier New" w:hAnsi="Courier New"/>
                <w:sz w:val="16"/>
                <w:szCs w:val="16"/>
                <w:color w:val="auto"/>
              </w:rPr>
              <w:t>/s/ Robert W. Holman, Jr.</w:t>
            </w:r>
          </w:p>
        </w:tc>
        <w:tc>
          <w:tcPr>
            <w:tcW w:w="4120" w:type="dxa"/>
            <w:vAlign w:val="bottom"/>
          </w:tcPr>
          <w:p>
            <w:pPr>
              <w:ind w:left="1320"/>
              <w:spacing w:after="0"/>
              <w:rPr>
                <w:sz w:val="20"/>
                <w:szCs w:val="20"/>
                <w:color w:val="auto"/>
              </w:rPr>
            </w:pPr>
            <w:r>
              <w:rPr>
                <w:rFonts w:ascii="Courier New" w:cs="Courier New" w:eastAsia="Courier New" w:hAnsi="Courier New"/>
                <w:sz w:val="16"/>
                <w:szCs w:val="16"/>
                <w:color w:val="auto"/>
              </w:rPr>
              <w:t>Director</w:t>
            </w:r>
          </w:p>
        </w:tc>
        <w:tc>
          <w:tcPr>
            <w:tcW w:w="2000" w:type="dxa"/>
            <w:vAlign w:val="bottom"/>
          </w:tcPr>
          <w:p>
            <w:pPr>
              <w:ind w:left="340"/>
              <w:spacing w:after="0"/>
              <w:rPr>
                <w:sz w:val="20"/>
                <w:szCs w:val="20"/>
                <w:color w:val="auto"/>
              </w:rPr>
            </w:pPr>
            <w:r>
              <w:rPr>
                <w:rFonts w:ascii="Courier New" w:cs="Courier New" w:eastAsia="Courier New" w:hAnsi="Courier New"/>
                <w:sz w:val="16"/>
                <w:szCs w:val="16"/>
                <w:color w:val="auto"/>
              </w:rPr>
              <w:t>November 4, 1999</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1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188"/>
        </w:trPr>
        <w:tc>
          <w:tcPr>
            <w:tcW w:w="2680" w:type="dxa"/>
            <w:vAlign w:val="bottom"/>
          </w:tcPr>
          <w:p>
            <w:pPr>
              <w:ind w:left="400"/>
              <w:spacing w:after="0"/>
              <w:rPr>
                <w:sz w:val="20"/>
                <w:szCs w:val="20"/>
                <w:color w:val="auto"/>
              </w:rPr>
            </w:pPr>
            <w:r>
              <w:rPr>
                <w:rFonts w:ascii="Courier New" w:cs="Courier New" w:eastAsia="Courier New" w:hAnsi="Courier New"/>
                <w:sz w:val="16"/>
                <w:szCs w:val="16"/>
                <w:color w:val="auto"/>
              </w:rPr>
              <w:t>Robert W. Holman, Jr.</w:t>
            </w:r>
          </w:p>
        </w:tc>
        <w:tc>
          <w:tcPr>
            <w:tcW w:w="41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564"/>
        </w:trPr>
        <w:tc>
          <w:tcPr>
            <w:tcW w:w="2680" w:type="dxa"/>
            <w:vAlign w:val="bottom"/>
          </w:tcPr>
          <w:p>
            <w:pPr>
              <w:spacing w:after="0"/>
              <w:rPr>
                <w:sz w:val="20"/>
                <w:szCs w:val="20"/>
                <w:color w:val="auto"/>
              </w:rPr>
            </w:pPr>
            <w:r>
              <w:rPr>
                <w:rFonts w:ascii="Courier New" w:cs="Courier New" w:eastAsia="Courier New" w:hAnsi="Courier New"/>
                <w:sz w:val="16"/>
                <w:szCs w:val="16"/>
                <w:color w:val="auto"/>
              </w:rPr>
              <w:t>/s/ Robin Josephs</w:t>
            </w:r>
          </w:p>
        </w:tc>
        <w:tc>
          <w:tcPr>
            <w:tcW w:w="4120" w:type="dxa"/>
            <w:vAlign w:val="bottom"/>
          </w:tcPr>
          <w:p>
            <w:pPr>
              <w:ind w:left="1320"/>
              <w:spacing w:after="0"/>
              <w:rPr>
                <w:sz w:val="20"/>
                <w:szCs w:val="20"/>
                <w:color w:val="auto"/>
              </w:rPr>
            </w:pPr>
            <w:r>
              <w:rPr>
                <w:rFonts w:ascii="Courier New" w:cs="Courier New" w:eastAsia="Courier New" w:hAnsi="Courier New"/>
                <w:sz w:val="16"/>
                <w:szCs w:val="16"/>
                <w:color w:val="auto"/>
              </w:rPr>
              <w:t>Director</w:t>
            </w:r>
          </w:p>
        </w:tc>
        <w:tc>
          <w:tcPr>
            <w:tcW w:w="2000" w:type="dxa"/>
            <w:vAlign w:val="bottom"/>
          </w:tcPr>
          <w:p>
            <w:pPr>
              <w:ind w:left="340"/>
              <w:spacing w:after="0"/>
              <w:rPr>
                <w:sz w:val="20"/>
                <w:szCs w:val="20"/>
                <w:color w:val="auto"/>
              </w:rPr>
            </w:pPr>
            <w:r>
              <w:rPr>
                <w:rFonts w:ascii="Courier New" w:cs="Courier New" w:eastAsia="Courier New" w:hAnsi="Courier New"/>
                <w:sz w:val="16"/>
                <w:szCs w:val="16"/>
                <w:color w:val="auto"/>
              </w:rPr>
              <w:t>November 4, 1999</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1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188"/>
        </w:trPr>
        <w:tc>
          <w:tcPr>
            <w:tcW w:w="2680" w:type="dxa"/>
            <w:vAlign w:val="bottom"/>
          </w:tcPr>
          <w:p>
            <w:pPr>
              <w:ind w:left="400"/>
              <w:spacing w:after="0"/>
              <w:rPr>
                <w:sz w:val="20"/>
                <w:szCs w:val="20"/>
                <w:color w:val="auto"/>
              </w:rPr>
            </w:pPr>
            <w:r>
              <w:rPr>
                <w:rFonts w:ascii="Courier New" w:cs="Courier New" w:eastAsia="Courier New" w:hAnsi="Courier New"/>
                <w:sz w:val="16"/>
                <w:szCs w:val="16"/>
                <w:color w:val="auto"/>
              </w:rPr>
              <w:t>Robin Josephs</w:t>
            </w:r>
          </w:p>
        </w:tc>
        <w:tc>
          <w:tcPr>
            <w:tcW w:w="41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564"/>
        </w:trPr>
        <w:tc>
          <w:tcPr>
            <w:tcW w:w="2680" w:type="dxa"/>
            <w:vAlign w:val="bottom"/>
          </w:tcPr>
          <w:p>
            <w:pPr>
              <w:spacing w:after="0"/>
              <w:rPr>
                <w:sz w:val="20"/>
                <w:szCs w:val="20"/>
                <w:color w:val="auto"/>
              </w:rPr>
            </w:pPr>
            <w:r>
              <w:rPr>
                <w:rFonts w:ascii="Courier New" w:cs="Courier New" w:eastAsia="Courier New" w:hAnsi="Courier New"/>
                <w:sz w:val="16"/>
                <w:szCs w:val="16"/>
                <w:color w:val="auto"/>
              </w:rPr>
              <w:t>/s/ Merrick R. Kleeman</w:t>
            </w:r>
          </w:p>
        </w:tc>
        <w:tc>
          <w:tcPr>
            <w:tcW w:w="4120" w:type="dxa"/>
            <w:vAlign w:val="bottom"/>
          </w:tcPr>
          <w:p>
            <w:pPr>
              <w:ind w:left="1320"/>
              <w:spacing w:after="0"/>
              <w:rPr>
                <w:sz w:val="20"/>
                <w:szCs w:val="20"/>
                <w:color w:val="auto"/>
              </w:rPr>
            </w:pPr>
            <w:r>
              <w:rPr>
                <w:rFonts w:ascii="Courier New" w:cs="Courier New" w:eastAsia="Courier New" w:hAnsi="Courier New"/>
                <w:sz w:val="16"/>
                <w:szCs w:val="16"/>
                <w:color w:val="auto"/>
              </w:rPr>
              <w:t>Director</w:t>
            </w:r>
          </w:p>
        </w:tc>
        <w:tc>
          <w:tcPr>
            <w:tcW w:w="2000" w:type="dxa"/>
            <w:vAlign w:val="bottom"/>
          </w:tcPr>
          <w:p>
            <w:pPr>
              <w:ind w:left="340"/>
              <w:spacing w:after="0"/>
              <w:rPr>
                <w:sz w:val="20"/>
                <w:szCs w:val="20"/>
                <w:color w:val="auto"/>
              </w:rPr>
            </w:pPr>
            <w:r>
              <w:rPr>
                <w:rFonts w:ascii="Courier New" w:cs="Courier New" w:eastAsia="Courier New" w:hAnsi="Courier New"/>
                <w:sz w:val="16"/>
                <w:szCs w:val="16"/>
                <w:color w:val="auto"/>
              </w:rPr>
              <w:t>November 4, 1999</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1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188"/>
        </w:trPr>
        <w:tc>
          <w:tcPr>
            <w:tcW w:w="2680" w:type="dxa"/>
            <w:vAlign w:val="bottom"/>
          </w:tcPr>
          <w:p>
            <w:pPr>
              <w:ind w:left="400"/>
              <w:spacing w:after="0"/>
              <w:rPr>
                <w:sz w:val="20"/>
                <w:szCs w:val="20"/>
                <w:color w:val="auto"/>
              </w:rPr>
            </w:pPr>
            <w:r>
              <w:rPr>
                <w:rFonts w:ascii="Courier New" w:cs="Courier New" w:eastAsia="Courier New" w:hAnsi="Courier New"/>
                <w:sz w:val="16"/>
                <w:szCs w:val="16"/>
                <w:color w:val="auto"/>
              </w:rPr>
              <w:t>Merrick R. Kleeman</w:t>
            </w:r>
          </w:p>
        </w:tc>
        <w:tc>
          <w:tcPr>
            <w:tcW w:w="41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564"/>
        </w:trPr>
        <w:tc>
          <w:tcPr>
            <w:tcW w:w="2680" w:type="dxa"/>
            <w:vAlign w:val="bottom"/>
          </w:tcPr>
          <w:p>
            <w:pPr>
              <w:spacing w:after="0"/>
              <w:rPr>
                <w:sz w:val="20"/>
                <w:szCs w:val="20"/>
                <w:color w:val="auto"/>
              </w:rPr>
            </w:pPr>
            <w:r>
              <w:rPr>
                <w:rFonts w:ascii="Courier New" w:cs="Courier New" w:eastAsia="Courier New" w:hAnsi="Courier New"/>
                <w:sz w:val="16"/>
                <w:szCs w:val="16"/>
                <w:color w:val="auto"/>
              </w:rPr>
              <w:t>/s/ William M. Matthes</w:t>
            </w:r>
          </w:p>
        </w:tc>
        <w:tc>
          <w:tcPr>
            <w:tcW w:w="4120" w:type="dxa"/>
            <w:vAlign w:val="bottom"/>
          </w:tcPr>
          <w:p>
            <w:pPr>
              <w:ind w:left="1320"/>
              <w:spacing w:after="0"/>
              <w:rPr>
                <w:sz w:val="20"/>
                <w:szCs w:val="20"/>
                <w:color w:val="auto"/>
              </w:rPr>
            </w:pPr>
            <w:r>
              <w:rPr>
                <w:rFonts w:ascii="Courier New" w:cs="Courier New" w:eastAsia="Courier New" w:hAnsi="Courier New"/>
                <w:sz w:val="16"/>
                <w:szCs w:val="16"/>
                <w:color w:val="auto"/>
              </w:rPr>
              <w:t>Director</w:t>
            </w:r>
          </w:p>
        </w:tc>
        <w:tc>
          <w:tcPr>
            <w:tcW w:w="2000" w:type="dxa"/>
            <w:vAlign w:val="bottom"/>
          </w:tcPr>
          <w:p>
            <w:pPr>
              <w:ind w:left="340"/>
              <w:spacing w:after="0"/>
              <w:rPr>
                <w:sz w:val="20"/>
                <w:szCs w:val="20"/>
                <w:color w:val="auto"/>
              </w:rPr>
            </w:pPr>
            <w:r>
              <w:rPr>
                <w:rFonts w:ascii="Courier New" w:cs="Courier New" w:eastAsia="Courier New" w:hAnsi="Courier New"/>
                <w:sz w:val="16"/>
                <w:szCs w:val="16"/>
                <w:color w:val="auto"/>
              </w:rPr>
              <w:t>November 4, 1999</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1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188"/>
        </w:trPr>
        <w:tc>
          <w:tcPr>
            <w:tcW w:w="2680" w:type="dxa"/>
            <w:vAlign w:val="bottom"/>
          </w:tcPr>
          <w:p>
            <w:pPr>
              <w:ind w:left="400"/>
              <w:spacing w:after="0"/>
              <w:rPr>
                <w:sz w:val="20"/>
                <w:szCs w:val="20"/>
                <w:color w:val="auto"/>
              </w:rPr>
            </w:pPr>
            <w:r>
              <w:rPr>
                <w:rFonts w:ascii="Courier New" w:cs="Courier New" w:eastAsia="Courier New" w:hAnsi="Courier New"/>
                <w:sz w:val="16"/>
                <w:szCs w:val="16"/>
                <w:color w:val="auto"/>
              </w:rPr>
              <w:t>William M. Matthes</w:t>
            </w:r>
          </w:p>
        </w:tc>
        <w:tc>
          <w:tcPr>
            <w:tcW w:w="41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376"/>
        </w:trPr>
        <w:tc>
          <w:tcPr>
            <w:tcW w:w="2680" w:type="dxa"/>
            <w:vAlign w:val="bottom"/>
          </w:tcPr>
          <w:p>
            <w:pPr>
              <w:spacing w:after="0"/>
              <w:rPr>
                <w:sz w:val="20"/>
                <w:szCs w:val="20"/>
                <w:color w:val="auto"/>
              </w:rPr>
            </w:pPr>
            <w:r>
              <w:rPr>
                <w:rFonts w:ascii="Courier New" w:cs="Courier New" w:eastAsia="Courier New" w:hAnsi="Courier New"/>
                <w:sz w:val="16"/>
                <w:szCs w:val="16"/>
                <w:color w:val="auto"/>
              </w:rPr>
              <w:t>/s/ John G. McDonald</w:t>
            </w:r>
          </w:p>
        </w:tc>
        <w:tc>
          <w:tcPr>
            <w:tcW w:w="4120" w:type="dxa"/>
            <w:vAlign w:val="bottom"/>
          </w:tcPr>
          <w:p>
            <w:pPr>
              <w:ind w:left="1320"/>
              <w:spacing w:after="0"/>
              <w:rPr>
                <w:sz w:val="20"/>
                <w:szCs w:val="20"/>
                <w:color w:val="auto"/>
              </w:rPr>
            </w:pPr>
            <w:r>
              <w:rPr>
                <w:rFonts w:ascii="Courier New" w:cs="Courier New" w:eastAsia="Courier New" w:hAnsi="Courier New"/>
                <w:sz w:val="16"/>
                <w:szCs w:val="16"/>
                <w:color w:val="auto"/>
              </w:rPr>
              <w:t>Director</w:t>
            </w:r>
          </w:p>
        </w:tc>
        <w:tc>
          <w:tcPr>
            <w:tcW w:w="2000" w:type="dxa"/>
            <w:vAlign w:val="bottom"/>
          </w:tcPr>
          <w:p>
            <w:pPr>
              <w:ind w:left="340"/>
              <w:spacing w:after="0"/>
              <w:rPr>
                <w:sz w:val="20"/>
                <w:szCs w:val="20"/>
                <w:color w:val="auto"/>
              </w:rPr>
            </w:pPr>
            <w:r>
              <w:rPr>
                <w:rFonts w:ascii="Courier New" w:cs="Courier New" w:eastAsia="Courier New" w:hAnsi="Courier New"/>
                <w:sz w:val="16"/>
                <w:szCs w:val="16"/>
                <w:color w:val="auto"/>
              </w:rPr>
              <w:t>November 4, 1999</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1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188"/>
        </w:trPr>
        <w:tc>
          <w:tcPr>
            <w:tcW w:w="2680" w:type="dxa"/>
            <w:vAlign w:val="bottom"/>
          </w:tcPr>
          <w:p>
            <w:pPr>
              <w:ind w:left="400"/>
              <w:spacing w:after="0"/>
              <w:rPr>
                <w:sz w:val="20"/>
                <w:szCs w:val="20"/>
                <w:color w:val="auto"/>
              </w:rPr>
            </w:pPr>
            <w:r>
              <w:rPr>
                <w:rFonts w:ascii="Courier New" w:cs="Courier New" w:eastAsia="Courier New" w:hAnsi="Courier New"/>
                <w:sz w:val="16"/>
                <w:szCs w:val="16"/>
                <w:color w:val="auto"/>
              </w:rPr>
              <w:t>John G. McDonald</w:t>
            </w:r>
          </w:p>
        </w:tc>
        <w:tc>
          <w:tcPr>
            <w:tcW w:w="41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564"/>
        </w:trPr>
        <w:tc>
          <w:tcPr>
            <w:tcW w:w="2680" w:type="dxa"/>
            <w:vAlign w:val="bottom"/>
          </w:tcPr>
          <w:p>
            <w:pPr>
              <w:spacing w:after="0"/>
              <w:rPr>
                <w:sz w:val="20"/>
                <w:szCs w:val="20"/>
                <w:color w:val="auto"/>
              </w:rPr>
            </w:pPr>
            <w:r>
              <w:rPr>
                <w:rFonts w:ascii="Courier New" w:cs="Courier New" w:eastAsia="Courier New" w:hAnsi="Courier New"/>
                <w:sz w:val="16"/>
                <w:szCs w:val="16"/>
                <w:color w:val="auto"/>
              </w:rPr>
              <w:t>/s/ Stephen B. Oresman</w:t>
            </w:r>
          </w:p>
        </w:tc>
        <w:tc>
          <w:tcPr>
            <w:tcW w:w="4120" w:type="dxa"/>
            <w:vAlign w:val="bottom"/>
          </w:tcPr>
          <w:p>
            <w:pPr>
              <w:ind w:left="1320"/>
              <w:spacing w:after="0"/>
              <w:rPr>
                <w:sz w:val="20"/>
                <w:szCs w:val="20"/>
                <w:color w:val="auto"/>
              </w:rPr>
            </w:pPr>
            <w:r>
              <w:rPr>
                <w:rFonts w:ascii="Courier New" w:cs="Courier New" w:eastAsia="Courier New" w:hAnsi="Courier New"/>
                <w:sz w:val="16"/>
                <w:szCs w:val="16"/>
                <w:color w:val="auto"/>
              </w:rPr>
              <w:t>Director</w:t>
            </w:r>
          </w:p>
        </w:tc>
        <w:tc>
          <w:tcPr>
            <w:tcW w:w="2000" w:type="dxa"/>
            <w:vAlign w:val="bottom"/>
          </w:tcPr>
          <w:p>
            <w:pPr>
              <w:ind w:left="340"/>
              <w:spacing w:after="0"/>
              <w:rPr>
                <w:sz w:val="20"/>
                <w:szCs w:val="20"/>
                <w:color w:val="auto"/>
              </w:rPr>
            </w:pPr>
            <w:r>
              <w:rPr>
                <w:rFonts w:ascii="Courier New" w:cs="Courier New" w:eastAsia="Courier New" w:hAnsi="Courier New"/>
                <w:sz w:val="16"/>
                <w:szCs w:val="16"/>
                <w:color w:val="auto"/>
              </w:rPr>
              <w:t>November 4, 1999</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1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188"/>
        </w:trPr>
        <w:tc>
          <w:tcPr>
            <w:tcW w:w="2680" w:type="dxa"/>
            <w:vAlign w:val="bottom"/>
          </w:tcPr>
          <w:p>
            <w:pPr>
              <w:ind w:left="400"/>
              <w:spacing w:after="0"/>
              <w:rPr>
                <w:sz w:val="20"/>
                <w:szCs w:val="20"/>
                <w:color w:val="auto"/>
              </w:rPr>
            </w:pPr>
            <w:r>
              <w:rPr>
                <w:rFonts w:ascii="Courier New" w:cs="Courier New" w:eastAsia="Courier New" w:hAnsi="Courier New"/>
                <w:sz w:val="16"/>
                <w:szCs w:val="16"/>
                <w:color w:val="auto"/>
              </w:rPr>
              <w:t>Stephen B. Oresman</w:t>
            </w:r>
          </w:p>
        </w:tc>
        <w:tc>
          <w:tcPr>
            <w:tcW w:w="41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564"/>
        </w:trPr>
        <w:tc>
          <w:tcPr>
            <w:tcW w:w="2680" w:type="dxa"/>
            <w:vAlign w:val="bottom"/>
          </w:tcPr>
          <w:p>
            <w:pPr>
              <w:spacing w:after="0"/>
              <w:rPr>
                <w:sz w:val="20"/>
                <w:szCs w:val="20"/>
                <w:color w:val="auto"/>
              </w:rPr>
            </w:pPr>
            <w:r>
              <w:rPr>
                <w:rFonts w:ascii="Courier New" w:cs="Courier New" w:eastAsia="Courier New" w:hAnsi="Courier New"/>
                <w:sz w:val="16"/>
                <w:szCs w:val="16"/>
                <w:color w:val="auto"/>
              </w:rPr>
              <w:t>/s/ George R. Puskar</w:t>
            </w:r>
          </w:p>
        </w:tc>
        <w:tc>
          <w:tcPr>
            <w:tcW w:w="4120" w:type="dxa"/>
            <w:vAlign w:val="bottom"/>
          </w:tcPr>
          <w:p>
            <w:pPr>
              <w:ind w:left="1320"/>
              <w:spacing w:after="0"/>
              <w:rPr>
                <w:sz w:val="20"/>
                <w:szCs w:val="20"/>
                <w:color w:val="auto"/>
              </w:rPr>
            </w:pPr>
            <w:r>
              <w:rPr>
                <w:rFonts w:ascii="Courier New" w:cs="Courier New" w:eastAsia="Courier New" w:hAnsi="Courier New"/>
                <w:sz w:val="16"/>
                <w:szCs w:val="16"/>
                <w:color w:val="auto"/>
              </w:rPr>
              <w:t>Director</w:t>
            </w:r>
          </w:p>
        </w:tc>
        <w:tc>
          <w:tcPr>
            <w:tcW w:w="2000" w:type="dxa"/>
            <w:vAlign w:val="bottom"/>
          </w:tcPr>
          <w:p>
            <w:pPr>
              <w:ind w:left="340"/>
              <w:spacing w:after="0"/>
              <w:rPr>
                <w:sz w:val="20"/>
                <w:szCs w:val="20"/>
                <w:color w:val="auto"/>
              </w:rPr>
            </w:pPr>
            <w:r>
              <w:rPr>
                <w:rFonts w:ascii="Courier New" w:cs="Courier New" w:eastAsia="Courier New" w:hAnsi="Courier New"/>
                <w:sz w:val="16"/>
                <w:szCs w:val="16"/>
                <w:color w:val="auto"/>
              </w:rPr>
              <w:t>November 4, 1999</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1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188"/>
        </w:trPr>
        <w:tc>
          <w:tcPr>
            <w:tcW w:w="2680" w:type="dxa"/>
            <w:vAlign w:val="bottom"/>
          </w:tcPr>
          <w:p>
            <w:pPr>
              <w:ind w:left="400"/>
              <w:spacing w:after="0"/>
              <w:rPr>
                <w:sz w:val="20"/>
                <w:szCs w:val="20"/>
                <w:color w:val="auto"/>
              </w:rPr>
            </w:pPr>
            <w:r>
              <w:rPr>
                <w:rFonts w:ascii="Courier New" w:cs="Courier New" w:eastAsia="Courier New" w:hAnsi="Courier New"/>
                <w:sz w:val="16"/>
                <w:szCs w:val="16"/>
                <w:color w:val="auto"/>
              </w:rPr>
              <w:t>George R. Puskar</w:t>
            </w:r>
          </w:p>
        </w:tc>
        <w:tc>
          <w:tcPr>
            <w:tcW w:w="41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564"/>
        </w:trPr>
        <w:tc>
          <w:tcPr>
            <w:tcW w:w="2680" w:type="dxa"/>
            <w:vAlign w:val="bottom"/>
          </w:tcPr>
          <w:p>
            <w:pPr>
              <w:spacing w:after="0"/>
              <w:rPr>
                <w:sz w:val="20"/>
                <w:szCs w:val="20"/>
                <w:color w:val="auto"/>
              </w:rPr>
            </w:pPr>
            <w:r>
              <w:rPr>
                <w:rFonts w:ascii="Courier New" w:cs="Courier New" w:eastAsia="Courier New" w:hAnsi="Courier New"/>
                <w:sz w:val="16"/>
                <w:szCs w:val="16"/>
                <w:color w:val="auto"/>
              </w:rPr>
              <w:t>/s/ Kneeland C. Youngblood</w:t>
            </w:r>
          </w:p>
        </w:tc>
        <w:tc>
          <w:tcPr>
            <w:tcW w:w="4120" w:type="dxa"/>
            <w:vAlign w:val="bottom"/>
          </w:tcPr>
          <w:p>
            <w:pPr>
              <w:ind w:left="1320"/>
              <w:spacing w:after="0"/>
              <w:rPr>
                <w:sz w:val="20"/>
                <w:szCs w:val="20"/>
                <w:color w:val="auto"/>
              </w:rPr>
            </w:pPr>
            <w:r>
              <w:rPr>
                <w:rFonts w:ascii="Courier New" w:cs="Courier New" w:eastAsia="Courier New" w:hAnsi="Courier New"/>
                <w:sz w:val="16"/>
                <w:szCs w:val="16"/>
                <w:color w:val="auto"/>
              </w:rPr>
              <w:t>Director</w:t>
            </w:r>
          </w:p>
        </w:tc>
        <w:tc>
          <w:tcPr>
            <w:tcW w:w="2000" w:type="dxa"/>
            <w:vAlign w:val="bottom"/>
          </w:tcPr>
          <w:p>
            <w:pPr>
              <w:ind w:left="340"/>
              <w:spacing w:after="0"/>
              <w:rPr>
                <w:sz w:val="20"/>
                <w:szCs w:val="20"/>
                <w:color w:val="auto"/>
              </w:rPr>
            </w:pPr>
            <w:r>
              <w:rPr>
                <w:rFonts w:ascii="Courier New" w:cs="Courier New" w:eastAsia="Courier New" w:hAnsi="Courier New"/>
                <w:sz w:val="16"/>
                <w:szCs w:val="16"/>
                <w:color w:val="auto"/>
              </w:rPr>
              <w:t>November 4, 1999</w:t>
            </w:r>
          </w:p>
        </w:tc>
      </w:tr>
    </w:tbl>
    <w:p>
      <w:pPr>
        <w:spacing w:after="0" w:line="4" w:lineRule="exact"/>
        <w:rPr>
          <w:sz w:val="20"/>
          <w:szCs w:val="20"/>
          <w:color w:val="auto"/>
        </w:rPr>
      </w:pPr>
    </w:p>
    <w:p>
      <w:pPr>
        <w:ind w:left="200" w:hanging="200"/>
        <w:spacing w:after="0"/>
        <w:tabs>
          <w:tab w:leader="none" w:pos="2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Kneeland C. Youngblood</w:t>
      </w:r>
    </w:p>
    <w:p>
      <w:pPr>
        <w:sectPr>
          <w:pgSz w:w="11900" w:h="16838" w:orient="portrait"/>
          <w:cols w:equalWidth="0" w:num="1">
            <w:col w:w="10219"/>
          </w:cols>
          <w:pgMar w:left="240" w:top="868" w:right="1440" w:bottom="1440" w:gutter="0" w:footer="0" w:header="0"/>
        </w:sectPr>
      </w:pPr>
    </w:p>
    <w:bookmarkStart w:id="9" w:name="page10"/>
    <w:bookmarkEnd w:id="9"/>
    <w:p>
      <w:pPr>
        <w:jc w:val="right"/>
        <w:ind w:right="2399"/>
        <w:spacing w:after="0"/>
        <w:rPr>
          <w:sz w:val="20"/>
          <w:szCs w:val="20"/>
          <w:color w:val="auto"/>
        </w:rPr>
      </w:pPr>
      <w:r>
        <w:rPr>
          <w:rFonts w:ascii="Courier New" w:cs="Courier New" w:eastAsia="Courier New" w:hAnsi="Courier New"/>
          <w:sz w:val="16"/>
          <w:szCs w:val="16"/>
          <w:color w:val="auto"/>
        </w:rPr>
        <w:t>Exhibit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FILE NUMBER</w:t>
      </w:r>
    </w:p>
    <w:p>
      <w:pPr>
        <w:spacing w:after="0" w:line="7" w:lineRule="exact"/>
        <w:rPr>
          <w:sz w:val="20"/>
          <w:szCs w:val="20"/>
          <w:color w:val="auto"/>
        </w:rPr>
      </w:pPr>
    </w:p>
    <w:p>
      <w:pPr>
        <w:ind w:left="7040"/>
        <w:spacing w:after="0"/>
        <w:rPr>
          <w:sz w:val="20"/>
          <w:szCs w:val="20"/>
          <w:color w:val="auto"/>
        </w:rPr>
      </w:pPr>
      <w:r>
        <w:rPr>
          <w:rFonts w:ascii="Courier New" w:cs="Courier New" w:eastAsia="Courier New" w:hAnsi="Courier New"/>
          <w:sz w:val="16"/>
          <w:szCs w:val="16"/>
          <w:color w:val="auto"/>
        </w:rPr>
        <w:t>872381</w:t>
      </w:r>
    </w:p>
    <w:p>
      <w:pPr>
        <w:spacing w:after="0" w:line="3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November 4, 1999</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Starwood Financial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27th Floor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1114 Avenue of the Americas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 10036</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Re: Starwood Financial Inc.: Registration</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Statement on Form S-8</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5"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We have served as Maryland counsel to Starwood Financial Inc., a Maryland corporation (the "Company"), in connection with certain matters of Maryland law arising out of the registration of 726,410 shares (the "Shares") of common stock, $.001 par value per share, of the Company ("Common Stock") covered by the above-referenced Registration Statement, and all amendments thereto (the "Registration Statement"), filed with the Securities and Exchange Commission (the "Commission") under the Securities Act of 1933, as amended (the "1933 Act"). The Shares are issuable by the Company upon the exercise of options ("Starwood Options") to purchase shares of Common Stock that were converted from options ("TriNet Options") to purchase shares of common stock, $.01 par value per share, of TriNet Corporate Realty Trust, Inc., a Maryland corporation ("TriNet"), in connection with the merger of ST Merger Sub, Inc., a Maryland corporation and a wholly owned subsidiary of the Company ("ST"), with and into TriNet (the "Merger"), pursuant to the Agreement and Plan of Merger, dated as of June 15, 1999, as amended (the "Merger Agreement"), by and between the Company (then Starwood Financial Trust, a Maryland real estate investment trust), TriNet and ST. Capitalized terms used but not defined herein shall have the meanings given to them in the Registration Statement.</w:t>
      </w:r>
    </w:p>
    <w:p>
      <w:pPr>
        <w:spacing w:after="0" w:line="186"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ectPr>
          <w:pgSz w:w="11900" w:h="16838" w:orient="portrait"/>
          <w:cols w:equalWidth="0" w:num="1">
            <w:col w:w="10219"/>
          </w:cols>
          <w:pgMar w:left="240" w:top="330"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Starwood Financial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4,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w:t>
      </w:r>
    </w:p>
    <w:p>
      <w:pPr>
        <w:spacing w:after="0" w:line="383" w:lineRule="exact"/>
        <w:rPr>
          <w:sz w:val="20"/>
          <w:szCs w:val="20"/>
          <w:color w:val="auto"/>
        </w:rPr>
      </w:pPr>
    </w:p>
    <w:p>
      <w:pPr>
        <w:ind w:left="1180" w:hanging="300"/>
        <w:spacing w:after="0"/>
        <w:tabs>
          <w:tab w:leader="none" w:pos="11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w:t>
      </w:r>
    </w:p>
    <w:p>
      <w:pPr>
        <w:spacing w:after="0" w:line="194" w:lineRule="exact"/>
        <w:rPr>
          <w:rFonts w:ascii="Courier New" w:cs="Courier New" w:eastAsia="Courier New" w:hAnsi="Courier New"/>
          <w:sz w:val="16"/>
          <w:szCs w:val="16"/>
          <w:color w:val="auto"/>
        </w:rPr>
      </w:pPr>
    </w:p>
    <w:p>
      <w:pPr>
        <w:ind w:right="2399" w:firstLine="880"/>
        <w:spacing w:after="0" w:line="250" w:lineRule="auto"/>
        <w:tabs>
          <w:tab w:leader="none" w:pos="117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Charter of the Company (the "Charter"), certified as of a recent date by the State Department of Assessments and Taxation of Maryland (the "SDAT");</w:t>
      </w:r>
    </w:p>
    <w:p>
      <w:pPr>
        <w:spacing w:after="0" w:line="185" w:lineRule="exact"/>
        <w:rPr>
          <w:rFonts w:ascii="Courier New" w:cs="Courier New" w:eastAsia="Courier New" w:hAnsi="Courier New"/>
          <w:sz w:val="16"/>
          <w:szCs w:val="16"/>
          <w:color w:val="auto"/>
        </w:rPr>
      </w:pPr>
    </w:p>
    <w:p>
      <w:pPr>
        <w:ind w:right="2799" w:firstLine="880"/>
        <w:spacing w:after="0" w:line="252" w:lineRule="auto"/>
        <w:tabs>
          <w:tab w:leader="none" w:pos="117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Bylaws of the Company, certified as of the date hereof by an officer of the Company;</w:t>
      </w:r>
    </w:p>
    <w:p>
      <w:pPr>
        <w:spacing w:after="0" w:line="183" w:lineRule="exact"/>
        <w:rPr>
          <w:rFonts w:ascii="Courier New" w:cs="Courier New" w:eastAsia="Courier New" w:hAnsi="Courier New"/>
          <w:sz w:val="16"/>
          <w:szCs w:val="16"/>
          <w:color w:val="auto"/>
        </w:rPr>
      </w:pPr>
    </w:p>
    <w:p>
      <w:pPr>
        <w:ind w:right="2699" w:firstLine="880"/>
        <w:spacing w:after="0" w:line="252" w:lineRule="auto"/>
        <w:tabs>
          <w:tab w:leader="none" w:pos="117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the SDAT as to the good standing of the Company, dated as of a recent date;</w:t>
      </w:r>
    </w:p>
    <w:p>
      <w:pPr>
        <w:spacing w:after="0" w:line="183" w:lineRule="exact"/>
        <w:rPr>
          <w:rFonts w:ascii="Courier New" w:cs="Courier New" w:eastAsia="Courier New" w:hAnsi="Courier New"/>
          <w:sz w:val="16"/>
          <w:szCs w:val="16"/>
          <w:color w:val="auto"/>
        </w:rPr>
      </w:pPr>
    </w:p>
    <w:p>
      <w:pPr>
        <w:ind w:right="2499" w:firstLine="880"/>
        <w:spacing w:after="0" w:line="252" w:lineRule="auto"/>
        <w:tabs>
          <w:tab w:leader="none" w:pos="117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Articles of Merger relating to the Merger, certified as of a recent date by the SDAT;</w:t>
      </w:r>
    </w:p>
    <w:p>
      <w:pPr>
        <w:spacing w:after="0" w:line="183" w:lineRule="exact"/>
        <w:rPr>
          <w:rFonts w:ascii="Courier New" w:cs="Courier New" w:eastAsia="Courier New" w:hAnsi="Courier New"/>
          <w:sz w:val="16"/>
          <w:szCs w:val="16"/>
          <w:color w:val="auto"/>
        </w:rPr>
      </w:pPr>
    </w:p>
    <w:p>
      <w:pPr>
        <w:ind w:right="2399" w:firstLine="880"/>
        <w:spacing w:after="0" w:line="249" w:lineRule="auto"/>
        <w:tabs>
          <w:tab w:leader="none" w:pos="117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Resolutions adopted by the Board of Directors of the Company relating to the authorization of the registration of the Shares and the issuance of the Shares upon exercise of Starwood Options (the "Resolutions"), certified as of the date hereof by an officer of the Company;</w:t>
      </w:r>
    </w:p>
    <w:p>
      <w:pPr>
        <w:spacing w:after="0" w:line="187" w:lineRule="exact"/>
        <w:rPr>
          <w:rFonts w:ascii="Courier New" w:cs="Courier New" w:eastAsia="Courier New" w:hAnsi="Courier New"/>
          <w:sz w:val="16"/>
          <w:szCs w:val="16"/>
          <w:color w:val="auto"/>
        </w:rPr>
      </w:pPr>
    </w:p>
    <w:p>
      <w:pPr>
        <w:ind w:left="1180" w:hanging="300"/>
        <w:spacing w:after="0"/>
        <w:tabs>
          <w:tab w:leader="none" w:pos="11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Agreement;</w:t>
      </w:r>
    </w:p>
    <w:p>
      <w:pPr>
        <w:spacing w:after="0" w:line="194" w:lineRule="exact"/>
        <w:rPr>
          <w:rFonts w:ascii="Courier New" w:cs="Courier New" w:eastAsia="Courier New" w:hAnsi="Courier New"/>
          <w:sz w:val="16"/>
          <w:szCs w:val="16"/>
          <w:color w:val="auto"/>
        </w:rPr>
      </w:pPr>
    </w:p>
    <w:p>
      <w:pPr>
        <w:ind w:left="1180" w:hanging="300"/>
        <w:spacing w:after="0"/>
        <w:tabs>
          <w:tab w:leader="none" w:pos="11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executed by an officer of the Company, dated the date</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hereof; and</w:t>
      </w:r>
    </w:p>
    <w:p>
      <w:pPr>
        <w:spacing w:after="0" w:line="194" w:lineRule="exact"/>
        <w:rPr>
          <w:rFonts w:ascii="Courier New" w:cs="Courier New" w:eastAsia="Courier New" w:hAnsi="Courier New"/>
          <w:sz w:val="16"/>
          <w:szCs w:val="16"/>
          <w:color w:val="auto"/>
        </w:rPr>
      </w:pPr>
    </w:p>
    <w:p>
      <w:pPr>
        <w:ind w:right="2499" w:firstLine="880"/>
        <w:spacing w:after="0" w:line="250" w:lineRule="auto"/>
        <w:tabs>
          <w:tab w:leader="none" w:pos="117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documents and matters as we have deemed necessary or appropriate to express the opinion set forth below, subject to the assumptions, limitations and qualifications stated herein.</w:t>
      </w:r>
    </w:p>
    <w:p>
      <w:pPr>
        <w:spacing w:after="0" w:line="185" w:lineRule="exact"/>
        <w:rPr>
          <w:sz w:val="20"/>
          <w:szCs w:val="20"/>
          <w:color w:val="auto"/>
        </w:rPr>
      </w:pPr>
    </w:p>
    <w:p>
      <w:pPr>
        <w:ind w:right="3279" w:firstLine="880"/>
        <w:spacing w:after="0" w:line="252" w:lineRule="auto"/>
        <w:rPr>
          <w:sz w:val="20"/>
          <w:szCs w:val="20"/>
          <w:color w:val="auto"/>
        </w:rPr>
      </w:pPr>
      <w:r>
        <w:rPr>
          <w:rFonts w:ascii="Courier New" w:cs="Courier New" w:eastAsia="Courier New" w:hAnsi="Courier New"/>
          <w:sz w:val="16"/>
          <w:szCs w:val="16"/>
          <w:color w:val="auto"/>
        </w:rPr>
        <w:t>In expressing the opinion set forth below, we have assumed the following:</w:t>
      </w:r>
    </w:p>
    <w:p>
      <w:pPr>
        <w:spacing w:after="0" w:line="183" w:lineRule="exact"/>
        <w:rPr>
          <w:sz w:val="20"/>
          <w:szCs w:val="20"/>
          <w:color w:val="auto"/>
        </w:rPr>
      </w:pPr>
    </w:p>
    <w:p>
      <w:pPr>
        <w:ind w:right="2399" w:firstLine="880"/>
        <w:spacing w:after="0" w:line="252" w:lineRule="auto"/>
        <w:tabs>
          <w:tab w:leader="none" w:pos="117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individual executing any of the Documents, whether on behalf of such individual or another person, is legally competent to do so.</w:t>
      </w:r>
    </w:p>
    <w:p>
      <w:pPr>
        <w:spacing w:after="0" w:line="183" w:lineRule="exact"/>
        <w:rPr>
          <w:rFonts w:ascii="Courier New" w:cs="Courier New" w:eastAsia="Courier New" w:hAnsi="Courier New"/>
          <w:sz w:val="16"/>
          <w:szCs w:val="16"/>
          <w:color w:val="auto"/>
        </w:rPr>
      </w:pPr>
    </w:p>
    <w:p>
      <w:pPr>
        <w:ind w:right="2499" w:firstLine="880"/>
        <w:spacing w:after="0" w:line="252" w:lineRule="auto"/>
        <w:tabs>
          <w:tab w:leader="none" w:pos="117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individual executing any of the Documents on behalf of a party (other than the Company) is duly authorized to do so.</w:t>
      </w:r>
    </w:p>
    <w:p>
      <w:pPr>
        <w:spacing w:after="0" w:line="183" w:lineRule="exact"/>
        <w:rPr>
          <w:rFonts w:ascii="Courier New" w:cs="Courier New" w:eastAsia="Courier New" w:hAnsi="Courier New"/>
          <w:sz w:val="16"/>
          <w:szCs w:val="16"/>
          <w:color w:val="auto"/>
        </w:rPr>
      </w:pPr>
    </w:p>
    <w:p>
      <w:pPr>
        <w:ind w:right="2499" w:firstLine="880"/>
        <w:spacing w:after="0" w:line="249" w:lineRule="auto"/>
        <w:tabs>
          <w:tab w:leader="none" w:pos="117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ectPr>
          <w:pgSz w:w="11900" w:h="16838" w:orient="portrait"/>
          <w:cols w:equalWidth="0" w:num="1">
            <w:col w:w="10219"/>
          </w:cols>
          <w:pgMar w:left="240" w:top="680"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Starwood Financial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4,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w:t>
      </w:r>
    </w:p>
    <w:p>
      <w:pPr>
        <w:spacing w:after="0" w:line="383" w:lineRule="exact"/>
        <w:rPr>
          <w:sz w:val="20"/>
          <w:szCs w:val="20"/>
          <w:color w:val="auto"/>
        </w:rPr>
      </w:pPr>
    </w:p>
    <w:p>
      <w:pPr>
        <w:ind w:right="2399" w:firstLine="880"/>
        <w:spacing w:after="0" w:line="249" w:lineRule="auto"/>
        <w:tabs>
          <w:tab w:leader="none" w:pos="117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Documents submitted to us as originals are authentic. Any Documents submitted to us as certified or photostatic copies conform to the original documents. All signatures on all such Documents are genuine. All public records reviewed or relied upon by us or on our behalf are true and complete. All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87" w:lineRule="exact"/>
        <w:rPr>
          <w:rFonts w:ascii="Courier New" w:cs="Courier New" w:eastAsia="Courier New" w:hAnsi="Courier New"/>
          <w:sz w:val="16"/>
          <w:szCs w:val="16"/>
          <w:color w:val="auto"/>
        </w:rPr>
      </w:pPr>
    </w:p>
    <w:p>
      <w:pPr>
        <w:ind w:right="2799" w:firstLine="880"/>
        <w:spacing w:after="0" w:line="252" w:lineRule="auto"/>
        <w:tabs>
          <w:tab w:leader="none" w:pos="117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will not be issued or transferred in violation of any restriction or limitation contained in the Charter.</w:t>
      </w:r>
    </w:p>
    <w:p>
      <w:pPr>
        <w:spacing w:after="0" w:line="183" w:lineRule="exact"/>
        <w:rPr>
          <w:rFonts w:ascii="Courier New" w:cs="Courier New" w:eastAsia="Courier New" w:hAnsi="Courier New"/>
          <w:sz w:val="16"/>
          <w:szCs w:val="16"/>
          <w:color w:val="auto"/>
        </w:rPr>
      </w:pPr>
    </w:p>
    <w:p>
      <w:pPr>
        <w:ind w:right="2399" w:firstLine="880"/>
        <w:spacing w:after="0" w:line="252" w:lineRule="auto"/>
        <w:tabs>
          <w:tab w:leader="none" w:pos="117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requisite corporate action was taken by TriNet and ST to validly approve the Merger under Maryland law.</w:t>
      </w:r>
    </w:p>
    <w:p>
      <w:pPr>
        <w:spacing w:after="0" w:line="183" w:lineRule="exact"/>
        <w:rPr>
          <w:sz w:val="20"/>
          <w:szCs w:val="20"/>
          <w:color w:val="auto"/>
        </w:rPr>
      </w:pPr>
    </w:p>
    <w:p>
      <w:pPr>
        <w:ind w:right="2599" w:firstLine="880"/>
        <w:spacing w:after="0" w:line="252" w:lineRule="auto"/>
        <w:rPr>
          <w:sz w:val="20"/>
          <w:szCs w:val="20"/>
          <w:color w:val="auto"/>
        </w:rPr>
      </w:pPr>
      <w:r>
        <w:rPr>
          <w:rFonts w:ascii="Courier New" w:cs="Courier New" w:eastAsia="Courier New" w:hAnsi="Courier New"/>
          <w:sz w:val="16"/>
          <w:szCs w:val="16"/>
          <w:color w:val="auto"/>
        </w:rPr>
        <w:t>Based upon the foregoing, and subject to the assumptions, limitations and qualifications stated herein, it is our opinion that:</w:t>
      </w:r>
    </w:p>
    <w:p>
      <w:pPr>
        <w:spacing w:after="0" w:line="183" w:lineRule="exact"/>
        <w:rPr>
          <w:sz w:val="20"/>
          <w:szCs w:val="20"/>
          <w:color w:val="auto"/>
        </w:rPr>
      </w:pPr>
    </w:p>
    <w:p>
      <w:pPr>
        <w:ind w:right="2499" w:firstLine="880"/>
        <w:spacing w:after="0" w:line="250" w:lineRule="auto"/>
        <w:tabs>
          <w:tab w:leader="none" w:pos="117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a corporation duly incorporated and existing under and by virtue of the laws of the State of Maryland and is in good standing with the SDAT.</w:t>
      </w:r>
    </w:p>
    <w:p>
      <w:pPr>
        <w:spacing w:after="0" w:line="185" w:lineRule="exact"/>
        <w:rPr>
          <w:rFonts w:ascii="Courier New" w:cs="Courier New" w:eastAsia="Courier New" w:hAnsi="Courier New"/>
          <w:sz w:val="16"/>
          <w:szCs w:val="16"/>
          <w:color w:val="auto"/>
        </w:rPr>
      </w:pPr>
    </w:p>
    <w:p>
      <w:pPr>
        <w:ind w:right="2399" w:firstLine="880"/>
        <w:spacing w:after="0" w:line="249" w:lineRule="auto"/>
        <w:tabs>
          <w:tab w:leader="none" w:pos="117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have been duly authorized for issuance and, when and if issued and delivered against payment therefor in accordance with the Resolutions and the Merger Agreement, will be (assuming that upon any such issuance the total number of shares of Common Stock issued and outstanding will not exceed the total number of shares of Common Stock that the Company is then authorized to issue under the Charter) validly issued, fully paid and nonassessable.</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The foregoing opinion is limited to the substantive laws of the State of Maryland and we do not express any opinion herein concerning any other law. We express no opinion as to compliance with any federal or state securities laws, including the securities laws of the State of Maryland, or as to federal or state laws regarding fraudulent transfers. We assume no obligation to supplement this opinion if any applicable law changes after the date hereof or if we become aware of any fact that might change the opinion expressed herein after the date hereof.</w:t>
      </w:r>
    </w:p>
    <w:p>
      <w:pPr>
        <w:spacing w:after="0" w:line="187" w:lineRule="exact"/>
        <w:rPr>
          <w:sz w:val="20"/>
          <w:szCs w:val="20"/>
          <w:color w:val="auto"/>
        </w:rPr>
      </w:pPr>
    </w:p>
    <w:p>
      <w:pPr>
        <w:ind w:right="2399" w:firstLine="880"/>
        <w:spacing w:after="0" w:line="252" w:lineRule="auto"/>
        <w:rPr>
          <w:sz w:val="20"/>
          <w:szCs w:val="20"/>
          <w:color w:val="auto"/>
        </w:rPr>
      </w:pPr>
      <w:r>
        <w:rPr>
          <w:rFonts w:ascii="Courier New" w:cs="Courier New" w:eastAsia="Courier New" w:hAnsi="Courier New"/>
          <w:sz w:val="16"/>
          <w:szCs w:val="16"/>
          <w:color w:val="auto"/>
        </w:rPr>
        <w:t>This opinion is being furnished to you for submission to the Commission as an exhibit to the Registration Statement</w:t>
      </w:r>
    </w:p>
    <w:p>
      <w:pPr>
        <w:sectPr>
          <w:pgSz w:w="11900" w:h="16838" w:orient="portrait"/>
          <w:cols w:equalWidth="0" w:num="1">
            <w:col w:w="10219"/>
          </w:cols>
          <w:pgMar w:left="240" w:top="680"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Starwood Financial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4,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w:t>
      </w:r>
    </w:p>
    <w:p>
      <w:pPr>
        <w:spacing w:after="0" w:line="383"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and, accordingly, may not be relied upon by, quoted in any manner to, or delivered to any other person or entity (except Rogers &amp; Wells LLP, counsel to the Company, in connection with any opinion rendered by it on the date hereof relating to the Shares) without, in each instance, our prior written consent.</w:t>
      </w:r>
    </w:p>
    <w:p>
      <w:pPr>
        <w:spacing w:after="0" w:line="188" w:lineRule="exact"/>
        <w:rPr>
          <w:sz w:val="20"/>
          <w:szCs w:val="20"/>
          <w:color w:val="auto"/>
        </w:rPr>
      </w:pPr>
    </w:p>
    <w:p>
      <w:pPr>
        <w:jc w:val="both"/>
        <w:ind w:right="2399" w:firstLine="1759"/>
        <w:spacing w:after="0" w:line="249" w:lineRule="auto"/>
        <w:rPr>
          <w:sz w:val="20"/>
          <w:szCs w:val="20"/>
          <w:color w:val="auto"/>
        </w:rPr>
      </w:pPr>
      <w:r>
        <w:rPr>
          <w:rFonts w:ascii="Courier New" w:cs="Courier New" w:eastAsia="Courier New" w:hAnsi="Courier New"/>
          <w:sz w:val="16"/>
          <w:szCs w:val="16"/>
          <w:color w:val="auto"/>
        </w:rPr>
        <w:t>We hereby consent to the filing of this opinion as an exhibit to the Registration Statement and to the use of the name of our firm therein. In giving this consent, we do not admit that we are within the category of persons whose consent is required by Section 7 of the 1933 Act.</w:t>
      </w:r>
    </w:p>
    <w:p>
      <w:pPr>
        <w:spacing w:after="0" w:line="188"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6"/>
          <w:szCs w:val="16"/>
          <w:color w:val="auto"/>
        </w:rPr>
        <w:t>Very truly yours,</w:t>
      </w:r>
    </w:p>
    <w:p>
      <w:pPr>
        <w:sectPr>
          <w:pgSz w:w="11900" w:h="16838" w:orient="portrait"/>
          <w:cols w:equalWidth="0" w:num="1">
            <w:col w:w="10219"/>
          </w:cols>
          <w:pgMar w:left="240" w:top="680" w:right="1440" w:bottom="1440" w:gutter="0" w:footer="0" w:header="0"/>
        </w:sectPr>
      </w:pPr>
    </w:p>
    <w:bookmarkStart w:id="13" w:name="page14"/>
    <w:bookmarkEnd w:id="13"/>
    <w:p>
      <w:pPr>
        <w:jc w:val="right"/>
        <w:ind w:right="2399"/>
        <w:spacing w:after="0"/>
        <w:rPr>
          <w:sz w:val="20"/>
          <w:szCs w:val="20"/>
          <w:color w:val="auto"/>
        </w:rPr>
      </w:pPr>
      <w:r>
        <w:rPr>
          <w:rFonts w:ascii="Courier New" w:cs="Courier New" w:eastAsia="Courier New" w:hAnsi="Courier New"/>
          <w:sz w:val="16"/>
          <w:szCs w:val="16"/>
          <w:color w:val="auto"/>
        </w:rPr>
        <w:t>Exhibit 23.1</w:t>
      </w:r>
    </w:p>
    <w:p>
      <w:pPr>
        <w:spacing w:after="0" w:line="195"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95" w:lineRule="exact"/>
        <w:rPr>
          <w:sz w:val="20"/>
          <w:szCs w:val="20"/>
          <w:color w:val="auto"/>
        </w:rPr>
      </w:pPr>
    </w:p>
    <w:p>
      <w:pPr>
        <w:ind w:right="2699"/>
        <w:spacing w:after="0" w:line="249" w:lineRule="auto"/>
        <w:rPr>
          <w:sz w:val="20"/>
          <w:szCs w:val="20"/>
          <w:color w:val="auto"/>
        </w:rPr>
      </w:pPr>
      <w:r>
        <w:rPr>
          <w:rFonts w:ascii="Courier New" w:cs="Courier New" w:eastAsia="Courier New" w:hAnsi="Courier New"/>
          <w:sz w:val="16"/>
          <w:szCs w:val="16"/>
          <w:color w:val="auto"/>
        </w:rPr>
        <w:t>We hereby consent to the incorporation by reference in this Registration Statement on Form S-8 of our report dated March 15, 1999 relating to the financial statements and financial statement schedules of Starwood Financial Trust, which appears in Starwood Financial Trust's Annual Report on Form 10-K for the year ended December 31, 1998.</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2, 1999</w:t>
      </w:r>
    </w:p>
    <w:p>
      <w:pPr>
        <w:sectPr>
          <w:pgSz w:w="11900" w:h="16838" w:orient="portrait"/>
          <w:cols w:equalWidth="0" w:num="1">
            <w:col w:w="10219"/>
          </w:cols>
          <w:pgMar w:left="240" w:top="518" w:right="1440" w:bottom="1440" w:gutter="0" w:footer="0" w:header="0"/>
        </w:sectPr>
      </w:pPr>
    </w:p>
    <w:bookmarkStart w:id="14" w:name="page15"/>
    <w:bookmarkEnd w:id="14"/>
    <w:p>
      <w:pPr>
        <w:jc w:val="right"/>
        <w:ind w:right="2399"/>
        <w:spacing w:after="0"/>
        <w:rPr>
          <w:sz w:val="20"/>
          <w:szCs w:val="20"/>
          <w:color w:val="auto"/>
        </w:rPr>
      </w:pPr>
      <w:r>
        <w:rPr>
          <w:rFonts w:ascii="Courier New" w:cs="Courier New" w:eastAsia="Courier New" w:hAnsi="Courier New"/>
          <w:sz w:val="16"/>
          <w:szCs w:val="16"/>
          <w:color w:val="auto"/>
        </w:rPr>
        <w:t>Exhibit 23.2</w:t>
      </w:r>
    </w:p>
    <w:p>
      <w:pPr>
        <w:spacing w:after="0" w:line="195"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We hereby consent to the incorporation by reference in this Registration Statement on Form S-8 of our reports dated January 22, 1999, except for Note 16, as to which the date is March 12, 1999, on the financial statements and financial statement schedules of TriNet Corporate Realty Trust, Inc., which appear in TriNet Corporate Realty Trust Inc.'s Annual Report on Form 10-K for the year ended December 31, 1998.</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 Francisco, CA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2, 1999</w:t>
      </w:r>
    </w:p>
    <w:sectPr>
      <w:pgSz w:w="11900" w:h="16838" w:orient="portrait"/>
      <w:cols w:equalWidth="0" w:num="1">
        <w:col w:w="10219"/>
      </w:cols>
      <w:pgMar w:left="240" w:top="5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lowerLetter"/>
      <w:start w:val="1"/>
    </w:lvl>
  </w:abstractNum>
  <w:abstractNum w:abstractNumId="2">
    <w:nsid w:val="5BD062C2"/>
    <w:multiLevelType w:val="hybridMultilevel"/>
    <w:lvl w:ilvl="0">
      <w:lvlJc w:val="left"/>
      <w:lvlText w:val="(%1)"/>
      <w:numFmt w:val="lowerLetter"/>
      <w:start w:val="4"/>
    </w:lvl>
  </w:abstractNum>
  <w:abstractNum w:abstractNumId="3">
    <w:nsid w:val="12200854"/>
    <w:multiLevelType w:val="hybridMultilevel"/>
    <w:lvl w:ilvl="0">
      <w:lvlJc w:val="left"/>
      <w:lvlText w:val="5"/>
      <w:numFmt w:val="bullet"/>
      <w:start w:val="1"/>
    </w:lvl>
  </w:abstractNum>
  <w:abstractNum w:abstractNumId="4">
    <w:nsid w:val="4DB127F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216231B"/>
    <w:multiLevelType w:val="hybridMultilevel"/>
    <w:lvl w:ilvl="0">
      <w:lvlJc w:val="left"/>
      <w:lvlText w:val="(%1)"/>
      <w:numFmt w:val="decimal"/>
      <w:start w:val="2"/>
    </w:lvl>
  </w:abstractNum>
  <w:abstractNum w:abstractNumId="6">
    <w:nsid w:val="1F16E9E8"/>
    <w:multiLevelType w:val="hybridMultilevel"/>
    <w:lvl w:ilvl="0">
      <w:lvlJc w:val="left"/>
      <w:lvlText w:val="%1"/>
      <w:numFmt w:val="lowerLetter"/>
      <w:start w:val="1"/>
    </w:lvl>
    <w:lvl w:ilvl="1">
      <w:lvlJc w:val="left"/>
      <w:lvlText w:val="(%2)"/>
      <w:numFmt w:val="decimal"/>
      <w:start w:val="3"/>
    </w:lvl>
  </w:abstractNum>
  <w:abstractNum w:abstractNumId="7">
    <w:nsid w:val="1190CDE7"/>
    <w:multiLevelType w:val="hybridMultilevel"/>
    <w:lvl w:ilvl="0">
      <w:lvlJc w:val="left"/>
      <w:lvlText w:val="(%1)"/>
      <w:numFmt w:val="lowerLetter"/>
      <w:start w:val="2"/>
    </w:lvl>
    <w:lvl w:ilvl="1">
      <w:lvlJc w:val="left"/>
      <w:lvlText w:val="%2"/>
      <w:numFmt w:val="decimal"/>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4"/>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2019-12-12T06:44:37Z</dcterms:created>
  <dcterms:modified xsi:type="dcterms:W3CDTF">2019-12-12T06:44:37Z</dcterms:modified>
</cp:coreProperties>
</file>