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513715</wp:posOffset>
            </wp:positionH>
            <wp:positionV relativeFrom="page">
              <wp:posOffset>365760</wp:posOffset>
            </wp:positionV>
            <wp:extent cx="6521450"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21450" cy="27940"/>
                    </a:xfrm>
                    <a:prstGeom prst="rect">
                      <a:avLst/>
                    </a:prstGeom>
                    <a:noFill/>
                  </pic:spPr>
                </pic:pic>
              </a:graphicData>
            </a:graphic>
          </wp:anchor>
        </w:drawing>
        <w:drawing>
          <wp:anchor simplePos="0" relativeHeight="251657728" behindDoc="1" locked="0" layoutInCell="0" allowOverlap="1">
            <wp:simplePos x="0" y="0"/>
            <wp:positionH relativeFrom="page">
              <wp:posOffset>513715</wp:posOffset>
            </wp:positionH>
            <wp:positionV relativeFrom="page">
              <wp:posOffset>421005</wp:posOffset>
            </wp:positionV>
            <wp:extent cx="65214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21450" cy="6985"/>
                    </a:xfrm>
                    <a:prstGeom prst="rect">
                      <a:avLst/>
                    </a:prstGeom>
                    <a:noFill/>
                  </pic:spPr>
                </pic:pic>
              </a:graphicData>
            </a:graphic>
          </wp:anchor>
        </w:drawing>
        <w:t>UNITED STATES</w:t>
      </w:r>
    </w:p>
    <w:p>
      <w:pPr>
        <w:spacing w:after="0" w:line="34" w:lineRule="exact"/>
        <w:rPr>
          <w:sz w:val="24"/>
          <w:szCs w:val="24"/>
          <w:color w:val="auto"/>
        </w:rPr>
      </w:pPr>
    </w:p>
    <w:p>
      <w:pPr>
        <w:jc w:val="center"/>
        <w:ind w:right="-8"/>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Washington, D.C. 20549</w:t>
      </w:r>
    </w:p>
    <w:p>
      <w:pPr>
        <w:spacing w:after="0" w:line="74" w:lineRule="exact"/>
        <w:rPr>
          <w:sz w:val="24"/>
          <w:szCs w:val="24"/>
          <w:color w:val="auto"/>
        </w:rPr>
      </w:pPr>
    </w:p>
    <w:p>
      <w:pPr>
        <w:jc w:val="center"/>
        <w:ind w:right="-8"/>
        <w:spacing w:after="0"/>
        <w:rPr>
          <w:sz w:val="20"/>
          <w:szCs w:val="20"/>
          <w:color w:val="auto"/>
        </w:rPr>
      </w:pPr>
      <w:r>
        <w:rPr>
          <w:rFonts w:ascii="Arial" w:cs="Arial" w:eastAsia="Arial" w:hAnsi="Arial"/>
          <w:sz w:val="23"/>
          <w:szCs w:val="23"/>
          <w:b w:val="1"/>
          <w:bCs w:val="1"/>
          <w:color w:val="auto"/>
        </w:rPr>
        <w:t>FORM 8-K</w:t>
      </w:r>
    </w:p>
    <w:p>
      <w:pPr>
        <w:spacing w:after="0" w:line="109" w:lineRule="exact"/>
        <w:rPr>
          <w:sz w:val="24"/>
          <w:szCs w:val="24"/>
          <w:color w:val="auto"/>
        </w:rPr>
      </w:pPr>
    </w:p>
    <w:p>
      <w:pPr>
        <w:jc w:val="center"/>
        <w:ind w:right="-8"/>
        <w:spacing w:after="0"/>
        <w:rPr>
          <w:sz w:val="20"/>
          <w:szCs w:val="20"/>
          <w:color w:val="auto"/>
        </w:rPr>
      </w:pPr>
      <w:r>
        <w:rPr>
          <w:rFonts w:ascii="Arial" w:cs="Arial" w:eastAsia="Arial" w:hAnsi="Arial"/>
          <w:sz w:val="17"/>
          <w:szCs w:val="17"/>
          <w:b w:val="1"/>
          <w:bCs w:val="1"/>
          <w:color w:val="auto"/>
        </w:rPr>
        <w:t>CURRENT REPORT</w:t>
      </w:r>
    </w:p>
    <w:p>
      <w:pPr>
        <w:spacing w:after="0" w:line="21"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125"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Date of Report (Date of earliest event reported): August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1632585</wp:posOffset>
            </wp:positionH>
            <wp:positionV relativeFrom="paragraph">
              <wp:posOffset>125730</wp:posOffset>
            </wp:positionV>
            <wp:extent cx="325374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3740" cy="6985"/>
                    </a:xfrm>
                    <a:prstGeom prst="rect">
                      <a:avLst/>
                    </a:prstGeom>
                    <a:noFill/>
                  </pic:spPr>
                </pic:pic>
              </a:graphicData>
            </a:graphic>
          </wp:anchor>
        </w:drawing>
      </w:r>
    </w:p>
    <w:p>
      <w:pPr>
        <w:spacing w:after="0" w:line="329" w:lineRule="exact"/>
        <w:rPr>
          <w:sz w:val="24"/>
          <w:szCs w:val="24"/>
          <w:color w:val="auto"/>
        </w:rPr>
      </w:pPr>
    </w:p>
    <w:p>
      <w:pPr>
        <w:jc w:val="center"/>
        <w:ind w:right="-8"/>
        <w:spacing w:after="0"/>
        <w:rPr>
          <w:sz w:val="20"/>
          <w:szCs w:val="20"/>
          <w:color w:val="auto"/>
        </w:rPr>
      </w:pPr>
      <w:r>
        <w:rPr>
          <w:rFonts w:ascii="Arial" w:cs="Arial" w:eastAsia="Arial" w:hAnsi="Arial"/>
          <w:sz w:val="26"/>
          <w:szCs w:val="26"/>
          <w:b w:val="1"/>
          <w:bCs w:val="1"/>
          <w:color w:val="auto"/>
        </w:rPr>
        <w:t>iStar Inc.</w:t>
      </w:r>
    </w:p>
    <w:p>
      <w:pPr>
        <w:spacing w:after="0" w:line="117"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269"/>
          </w:cols>
          <w:pgMar w:left="811" w:top="757" w:right="819" w:bottom="1440" w:gutter="0" w:footer="0" w:header="0"/>
        </w:sectPr>
      </w:pPr>
    </w:p>
    <w:p>
      <w:pPr>
        <w:spacing w:after="0" w:line="118" w:lineRule="exact"/>
        <w:rPr>
          <w:sz w:val="24"/>
          <w:szCs w:val="24"/>
          <w:color w:val="auto"/>
        </w:rPr>
      </w:pPr>
    </w:p>
    <w:p>
      <w:pPr>
        <w:jc w:val="center"/>
        <w:ind w:right="171"/>
        <w:spacing w:after="0"/>
        <w:rPr>
          <w:sz w:val="20"/>
          <w:szCs w:val="20"/>
          <w:color w:val="auto"/>
        </w:rPr>
      </w:pPr>
      <w:r>
        <w:rPr>
          <w:rFonts w:ascii="Arial" w:cs="Arial" w:eastAsia="Arial" w:hAnsi="Arial"/>
          <w:sz w:val="15"/>
          <w:szCs w:val="15"/>
          <w:b w:val="1"/>
          <w:bCs w:val="1"/>
          <w:color w:val="auto"/>
        </w:rPr>
        <w:t>Maryland</w:t>
      </w:r>
    </w:p>
    <w:p>
      <w:pPr>
        <w:spacing w:after="0" w:line="15" w:lineRule="exact"/>
        <w:rPr>
          <w:sz w:val="24"/>
          <w:szCs w:val="24"/>
          <w:color w:val="auto"/>
        </w:rPr>
      </w:pPr>
    </w:p>
    <w:p>
      <w:pPr>
        <w:jc w:val="center"/>
        <w:ind w:right="171"/>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900"/>
        <w:spacing w:after="0"/>
        <w:rPr>
          <w:sz w:val="20"/>
          <w:szCs w:val="20"/>
          <w:color w:val="auto"/>
        </w:rPr>
      </w:pPr>
      <w:r>
        <w:rPr>
          <w:rFonts w:ascii="Arial" w:cs="Arial" w:eastAsia="Arial" w:hAnsi="Arial"/>
          <w:sz w:val="15"/>
          <w:szCs w:val="15"/>
          <w:b w:val="1"/>
          <w:bCs w:val="1"/>
          <w:color w:val="auto"/>
        </w:rPr>
        <w:t>1-15371</w:t>
      </w:r>
    </w:p>
    <w:p>
      <w:pPr>
        <w:spacing w:after="0" w:line="15" w:lineRule="exact"/>
        <w:rPr>
          <w:sz w:val="24"/>
          <w:szCs w:val="24"/>
          <w:color w:val="auto"/>
        </w:rPr>
      </w:pPr>
    </w:p>
    <w:p>
      <w:pPr>
        <w:jc w:val="center"/>
        <w:ind w:right="90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jc w:val="center"/>
        <w:ind w:right="700"/>
        <w:spacing w:after="0"/>
        <w:rPr>
          <w:sz w:val="20"/>
          <w:szCs w:val="20"/>
          <w:color w:val="auto"/>
        </w:rPr>
      </w:pPr>
      <w:r>
        <w:rPr>
          <w:rFonts w:ascii="Arial" w:cs="Arial" w:eastAsia="Arial" w:hAnsi="Arial"/>
          <w:sz w:val="15"/>
          <w:szCs w:val="15"/>
          <w:b w:val="1"/>
          <w:bCs w:val="1"/>
          <w:color w:val="auto"/>
        </w:rPr>
        <w:t>95-6881527</w:t>
      </w:r>
    </w:p>
    <w:p>
      <w:pPr>
        <w:spacing w:after="0" w:line="15" w:lineRule="exact"/>
        <w:rPr>
          <w:sz w:val="24"/>
          <w:szCs w:val="24"/>
          <w:color w:val="auto"/>
        </w:rPr>
      </w:pPr>
    </w:p>
    <w:p>
      <w:pPr>
        <w:jc w:val="center"/>
        <w:ind w:right="700"/>
        <w:spacing w:after="0"/>
        <w:rPr>
          <w:sz w:val="20"/>
          <w:szCs w:val="20"/>
          <w:color w:val="auto"/>
        </w:rPr>
      </w:pPr>
      <w:r>
        <w:rPr>
          <w:rFonts w:ascii="Arial" w:cs="Arial" w:eastAsia="Arial" w:hAnsi="Arial"/>
          <w:sz w:val="13"/>
          <w:szCs w:val="13"/>
          <w:color w:val="auto"/>
        </w:rPr>
        <w:t>(IRS Employer Identification No.)</w:t>
      </w:r>
    </w:p>
    <w:p>
      <w:pPr>
        <w:spacing w:after="0" w:line="186" w:lineRule="exact"/>
        <w:rPr>
          <w:sz w:val="24"/>
          <w:szCs w:val="24"/>
          <w:color w:val="auto"/>
        </w:rPr>
      </w:pPr>
    </w:p>
    <w:p>
      <w:pPr>
        <w:sectPr>
          <w:pgSz w:w="11900" w:h="16838" w:orient="portrait"/>
          <w:cols w:equalWidth="0" w:num="3">
            <w:col w:w="3609" w:space="720"/>
            <w:col w:w="2520" w:space="720"/>
            <w:col w:w="2700"/>
          </w:cols>
          <w:pgMar w:left="811" w:top="757" w:right="819" w:bottom="1440" w:gutter="0" w:footer="0" w:header="0"/>
          <w:type w:val="continuous"/>
        </w:sectPr>
      </w:pPr>
    </w:p>
    <w:p>
      <w:pPr>
        <w:jc w:val="center"/>
        <w:ind w:right="-8"/>
        <w:spacing w:after="0"/>
        <w:rPr>
          <w:sz w:val="20"/>
          <w:szCs w:val="20"/>
          <w:color w:val="auto"/>
        </w:rPr>
      </w:pPr>
      <w:r>
        <w:rPr>
          <w:rFonts w:ascii="Arial" w:cs="Arial" w:eastAsia="Arial" w:hAnsi="Arial"/>
          <w:sz w:val="15"/>
          <w:szCs w:val="15"/>
          <w:b w:val="1"/>
          <w:bCs w:val="1"/>
          <w:color w:val="auto"/>
        </w:rPr>
        <w:t>1114 Avenue of the Americas, 39th Floor</w:t>
      </w:r>
    </w:p>
    <w:p>
      <w:pPr>
        <w:spacing w:after="0" w:line="15"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New York, New York 10036</w:t>
      </w:r>
    </w:p>
    <w:p>
      <w:pPr>
        <w:spacing w:after="0" w:line="2"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(Address of principal executive offices, including zip code)</w:t>
      </w:r>
    </w:p>
    <w:p>
      <w:pPr>
        <w:spacing w:after="0" w:line="98"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 xml:space="preserve">Registrant’s telephone number, including area code: </w:t>
      </w:r>
      <w:r>
        <w:rPr>
          <w:rFonts w:ascii="Arial" w:cs="Arial" w:eastAsia="Arial" w:hAnsi="Arial"/>
          <w:sz w:val="15"/>
          <w:szCs w:val="15"/>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1632585</wp:posOffset>
            </wp:positionH>
            <wp:positionV relativeFrom="paragraph">
              <wp:posOffset>66040</wp:posOffset>
            </wp:positionV>
            <wp:extent cx="325374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3740" cy="6985"/>
                    </a:xfrm>
                    <a:prstGeom prst="rect">
                      <a:avLst/>
                    </a:prstGeom>
                    <a:noFill/>
                  </pic:spPr>
                </pic:pic>
              </a:graphicData>
            </a:graphic>
          </wp:anchor>
        </w:drawing>
      </w:r>
    </w:p>
    <w:p>
      <w:pPr>
        <w:spacing w:after="0" w:line="255"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N/A</w:t>
      </w:r>
    </w:p>
    <w:p>
      <w:pPr>
        <w:spacing w:after="0" w:line="15"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91" w:lineRule="exact"/>
        <w:rPr>
          <w:sz w:val="24"/>
          <w:szCs w:val="24"/>
          <w:color w:val="auto"/>
        </w:rPr>
      </w:pPr>
    </w:p>
    <w:p>
      <w:pPr>
        <w:ind w:left="9"/>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w:t>
      </w:r>
    </w:p>
    <w:p>
      <w:pPr>
        <w:spacing w:after="0" w:line="34" w:lineRule="exact"/>
        <w:rPr>
          <w:sz w:val="24"/>
          <w:szCs w:val="24"/>
          <w:color w:val="auto"/>
        </w:rPr>
      </w:pPr>
    </w:p>
    <w:p>
      <w:pPr>
        <w:ind w:left="9"/>
        <w:spacing w:after="0"/>
        <w:rPr>
          <w:sz w:val="20"/>
          <w:szCs w:val="20"/>
          <w:color w:val="auto"/>
        </w:rPr>
      </w:pPr>
      <w:r>
        <w:rPr>
          <w:rFonts w:ascii="Arial" w:cs="Arial" w:eastAsia="Arial" w:hAnsi="Arial"/>
          <w:sz w:val="15"/>
          <w:szCs w:val="15"/>
          <w:color w:val="auto"/>
        </w:rPr>
        <w:t>General Instruction A.2. below):</w:t>
      </w:r>
    </w:p>
    <w:p>
      <w:pPr>
        <w:spacing w:after="0" w:line="102" w:lineRule="exact"/>
        <w:rPr>
          <w:sz w:val="24"/>
          <w:szCs w:val="24"/>
          <w:color w:val="auto"/>
        </w:rPr>
      </w:pPr>
    </w:p>
    <w:p>
      <w:pPr>
        <w:ind w:left="169" w:hanging="169"/>
        <w:spacing w:after="0"/>
        <w:tabs>
          <w:tab w:leader="none" w:pos="1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00" w:lineRule="exact"/>
        <w:rPr>
          <w:rFonts w:ascii="MS PGothic" w:cs="MS PGothic" w:eastAsia="MS PGothic" w:hAnsi="MS PGothic"/>
          <w:sz w:val="15"/>
          <w:szCs w:val="15"/>
          <w:color w:val="auto"/>
        </w:rPr>
      </w:pPr>
    </w:p>
    <w:p>
      <w:pPr>
        <w:ind w:left="169" w:hanging="169"/>
        <w:spacing w:after="0"/>
        <w:tabs>
          <w:tab w:leader="none" w:pos="1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00" w:lineRule="exact"/>
        <w:rPr>
          <w:rFonts w:ascii="MS PGothic" w:cs="MS PGothic" w:eastAsia="MS PGothic" w:hAnsi="MS PGothic"/>
          <w:sz w:val="15"/>
          <w:szCs w:val="15"/>
          <w:color w:val="auto"/>
        </w:rPr>
      </w:pPr>
    </w:p>
    <w:p>
      <w:pPr>
        <w:ind w:left="169" w:hanging="169"/>
        <w:spacing w:after="0"/>
        <w:tabs>
          <w:tab w:leader="none" w:pos="169"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10" w:lineRule="exact"/>
        <w:rPr>
          <w:rFonts w:ascii="MS PGothic" w:cs="MS PGothic" w:eastAsia="MS PGothic" w:hAnsi="MS PGothic"/>
          <w:sz w:val="15"/>
          <w:szCs w:val="15"/>
          <w:color w:val="auto"/>
        </w:rPr>
      </w:pPr>
    </w:p>
    <w:p>
      <w:pPr>
        <w:ind w:left="9" w:right="3600" w:hanging="9"/>
        <w:spacing w:after="0" w:line="379" w:lineRule="auto"/>
        <w:tabs>
          <w:tab w:leader="none" w:pos="176"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 w:type="dxa"/>
        <w:tblCellMar>
          <w:top w:w="0" w:type="dxa"/>
          <w:left w:w="0" w:type="dxa"/>
          <w:bottom w:w="0" w:type="dxa"/>
          <w:right w:w="0" w:type="dxa"/>
        </w:tblCellMar>
      </w:tblPr>
      <w:tr>
        <w:trPr>
          <w:trHeight w:val="183"/>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Title of each class</w:t>
            </w:r>
          </w:p>
        </w:tc>
        <w:tc>
          <w:tcPr>
            <w:tcW w:w="3460" w:type="dxa"/>
            <w:vAlign w:val="bottom"/>
            <w:gridSpan w:val="2"/>
          </w:tcPr>
          <w:p>
            <w:pPr>
              <w:jc w:val="center"/>
              <w:ind w:right="280"/>
              <w:spacing w:after="0"/>
              <w:rPr>
                <w:sz w:val="20"/>
                <w:szCs w:val="20"/>
                <w:color w:val="auto"/>
              </w:rPr>
            </w:pPr>
            <w:r>
              <w:rPr>
                <w:rFonts w:ascii="Arial" w:cs="Arial" w:eastAsia="Arial" w:hAnsi="Arial"/>
                <w:sz w:val="15"/>
                <w:szCs w:val="15"/>
                <w:color w:val="auto"/>
                <w:w w:val="89"/>
              </w:rPr>
              <w:t>Trading Symbol(s)</w:t>
            </w:r>
          </w:p>
        </w:tc>
        <w:tc>
          <w:tcPr>
            <w:tcW w:w="3360" w:type="dxa"/>
            <w:vAlign w:val="bottom"/>
          </w:tcPr>
          <w:p>
            <w:pPr>
              <w:jc w:val="center"/>
              <w:spacing w:after="0"/>
              <w:rPr>
                <w:sz w:val="20"/>
                <w:szCs w:val="20"/>
                <w:color w:val="auto"/>
              </w:rPr>
            </w:pPr>
            <w:r>
              <w:rPr>
                <w:rFonts w:ascii="Arial" w:cs="Arial" w:eastAsia="Arial" w:hAnsi="Arial"/>
                <w:sz w:val="15"/>
                <w:szCs w:val="15"/>
                <w:color w:val="auto"/>
                <w:w w:val="86"/>
              </w:rPr>
              <w:t>Name of each exchange on which registered</w:t>
            </w:r>
          </w:p>
        </w:tc>
        <w:tc>
          <w:tcPr>
            <w:tcW w:w="0" w:type="dxa"/>
            <w:vAlign w:val="bottom"/>
          </w:tcPr>
          <w:p>
            <w:pPr>
              <w:spacing w:after="0"/>
              <w:rPr>
                <w:sz w:val="1"/>
                <w:szCs w:val="1"/>
                <w:color w:val="auto"/>
              </w:rPr>
            </w:pPr>
          </w:p>
        </w:tc>
      </w:tr>
      <w:tr>
        <w:trPr>
          <w:trHeight w:val="34"/>
        </w:trPr>
        <w:tc>
          <w:tcPr>
            <w:tcW w:w="31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5"/>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8"/>
              </w:rPr>
              <w:t>Common Stock, $0.001 par value</w:t>
            </w:r>
          </w:p>
        </w:tc>
        <w:tc>
          <w:tcPr>
            <w:tcW w:w="3460" w:type="dxa"/>
            <w:vAlign w:val="bottom"/>
            <w:gridSpan w:val="2"/>
          </w:tcPr>
          <w:p>
            <w:pPr>
              <w:jc w:val="center"/>
              <w:ind w:right="300"/>
              <w:spacing w:after="0"/>
              <w:rPr>
                <w:sz w:val="20"/>
                <w:szCs w:val="20"/>
                <w:color w:val="auto"/>
              </w:rPr>
            </w:pPr>
            <w:r>
              <w:rPr>
                <w:rFonts w:ascii="Arial" w:cs="Arial" w:eastAsia="Arial" w:hAnsi="Arial"/>
                <w:sz w:val="15"/>
                <w:szCs w:val="15"/>
                <w:color w:val="auto"/>
                <w:w w:val="89"/>
              </w:rPr>
              <w:t>STAR</w:t>
            </w:r>
          </w:p>
        </w:tc>
        <w:tc>
          <w:tcPr>
            <w:tcW w:w="3360" w:type="dxa"/>
            <w:vAlign w:val="bottom"/>
          </w:tcPr>
          <w:p>
            <w:pPr>
              <w:jc w:val="center"/>
              <w:spacing w:after="0"/>
              <w:rPr>
                <w:sz w:val="20"/>
                <w:szCs w:val="20"/>
                <w:color w:val="auto"/>
              </w:rPr>
            </w:pPr>
            <w:r>
              <w:rPr>
                <w:rFonts w:ascii="Arial" w:cs="Arial" w:eastAsia="Arial" w:hAnsi="Arial"/>
                <w:sz w:val="15"/>
                <w:szCs w:val="15"/>
                <w:color w:val="auto"/>
                <w:w w:val="88"/>
              </w:rPr>
              <w:t>New York Stock Exchange</w:t>
            </w:r>
          </w:p>
        </w:tc>
        <w:tc>
          <w:tcPr>
            <w:tcW w:w="0" w:type="dxa"/>
            <w:vAlign w:val="bottom"/>
          </w:tcPr>
          <w:p>
            <w:pPr>
              <w:spacing w:after="0"/>
              <w:rPr>
                <w:sz w:val="1"/>
                <w:szCs w:val="1"/>
                <w:color w:val="auto"/>
              </w:rPr>
            </w:pPr>
          </w:p>
        </w:tc>
      </w:tr>
      <w:tr>
        <w:trPr>
          <w:trHeight w:val="329"/>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7"/>
              </w:rPr>
              <w:t>8.00% Series D Cumulative Redeemable Preferred</w:t>
            </w:r>
          </w:p>
        </w:tc>
        <w:tc>
          <w:tcPr>
            <w:tcW w:w="3460" w:type="dxa"/>
            <w:vAlign w:val="bottom"/>
            <w:gridSpan w:val="2"/>
            <w:vMerge w:val="restart"/>
          </w:tcPr>
          <w:p>
            <w:pPr>
              <w:jc w:val="center"/>
              <w:ind w:right="300"/>
              <w:spacing w:after="0"/>
              <w:rPr>
                <w:sz w:val="20"/>
                <w:szCs w:val="20"/>
                <w:color w:val="auto"/>
              </w:rPr>
            </w:pPr>
            <w:r>
              <w:rPr>
                <w:rFonts w:ascii="Arial" w:cs="Arial" w:eastAsia="Arial" w:hAnsi="Arial"/>
                <w:sz w:val="15"/>
                <w:szCs w:val="15"/>
                <w:color w:val="auto"/>
                <w:w w:val="91"/>
              </w:rPr>
              <w:t>STAR-PD</w:t>
            </w:r>
          </w:p>
        </w:tc>
        <w:tc>
          <w:tcPr>
            <w:tcW w:w="3360" w:type="dxa"/>
            <w:vAlign w:val="bottom"/>
            <w:vMerge w:val="restart"/>
          </w:tcPr>
          <w:p>
            <w:pPr>
              <w:jc w:val="center"/>
              <w:spacing w:after="0"/>
              <w:rPr>
                <w:sz w:val="20"/>
                <w:szCs w:val="20"/>
                <w:color w:val="auto"/>
              </w:rPr>
            </w:pPr>
            <w:r>
              <w:rPr>
                <w:rFonts w:ascii="Arial" w:cs="Arial" w:eastAsia="Arial" w:hAnsi="Arial"/>
                <w:sz w:val="15"/>
                <w:szCs w:val="15"/>
                <w:color w:val="auto"/>
                <w:w w:val="88"/>
              </w:rPr>
              <w:t>New York Stock Exchange</w:t>
            </w:r>
          </w:p>
        </w:tc>
        <w:tc>
          <w:tcPr>
            <w:tcW w:w="0" w:type="dxa"/>
            <w:vAlign w:val="bottom"/>
          </w:tcPr>
          <w:p>
            <w:pPr>
              <w:spacing w:after="0"/>
              <w:rPr>
                <w:sz w:val="1"/>
                <w:szCs w:val="1"/>
                <w:color w:val="auto"/>
              </w:rPr>
            </w:pPr>
          </w:p>
        </w:tc>
      </w:tr>
      <w:tr>
        <w:trPr>
          <w:trHeight w:val="183"/>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Stock, $0.001 par value</w:t>
            </w:r>
          </w:p>
        </w:tc>
        <w:tc>
          <w:tcPr>
            <w:tcW w:w="3460" w:type="dxa"/>
            <w:vAlign w:val="bottom"/>
            <w:gridSpan w:val="2"/>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7"/>
              </w:rPr>
              <w:t>7.65% Series G Cumulative Redeemable Preferred</w:t>
            </w:r>
          </w:p>
        </w:tc>
        <w:tc>
          <w:tcPr>
            <w:tcW w:w="3460" w:type="dxa"/>
            <w:vAlign w:val="bottom"/>
            <w:gridSpan w:val="2"/>
            <w:vMerge w:val="restart"/>
          </w:tcPr>
          <w:p>
            <w:pPr>
              <w:jc w:val="center"/>
              <w:ind w:right="300"/>
              <w:spacing w:after="0"/>
              <w:rPr>
                <w:sz w:val="20"/>
                <w:szCs w:val="20"/>
                <w:color w:val="auto"/>
              </w:rPr>
            </w:pPr>
            <w:r>
              <w:rPr>
                <w:rFonts w:ascii="Arial" w:cs="Arial" w:eastAsia="Arial" w:hAnsi="Arial"/>
                <w:sz w:val="15"/>
                <w:szCs w:val="15"/>
                <w:color w:val="auto"/>
                <w:w w:val="89"/>
              </w:rPr>
              <w:t>STAR-PG</w:t>
            </w:r>
          </w:p>
        </w:tc>
        <w:tc>
          <w:tcPr>
            <w:tcW w:w="3360" w:type="dxa"/>
            <w:vAlign w:val="bottom"/>
            <w:vMerge w:val="restart"/>
          </w:tcPr>
          <w:p>
            <w:pPr>
              <w:jc w:val="center"/>
              <w:spacing w:after="0"/>
              <w:rPr>
                <w:sz w:val="20"/>
                <w:szCs w:val="20"/>
                <w:color w:val="auto"/>
              </w:rPr>
            </w:pPr>
            <w:r>
              <w:rPr>
                <w:rFonts w:ascii="Arial" w:cs="Arial" w:eastAsia="Arial" w:hAnsi="Arial"/>
                <w:sz w:val="15"/>
                <w:szCs w:val="15"/>
                <w:color w:val="auto"/>
                <w:w w:val="88"/>
              </w:rPr>
              <w:t>New York Stock Exchange</w:t>
            </w:r>
          </w:p>
        </w:tc>
        <w:tc>
          <w:tcPr>
            <w:tcW w:w="0" w:type="dxa"/>
            <w:vAlign w:val="bottom"/>
          </w:tcPr>
          <w:p>
            <w:pPr>
              <w:spacing w:after="0"/>
              <w:rPr>
                <w:sz w:val="1"/>
                <w:szCs w:val="1"/>
                <w:color w:val="auto"/>
              </w:rPr>
            </w:pPr>
          </w:p>
        </w:tc>
      </w:tr>
      <w:tr>
        <w:trPr>
          <w:trHeight w:val="183"/>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Stock, $0.001 par value</w:t>
            </w:r>
          </w:p>
        </w:tc>
        <w:tc>
          <w:tcPr>
            <w:tcW w:w="3460" w:type="dxa"/>
            <w:vAlign w:val="bottom"/>
            <w:gridSpan w:val="2"/>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9"/>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7.50% Series I Cumulative Redeemable Preferred</w:t>
            </w:r>
          </w:p>
        </w:tc>
        <w:tc>
          <w:tcPr>
            <w:tcW w:w="3460" w:type="dxa"/>
            <w:vAlign w:val="bottom"/>
            <w:gridSpan w:val="2"/>
            <w:vMerge w:val="restart"/>
          </w:tcPr>
          <w:p>
            <w:pPr>
              <w:jc w:val="center"/>
              <w:ind w:right="280"/>
              <w:spacing w:after="0"/>
              <w:rPr>
                <w:sz w:val="20"/>
                <w:szCs w:val="20"/>
                <w:color w:val="auto"/>
              </w:rPr>
            </w:pPr>
            <w:r>
              <w:rPr>
                <w:rFonts w:ascii="Arial" w:cs="Arial" w:eastAsia="Arial" w:hAnsi="Arial"/>
                <w:sz w:val="15"/>
                <w:szCs w:val="15"/>
                <w:color w:val="auto"/>
                <w:w w:val="91"/>
              </w:rPr>
              <w:t>STAR-PI</w:t>
            </w:r>
          </w:p>
        </w:tc>
        <w:tc>
          <w:tcPr>
            <w:tcW w:w="3360" w:type="dxa"/>
            <w:vAlign w:val="bottom"/>
            <w:vMerge w:val="restart"/>
          </w:tcPr>
          <w:p>
            <w:pPr>
              <w:jc w:val="center"/>
              <w:spacing w:after="0"/>
              <w:rPr>
                <w:sz w:val="20"/>
                <w:szCs w:val="20"/>
                <w:color w:val="auto"/>
              </w:rPr>
            </w:pPr>
            <w:r>
              <w:rPr>
                <w:rFonts w:ascii="Arial" w:cs="Arial" w:eastAsia="Arial" w:hAnsi="Arial"/>
                <w:sz w:val="15"/>
                <w:szCs w:val="15"/>
                <w:color w:val="auto"/>
                <w:w w:val="88"/>
              </w:rPr>
              <w:t>New York Stock Exchange</w:t>
            </w:r>
          </w:p>
        </w:tc>
        <w:tc>
          <w:tcPr>
            <w:tcW w:w="0" w:type="dxa"/>
            <w:vAlign w:val="bottom"/>
          </w:tcPr>
          <w:p>
            <w:pPr>
              <w:spacing w:after="0"/>
              <w:rPr>
                <w:sz w:val="1"/>
                <w:szCs w:val="1"/>
                <w:color w:val="auto"/>
              </w:rPr>
            </w:pPr>
          </w:p>
        </w:tc>
      </w:tr>
      <w:tr>
        <w:trPr>
          <w:trHeight w:val="183"/>
        </w:trPr>
        <w:tc>
          <w:tcPr>
            <w:tcW w:w="3440" w:type="dxa"/>
            <w:vAlign w:val="bottom"/>
            <w:gridSpan w:val="2"/>
          </w:tcPr>
          <w:p>
            <w:pPr>
              <w:jc w:val="center"/>
              <w:ind w:right="280"/>
              <w:spacing w:after="0"/>
              <w:rPr>
                <w:sz w:val="20"/>
                <w:szCs w:val="20"/>
                <w:color w:val="auto"/>
              </w:rPr>
            </w:pPr>
            <w:r>
              <w:rPr>
                <w:rFonts w:ascii="Arial" w:cs="Arial" w:eastAsia="Arial" w:hAnsi="Arial"/>
                <w:sz w:val="15"/>
                <w:szCs w:val="15"/>
                <w:color w:val="auto"/>
                <w:w w:val="86"/>
              </w:rPr>
              <w:t>Stock, $0.001 par value</w:t>
            </w:r>
          </w:p>
        </w:tc>
        <w:tc>
          <w:tcPr>
            <w:tcW w:w="3460" w:type="dxa"/>
            <w:vAlign w:val="bottom"/>
            <w:gridSpan w:val="2"/>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00" w:lineRule="exact"/>
        <w:rPr>
          <w:sz w:val="24"/>
          <w:szCs w:val="24"/>
          <w:color w:val="auto"/>
        </w:rPr>
      </w:pPr>
    </w:p>
    <w:p>
      <w:pPr>
        <w:jc w:val="both"/>
        <w:ind w:left="9" w:right="20"/>
        <w:spacing w:after="0" w:line="258" w:lineRule="auto"/>
        <w:rPr>
          <w:sz w:val="20"/>
          <w:szCs w:val="20"/>
          <w:color w:val="auto"/>
        </w:rPr>
      </w:pPr>
      <w:r>
        <w:rPr>
          <w:rFonts w:ascii="Arial" w:cs="Arial" w:eastAsia="Arial" w:hAnsi="Arial"/>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9" w:lineRule="exact"/>
        <w:rPr>
          <w:sz w:val="24"/>
          <w:szCs w:val="24"/>
          <w:color w:val="auto"/>
        </w:rPr>
      </w:pPr>
    </w:p>
    <w:p>
      <w:pPr>
        <w:ind w:left="9"/>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138" w:lineRule="exact"/>
        <w:rPr>
          <w:sz w:val="24"/>
          <w:szCs w:val="24"/>
          <w:color w:val="auto"/>
        </w:rPr>
      </w:pPr>
    </w:p>
    <w:p>
      <w:pPr>
        <w:jc w:val="both"/>
        <w:ind w:left="9"/>
        <w:spacing w:after="0" w:line="188"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440055</wp:posOffset>
            </wp:positionV>
            <wp:extent cx="652145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1450" cy="209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59055</wp:posOffset>
            </wp:positionV>
            <wp:extent cx="65214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698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86995</wp:posOffset>
            </wp:positionV>
            <wp:extent cx="6521450"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1450" cy="27940"/>
                    </a:xfrm>
                    <a:prstGeom prst="rect">
                      <a:avLst/>
                    </a:prstGeom>
                    <a:noFill/>
                  </pic:spPr>
                </pic:pic>
              </a:graphicData>
            </a:graphic>
          </wp:anchor>
        </w:drawing>
      </w:r>
    </w:p>
    <w:p>
      <w:pPr>
        <w:sectPr>
          <w:pgSz w:w="11900" w:h="16838" w:orient="portrait"/>
          <w:cols w:equalWidth="0" w:num="1">
            <w:col w:w="10269"/>
          </w:cols>
          <w:pgMar w:left="811" w:top="757" w:right="81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3"/>
          <w:szCs w:val="13"/>
          <w:b w:val="1"/>
          <w:bCs w:val="1"/>
          <w:color w:val="auto"/>
        </w:rPr>
        <w:t>Results of Operations and Financial Condition.</w:t>
      </w:r>
    </w:p>
    <w:p>
      <w:pPr>
        <w:spacing w:after="0" w:line="148" w:lineRule="exact"/>
        <w:rPr>
          <w:sz w:val="20"/>
          <w:szCs w:val="20"/>
          <w:color w:val="auto"/>
        </w:rPr>
      </w:pPr>
    </w:p>
    <w:p>
      <w:pPr>
        <w:jc w:val="both"/>
        <w:ind w:left="40" w:right="39" w:firstLine="523"/>
        <w:spacing w:after="0" w:line="250" w:lineRule="auto"/>
        <w:rPr>
          <w:sz w:val="20"/>
          <w:szCs w:val="20"/>
          <w:color w:val="auto"/>
        </w:rPr>
      </w:pPr>
      <w:r>
        <w:rPr>
          <w:rFonts w:ascii="Arial" w:cs="Arial" w:eastAsia="Arial" w:hAnsi="Arial"/>
          <w:sz w:val="15"/>
          <w:szCs w:val="15"/>
          <w:color w:val="auto"/>
        </w:rPr>
        <w:t>On August 3, 2021, iStar Inc. issued an earnings release and made available on its website an earnings presentation for the quarter ended June 30, 2021. A copy of the earnings release and earnings presentation are attached as Exhibit 99.1 and Exhibit 99.2, respectively, hereto and incorporated herein by reference.</w:t>
      </w:r>
    </w:p>
    <w:p>
      <w:pPr>
        <w:spacing w:after="0" w:line="137" w:lineRule="exact"/>
        <w:rPr>
          <w:sz w:val="20"/>
          <w:szCs w:val="20"/>
          <w:color w:val="auto"/>
        </w:rPr>
      </w:pPr>
    </w:p>
    <w:p>
      <w:pPr>
        <w:jc w:val="both"/>
        <w:ind w:left="40" w:right="39" w:firstLine="523"/>
        <w:spacing w:after="0" w:line="247" w:lineRule="auto"/>
        <w:rPr>
          <w:sz w:val="20"/>
          <w:szCs w:val="20"/>
          <w:color w:val="auto"/>
        </w:rPr>
      </w:pPr>
      <w:r>
        <w:rPr>
          <w:rFonts w:ascii="Arial" w:cs="Arial" w:eastAsia="Arial" w:hAnsi="Arial"/>
          <w:sz w:val="15"/>
          <w:szCs w:val="15"/>
          <w:color w:val="auto"/>
        </w:rPr>
        <w:t>The information in this Current Report, including the exhibits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spacing w:after="0" w:line="15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3"/>
          <w:szCs w:val="13"/>
          <w:b w:val="1"/>
          <w:bCs w:val="1"/>
          <w:color w:val="auto"/>
        </w:rPr>
        <w:t>Regulation FD Disclosure.</w:t>
      </w:r>
    </w:p>
    <w:p>
      <w:pPr>
        <w:spacing w:after="0" w:line="148" w:lineRule="exact"/>
        <w:rPr>
          <w:sz w:val="20"/>
          <w:szCs w:val="20"/>
          <w:color w:val="auto"/>
        </w:rPr>
      </w:pPr>
    </w:p>
    <w:p>
      <w:pPr>
        <w:jc w:val="both"/>
        <w:ind w:left="40" w:right="39" w:firstLine="523"/>
        <w:spacing w:after="0" w:line="258" w:lineRule="auto"/>
        <w:rPr>
          <w:sz w:val="20"/>
          <w:szCs w:val="20"/>
          <w:color w:val="auto"/>
        </w:rPr>
      </w:pPr>
      <w:r>
        <w:rPr>
          <w:rFonts w:ascii="Arial" w:cs="Arial" w:eastAsia="Arial" w:hAnsi="Arial"/>
          <w:sz w:val="15"/>
          <w:szCs w:val="15"/>
          <w:color w:val="auto"/>
        </w:rPr>
        <w:t>On August 3, 2021, iStar Inc. made available on its website an earnings presentation for the quarter ended June 30, 2021. A copy of the earnings presentation is attached as Exhibit 99.2 hereto and incorporated by reference.</w:t>
      </w:r>
    </w:p>
    <w:p>
      <w:pPr>
        <w:spacing w:after="0" w:line="120" w:lineRule="exact"/>
        <w:rPr>
          <w:sz w:val="20"/>
          <w:szCs w:val="20"/>
          <w:color w:val="auto"/>
        </w:rPr>
      </w:pPr>
    </w:p>
    <w:p>
      <w:pPr>
        <w:jc w:val="both"/>
        <w:ind w:left="40" w:right="59" w:firstLine="523"/>
        <w:spacing w:after="0" w:line="247" w:lineRule="auto"/>
        <w:rPr>
          <w:sz w:val="20"/>
          <w:szCs w:val="20"/>
          <w:color w:val="auto"/>
        </w:rPr>
      </w:pPr>
      <w:r>
        <w:rPr>
          <w:rFonts w:ascii="Arial" w:cs="Arial" w:eastAsia="Arial" w:hAnsi="Arial"/>
          <w:sz w:val="15"/>
          <w:szCs w:val="15"/>
          <w:color w:val="auto"/>
        </w:rPr>
        <w:t>The earnings presentation, including Exhibit 99.2 hereto, is being furnished and shall not be deemed “filed” for purposes of Section 18 of the Securities Exchange Act of 1934, as amended, or otherwise subject to the liabilities of that Section. The information in this Current Report shall not be incorporated by reference into any registration statement or other document pursuant to the Securities Act of 1933, as amended, unless it is specifically incorporated by reference therein.</w:t>
      </w:r>
    </w:p>
    <w:p>
      <w:pPr>
        <w:spacing w:after="0" w:line="158"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3"/>
          <w:szCs w:val="13"/>
          <w:b w:val="1"/>
          <w:bCs w:val="1"/>
          <w:color w:val="auto"/>
        </w:rPr>
        <w:t>Financial Statements and Exhibits.</w:t>
      </w:r>
    </w:p>
    <w:p>
      <w:pPr>
        <w:spacing w:after="0" w:line="159" w:lineRule="exact"/>
        <w:rPr>
          <w:sz w:val="20"/>
          <w:szCs w:val="20"/>
          <w:color w:val="auto"/>
        </w:rPr>
      </w:pPr>
    </w:p>
    <w:p>
      <w:pPr>
        <w:ind w:left="560"/>
        <w:spacing w:after="0"/>
        <w:tabs>
          <w:tab w:leader="none" w:pos="1580" w:val="left"/>
        </w:tabs>
        <w:rPr>
          <w:rFonts w:ascii="Arial" w:cs="Arial" w:eastAsia="Arial" w:hAnsi="Arial"/>
          <w:sz w:val="12"/>
          <w:szCs w:val="12"/>
          <w:u w:val="single" w:color="auto"/>
          <w:color w:val="0000EE"/>
        </w:rPr>
      </w:pPr>
      <w:r>
        <w:rPr>
          <w:rFonts w:ascii="Arial" w:cs="Arial" w:eastAsia="Arial" w:hAnsi="Arial"/>
          <w:sz w:val="15"/>
          <w:szCs w:val="15"/>
          <w:color w:val="auto"/>
        </w:rPr>
        <w:t>Exhibit 99.1</w:t>
      </w:r>
      <w:r>
        <w:rPr>
          <w:sz w:val="20"/>
          <w:szCs w:val="20"/>
          <w:color w:val="auto"/>
        </w:rPr>
        <w:tab/>
      </w:r>
      <w:hyperlink w:anchor="page4">
        <w:r>
          <w:rPr>
            <w:rFonts w:ascii="Arial" w:cs="Arial" w:eastAsia="Arial" w:hAnsi="Arial"/>
            <w:sz w:val="12"/>
            <w:szCs w:val="12"/>
            <w:u w:val="single" w:color="auto"/>
            <w:color w:val="0000EE"/>
          </w:rPr>
          <w:t>Earnings Release</w:t>
        </w:r>
      </w:hyperlink>
    </w:p>
    <w:p>
      <w:pPr>
        <w:spacing w:after="0" w:line="144" w:lineRule="exact"/>
        <w:rPr>
          <w:sz w:val="20"/>
          <w:szCs w:val="20"/>
          <w:color w:val="auto"/>
        </w:rPr>
      </w:pPr>
    </w:p>
    <w:p>
      <w:pPr>
        <w:ind w:left="560"/>
        <w:spacing w:after="0"/>
        <w:tabs>
          <w:tab w:leader="none" w:pos="1580" w:val="left"/>
        </w:tabs>
        <w:rPr>
          <w:rFonts w:ascii="Arial" w:cs="Arial" w:eastAsia="Arial" w:hAnsi="Arial"/>
          <w:sz w:val="13"/>
          <w:szCs w:val="13"/>
          <w:u w:val="single" w:color="auto"/>
          <w:color w:val="0000EE"/>
        </w:rPr>
      </w:pPr>
      <w:r>
        <w:rPr>
          <w:rFonts w:ascii="Arial" w:cs="Arial" w:eastAsia="Arial" w:hAnsi="Arial"/>
          <w:sz w:val="15"/>
          <w:szCs w:val="15"/>
          <w:color w:val="auto"/>
        </w:rPr>
        <w:t>Exhibit 99.2</w:t>
      </w:r>
      <w:r>
        <w:rPr>
          <w:sz w:val="20"/>
          <w:szCs w:val="20"/>
          <w:color w:val="auto"/>
        </w:rPr>
        <w:tab/>
      </w:r>
      <w:hyperlink w:anchor="page6">
        <w:r>
          <w:rPr>
            <w:rFonts w:ascii="Arial" w:cs="Arial" w:eastAsia="Arial" w:hAnsi="Arial"/>
            <w:sz w:val="13"/>
            <w:szCs w:val="13"/>
            <w:u w:val="single" w:color="auto"/>
            <w:color w:val="0000EE"/>
          </w:rPr>
          <w:t>Earnings Presentation</w:t>
        </w:r>
      </w:hyperlink>
    </w:p>
    <w:p>
      <w:pPr>
        <w:spacing w:after="0" w:line="14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5"/>
          <w:szCs w:val="15"/>
          <w:color w:val="auto"/>
        </w:rPr>
        <w:t>Exhibit 104</w:t>
      </w:r>
      <w:r>
        <w:rPr>
          <w:sz w:val="20"/>
          <w:szCs w:val="20"/>
          <w:color w:val="auto"/>
        </w:rPr>
        <w:tab/>
      </w:r>
      <w:r>
        <w:rPr>
          <w:rFonts w:ascii="Arial" w:cs="Arial" w:eastAsia="Arial" w:hAnsi="Arial"/>
          <w:sz w:val="13"/>
          <w:szCs w:val="13"/>
          <w:color w:val="auto"/>
        </w:rPr>
        <w:t>Inline XBRL for the cover page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492760</wp:posOffset>
            </wp:positionV>
            <wp:extent cx="5676900"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6900" cy="1397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u w:val="single" w:color="auto"/>
          <w:color w:val="auto"/>
        </w:rPr>
        <w:t>SIGNATURE</w:t>
      </w:r>
    </w:p>
    <w:p>
      <w:pPr>
        <w:spacing w:after="0" w:line="148" w:lineRule="exact"/>
        <w:rPr>
          <w:sz w:val="20"/>
          <w:szCs w:val="20"/>
          <w:color w:val="auto"/>
        </w:rPr>
      </w:pPr>
    </w:p>
    <w:p>
      <w:pPr>
        <w:ind w:left="40" w:right="59" w:firstLine="523"/>
        <w:spacing w:after="0" w:line="258" w:lineRule="auto"/>
        <w:rPr>
          <w:sz w:val="20"/>
          <w:szCs w:val="20"/>
          <w:color w:val="auto"/>
        </w:rPr>
      </w:pPr>
      <w:r>
        <w:rPr>
          <w:rFonts w:ascii="Arial" w:cs="Arial" w:eastAsia="Arial" w:hAnsi="Arial"/>
          <w:sz w:val="15"/>
          <w:szCs w:val="15"/>
          <w:color w:val="auto"/>
        </w:rPr>
        <w:t>Pursuant to the requirements of the Securities Exchange Act of 1934, as amended, the Registrant has duly caused this Report to be signed on its behalf by the undersigned, thereunto duly authorized.</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40" w:type="dxa"/>
            <w:vAlign w:val="bottom"/>
            <w:gridSpan w:val="2"/>
          </w:tcPr>
          <w:p>
            <w:pPr>
              <w:ind w:left="20"/>
              <w:spacing w:after="0"/>
              <w:rPr>
                <w:sz w:val="20"/>
                <w:szCs w:val="20"/>
                <w:color w:val="auto"/>
              </w:rPr>
            </w:pPr>
            <w:r>
              <w:rPr>
                <w:rFonts w:ascii="Arial" w:cs="Arial" w:eastAsia="Arial" w:hAnsi="Arial"/>
                <w:sz w:val="15"/>
                <w:szCs w:val="15"/>
                <w:color w:val="auto"/>
              </w:rPr>
              <w:t>iStar Inc.</w:t>
            </w:r>
          </w:p>
        </w:tc>
      </w:tr>
      <w:tr>
        <w:trPr>
          <w:trHeight w:val="350"/>
        </w:trPr>
        <w:tc>
          <w:tcPr>
            <w:tcW w:w="500" w:type="dxa"/>
            <w:vAlign w:val="bottom"/>
          </w:tcPr>
          <w:p>
            <w:pPr>
              <w:spacing w:after="0"/>
              <w:rPr>
                <w:sz w:val="20"/>
                <w:szCs w:val="20"/>
                <w:color w:val="auto"/>
              </w:rPr>
            </w:pPr>
            <w:r>
              <w:rPr>
                <w:rFonts w:ascii="Arial" w:cs="Arial" w:eastAsia="Arial" w:hAnsi="Arial"/>
                <w:sz w:val="15"/>
                <w:szCs w:val="15"/>
                <w:color w:val="auto"/>
              </w:rPr>
              <w:t>Date:</w:t>
            </w:r>
          </w:p>
        </w:tc>
        <w:tc>
          <w:tcPr>
            <w:tcW w:w="2520" w:type="dxa"/>
            <w:vAlign w:val="bottom"/>
          </w:tcPr>
          <w:p>
            <w:pPr>
              <w:ind w:left="180"/>
              <w:spacing w:after="0"/>
              <w:rPr>
                <w:sz w:val="20"/>
                <w:szCs w:val="20"/>
                <w:color w:val="auto"/>
              </w:rPr>
            </w:pPr>
            <w:r>
              <w:rPr>
                <w:rFonts w:ascii="Arial" w:cs="Arial" w:eastAsia="Arial" w:hAnsi="Arial"/>
                <w:sz w:val="15"/>
                <w:szCs w:val="15"/>
                <w:color w:val="auto"/>
              </w:rPr>
              <w:t>August 3, 2021</w:t>
            </w:r>
          </w:p>
        </w:tc>
        <w:tc>
          <w:tcPr>
            <w:tcW w:w="1680" w:type="dxa"/>
            <w:vAlign w:val="bottom"/>
          </w:tcPr>
          <w:p>
            <w:pPr>
              <w:ind w:left="1440"/>
              <w:spacing w:after="0"/>
              <w:rPr>
                <w:sz w:val="20"/>
                <w:szCs w:val="20"/>
                <w:color w:val="auto"/>
              </w:rPr>
            </w:pPr>
            <w:r>
              <w:rPr>
                <w:rFonts w:ascii="Arial" w:cs="Arial" w:eastAsia="Arial" w:hAnsi="Arial"/>
                <w:sz w:val="15"/>
                <w:szCs w:val="15"/>
                <w:color w:val="auto"/>
              </w:rPr>
              <w:t>By:</w:t>
            </w:r>
          </w:p>
        </w:tc>
        <w:tc>
          <w:tcPr>
            <w:tcW w:w="2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/s/ GARETT ROSENBLUM</w:t>
            </w:r>
          </w:p>
        </w:tc>
      </w:tr>
      <w:tr>
        <w:trPr>
          <w:trHeight w:val="155"/>
        </w:trPr>
        <w:tc>
          <w:tcPr>
            <w:tcW w:w="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Pr>
          <w:p>
            <w:pPr>
              <w:jc w:val="center"/>
              <w:spacing w:after="0" w:line="156" w:lineRule="exact"/>
              <w:rPr>
                <w:sz w:val="20"/>
                <w:szCs w:val="20"/>
                <w:color w:val="auto"/>
              </w:rPr>
            </w:pPr>
            <w:r>
              <w:rPr>
                <w:rFonts w:ascii="Arial" w:cs="Arial" w:eastAsia="Arial" w:hAnsi="Arial"/>
                <w:sz w:val="15"/>
                <w:szCs w:val="15"/>
                <w:color w:val="auto"/>
                <w:w w:val="87"/>
              </w:rPr>
              <w:t>Garett Rosenblum</w:t>
            </w:r>
          </w:p>
        </w:tc>
      </w:tr>
      <w:tr>
        <w:trPr>
          <w:trHeight w:val="174"/>
        </w:trPr>
        <w:tc>
          <w:tcPr>
            <w:tcW w:w="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5"/>
                <w:szCs w:val="15"/>
                <w:i w:val="1"/>
                <w:iCs w:val="1"/>
                <w:color w:val="auto"/>
                <w:w w:val="90"/>
              </w:rPr>
              <w:t>Chief Accounting Officer</w:t>
            </w:r>
          </w:p>
        </w:tc>
      </w:tr>
      <w:tr>
        <w:trPr>
          <w:trHeight w:val="183"/>
        </w:trPr>
        <w:tc>
          <w:tcPr>
            <w:tcW w:w="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5"/>
                <w:szCs w:val="15"/>
                <w:i w:val="1"/>
                <w:iCs w:val="1"/>
                <w:color w:val="auto"/>
                <w:w w:val="94"/>
              </w:rPr>
              <w:t>(principal financial officer)</w:t>
            </w:r>
          </w:p>
        </w:tc>
      </w:tr>
      <w:tr>
        <w:trPr>
          <w:trHeight w:val="974"/>
        </w:trPr>
        <w:tc>
          <w:tcPr>
            <w:tcW w:w="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3" w:name="page4"/>
    <w:bookmarkEnd w:id="3"/>
    <w:p>
      <w:pPr>
        <w:spacing w:after="0"/>
        <w:rPr>
          <w:sz w:val="20"/>
          <w:szCs w:val="20"/>
          <w:color w:val="auto"/>
        </w:rPr>
      </w:pPr>
      <w:r>
        <w:rPr>
          <w:rFonts w:ascii="Arial" w:cs="Arial" w:eastAsia="Arial" w:hAnsi="Arial"/>
          <w:sz w:val="26"/>
          <w:szCs w:val="26"/>
          <w:color w:val="auto"/>
        </w:rPr>
        <w:drawing>
          <wp:anchor simplePos="0" relativeHeight="251657728" behindDoc="1" locked="0" layoutInCell="0" allowOverlap="1">
            <wp:simplePos x="0" y="0"/>
            <wp:positionH relativeFrom="page">
              <wp:posOffset>776605</wp:posOffset>
            </wp:positionH>
            <wp:positionV relativeFrom="page">
              <wp:posOffset>88900</wp:posOffset>
            </wp:positionV>
            <wp:extent cx="450215" cy="457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450215" cy="457200"/>
                    </a:xfrm>
                    <a:prstGeom prst="rect">
                      <a:avLst/>
                    </a:prstGeom>
                    <a:noFill/>
                  </pic:spPr>
                </pic:pic>
              </a:graphicData>
            </a:graphic>
          </wp:anchor>
        </w:drawing>
        <w:t>Press Release</w:t>
      </w:r>
    </w:p>
    <w:p>
      <w:pPr>
        <w:spacing w:after="0" w:line="357" w:lineRule="exact"/>
        <w:rPr>
          <w:sz w:val="20"/>
          <w:szCs w:val="20"/>
          <w:color w:val="auto"/>
        </w:rPr>
      </w:pPr>
    </w:p>
    <w:p>
      <w:pPr>
        <w:spacing w:after="0"/>
        <w:rPr>
          <w:sz w:val="20"/>
          <w:szCs w:val="20"/>
          <w:color w:val="auto"/>
        </w:rPr>
      </w:pPr>
      <w:r>
        <w:rPr>
          <w:rFonts w:ascii="Arial" w:cs="Arial" w:eastAsia="Arial" w:hAnsi="Arial"/>
          <w:sz w:val="32"/>
          <w:szCs w:val="32"/>
          <w:color w:val="0000FF"/>
        </w:rPr>
        <w:t>iStar Reports Second Quarter 2021 Results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YORK, August 3, 2021</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iStar Inc. (NYSE: STAR) today reported results for the second quarter ended June 30, 2021.</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Highlights for the quarter include:</w:t>
      </w:r>
    </w:p>
    <w:p>
      <w:pPr>
        <w:spacing w:after="0" w:line="295" w:lineRule="exact"/>
        <w:rPr>
          <w:sz w:val="20"/>
          <w:szCs w:val="20"/>
          <w:color w:val="auto"/>
        </w:rPr>
      </w:pPr>
    </w:p>
    <w:p>
      <w:pPr>
        <w:ind w:left="520" w:hanging="259"/>
        <w:spacing w:after="0"/>
        <w:tabs>
          <w:tab w:leader="none" w:pos="520" w:val="left"/>
        </w:tabs>
        <w:numPr>
          <w:ilvl w:val="0"/>
          <w:numId w:val="2"/>
        </w:numPr>
        <w:rPr>
          <w:rFonts w:ascii="Courier New" w:cs="Courier New" w:eastAsia="Courier New" w:hAnsi="Courier New"/>
          <w:sz w:val="17"/>
          <w:szCs w:val="17"/>
          <w:color w:val="auto"/>
        </w:rPr>
      </w:pPr>
      <w:r>
        <w:rPr>
          <w:rFonts w:ascii="Arial" w:cs="Arial" w:eastAsia="Arial" w:hAnsi="Arial"/>
          <w:sz w:val="17"/>
          <w:szCs w:val="17"/>
          <w:color w:val="auto"/>
        </w:rPr>
        <w:t>Net income (loss) of ($19.5) million or ($0.27) per diluted common share</w:t>
      </w:r>
    </w:p>
    <w:p>
      <w:pPr>
        <w:spacing w:after="0" w:line="105" w:lineRule="exact"/>
        <w:rPr>
          <w:rFonts w:ascii="Courier New" w:cs="Courier New" w:eastAsia="Courier New" w:hAnsi="Courier New"/>
          <w:sz w:val="17"/>
          <w:szCs w:val="17"/>
          <w:color w:val="auto"/>
        </w:rPr>
      </w:pPr>
    </w:p>
    <w:p>
      <w:pPr>
        <w:ind w:left="520" w:hanging="259"/>
        <w:spacing w:after="0"/>
        <w:tabs>
          <w:tab w:leader="none" w:pos="520" w:val="left"/>
        </w:tabs>
        <w:numPr>
          <w:ilvl w:val="0"/>
          <w:numId w:val="2"/>
        </w:numPr>
        <w:rPr>
          <w:rFonts w:ascii="Courier New" w:cs="Courier New" w:eastAsia="Courier New" w:hAnsi="Courier New"/>
          <w:sz w:val="17"/>
          <w:szCs w:val="17"/>
          <w:color w:val="auto"/>
        </w:rPr>
      </w:pPr>
      <w:r>
        <w:rPr>
          <w:rFonts w:ascii="Arial" w:cs="Arial" w:eastAsia="Arial" w:hAnsi="Arial"/>
          <w:sz w:val="17"/>
          <w:szCs w:val="17"/>
          <w:color w:val="auto"/>
        </w:rPr>
        <w:t>Adjusted earnings of $12.0 million or $0.15 per diluted common share</w:t>
      </w:r>
    </w:p>
    <w:p>
      <w:pPr>
        <w:spacing w:after="0" w:line="105" w:lineRule="exact"/>
        <w:rPr>
          <w:rFonts w:ascii="Courier New" w:cs="Courier New" w:eastAsia="Courier New" w:hAnsi="Courier New"/>
          <w:sz w:val="17"/>
          <w:szCs w:val="17"/>
          <w:color w:val="auto"/>
        </w:rPr>
      </w:pPr>
    </w:p>
    <w:p>
      <w:pPr>
        <w:ind w:left="520" w:hanging="259"/>
        <w:spacing w:after="0"/>
        <w:tabs>
          <w:tab w:leader="none" w:pos="520" w:val="left"/>
        </w:tabs>
        <w:numPr>
          <w:ilvl w:val="0"/>
          <w:numId w:val="2"/>
        </w:numPr>
        <w:rPr>
          <w:rFonts w:ascii="Courier New" w:cs="Courier New" w:eastAsia="Courier New" w:hAnsi="Courier New"/>
          <w:sz w:val="17"/>
          <w:szCs w:val="17"/>
          <w:color w:val="auto"/>
        </w:rPr>
      </w:pPr>
      <w:r>
        <w:rPr>
          <w:rFonts w:ascii="Arial" w:cs="Arial" w:eastAsia="Arial" w:hAnsi="Arial"/>
          <w:sz w:val="17"/>
          <w:szCs w:val="17"/>
          <w:color w:val="auto"/>
        </w:rPr>
        <w:t>Unrealized gain on Safehold investment increased by $289 million during the second quarter to $1.7 billion</w:t>
      </w:r>
    </w:p>
    <w:p>
      <w:pPr>
        <w:spacing w:after="0" w:line="105" w:lineRule="exact"/>
        <w:rPr>
          <w:rFonts w:ascii="Courier New" w:cs="Courier New" w:eastAsia="Courier New" w:hAnsi="Courier New"/>
          <w:sz w:val="17"/>
          <w:szCs w:val="17"/>
          <w:color w:val="auto"/>
        </w:rPr>
      </w:pPr>
    </w:p>
    <w:p>
      <w:pPr>
        <w:ind w:left="520" w:hanging="259"/>
        <w:spacing w:after="0"/>
        <w:tabs>
          <w:tab w:leader="none" w:pos="520" w:val="left"/>
        </w:tabs>
        <w:numPr>
          <w:ilvl w:val="0"/>
          <w:numId w:val="2"/>
        </w:numPr>
        <w:rPr>
          <w:rFonts w:ascii="Courier New" w:cs="Courier New" w:eastAsia="Courier New" w:hAnsi="Courier New"/>
          <w:sz w:val="17"/>
          <w:szCs w:val="17"/>
          <w:color w:val="auto"/>
        </w:rPr>
      </w:pPr>
      <w:r>
        <w:rPr>
          <w:rFonts w:ascii="Arial" w:cs="Arial" w:eastAsia="Arial" w:hAnsi="Arial"/>
          <w:sz w:val="17"/>
          <w:szCs w:val="17"/>
          <w:color w:val="auto"/>
        </w:rPr>
        <w:t>Fitch credit rating upgrade to BB</w:t>
      </w:r>
    </w:p>
    <w:p>
      <w:pPr>
        <w:spacing w:after="0" w:line="105" w:lineRule="exact"/>
        <w:rPr>
          <w:rFonts w:ascii="Courier New" w:cs="Courier New" w:eastAsia="Courier New" w:hAnsi="Courier New"/>
          <w:sz w:val="17"/>
          <w:szCs w:val="17"/>
          <w:color w:val="auto"/>
        </w:rPr>
      </w:pPr>
    </w:p>
    <w:p>
      <w:pPr>
        <w:ind w:left="520" w:hanging="259"/>
        <w:spacing w:after="0"/>
        <w:tabs>
          <w:tab w:leader="none" w:pos="520" w:val="left"/>
        </w:tabs>
        <w:numPr>
          <w:ilvl w:val="0"/>
          <w:numId w:val="2"/>
        </w:numPr>
        <w:rPr>
          <w:rFonts w:ascii="Courier New" w:cs="Courier New" w:eastAsia="Courier New" w:hAnsi="Courier New"/>
          <w:sz w:val="17"/>
          <w:szCs w:val="17"/>
          <w:color w:val="auto"/>
        </w:rPr>
      </w:pPr>
      <w:r>
        <w:rPr>
          <w:rFonts w:ascii="Arial" w:cs="Arial" w:eastAsia="Arial" w:hAnsi="Arial"/>
          <w:sz w:val="17"/>
          <w:szCs w:val="17"/>
          <w:color w:val="auto"/>
        </w:rPr>
        <w:t>$34 million of legacy asset sales proceeds</w:t>
      </w:r>
    </w:p>
    <w:p>
      <w:pPr>
        <w:spacing w:after="0" w:line="105" w:lineRule="exact"/>
        <w:rPr>
          <w:rFonts w:ascii="Courier New" w:cs="Courier New" w:eastAsia="Courier New" w:hAnsi="Courier New"/>
          <w:sz w:val="17"/>
          <w:szCs w:val="17"/>
          <w:color w:val="auto"/>
        </w:rPr>
      </w:pPr>
    </w:p>
    <w:p>
      <w:pPr>
        <w:ind w:left="520" w:hanging="259"/>
        <w:spacing w:after="0"/>
        <w:tabs>
          <w:tab w:leader="none" w:pos="520" w:val="left"/>
        </w:tabs>
        <w:numPr>
          <w:ilvl w:val="0"/>
          <w:numId w:val="2"/>
        </w:numPr>
        <w:rPr>
          <w:rFonts w:ascii="Courier New" w:cs="Courier New" w:eastAsia="Courier New" w:hAnsi="Courier New"/>
          <w:sz w:val="17"/>
          <w:szCs w:val="17"/>
          <w:color w:val="auto"/>
        </w:rPr>
      </w:pPr>
      <w:r>
        <w:rPr>
          <w:rFonts w:ascii="Arial" w:cs="Arial" w:eastAsia="Arial" w:hAnsi="Arial"/>
          <w:sz w:val="17"/>
          <w:szCs w:val="17"/>
          <w:color w:val="auto"/>
        </w:rPr>
        <w:t>$167 million of legacy asset sales proceeds closed subsequent to the end of the quarter</w:t>
      </w:r>
    </w:p>
    <w:p>
      <w:pPr>
        <w:spacing w:after="0" w:line="335" w:lineRule="exact"/>
        <w:rPr>
          <w:sz w:val="20"/>
          <w:szCs w:val="20"/>
          <w:color w:val="auto"/>
        </w:rPr>
      </w:pPr>
    </w:p>
    <w:p>
      <w:pPr>
        <w:ind w:right="100"/>
        <w:spacing w:after="0" w:line="287" w:lineRule="auto"/>
        <w:rPr>
          <w:sz w:val="20"/>
          <w:szCs w:val="20"/>
          <w:color w:val="auto"/>
        </w:rPr>
      </w:pPr>
      <w:r>
        <w:rPr>
          <w:rFonts w:ascii="Arial" w:cs="Arial" w:eastAsia="Arial" w:hAnsi="Arial"/>
          <w:sz w:val="17"/>
          <w:szCs w:val="17"/>
          <w:color w:val="auto"/>
        </w:rPr>
        <w:t>“We have made substantial progress on our strategy so far this year by further expanding the ground lease ecosystem, increasing our balance sheet strength, and making significant inroads with legacy asset monetization,” said Jay Sugarman, Chairman and Chief Executive Officer. “We remain focused on executing our ‘Scale-Strengthen-Streamline’ strategy and look forward to building on our growing momentum.”</w:t>
      </w:r>
    </w:p>
    <w:p>
      <w:pPr>
        <w:spacing w:after="0" w:line="242"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The Company published a presentation detailing its results and a reconciliation of non-GAAP financial metrics, which can be found on its website, in the "Investors" section.</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5D5B58"/>
        </w:rPr>
        <w:t>1114 Avenue of the Americas</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5D5B58"/>
        </w:rPr>
        <w:t>New York, NY 10036</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5D5B58"/>
        </w:rPr>
        <w:t>T 212.930.9400</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5D5B58"/>
        </w:rPr>
        <w:t>E investors@istar.com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610616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06160" cy="20955"/>
                    </a:xfrm>
                    <a:prstGeom prst="rect">
                      <a:avLst/>
                    </a:prstGeom>
                    <a:noFill/>
                  </pic:spPr>
                </pic:pic>
              </a:graphicData>
            </a:graphic>
          </wp:anchor>
        </w:drawing>
      </w:r>
    </w:p>
    <w:p>
      <w:pPr>
        <w:sectPr>
          <w:pgSz w:w="11900" w:h="16838" w:orient="portrait"/>
          <w:cols w:equalWidth="0" w:num="1">
            <w:col w:w="9560"/>
          </w:cols>
          <w:pgMar w:left="1220" w:top="1211" w:right="1119" w:bottom="1440" w:gutter="0" w:footer="0" w:header="0"/>
        </w:sectPr>
      </w:pPr>
    </w:p>
    <w:bookmarkStart w:id="4" w:name="page5"/>
    <w:bookmarkEnd w:id="4"/>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776605</wp:posOffset>
            </wp:positionH>
            <wp:positionV relativeFrom="page">
              <wp:posOffset>310515</wp:posOffset>
            </wp:positionV>
            <wp:extent cx="450215" cy="4572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50215" cy="457200"/>
                    </a:xfrm>
                    <a:prstGeom prst="rect">
                      <a:avLst/>
                    </a:prstGeom>
                    <a:noFill/>
                  </pic:spPr>
                </pic:pic>
              </a:graphicData>
            </a:graphic>
          </wp:anchor>
        </w:drawing>
      </w:r>
    </w:p>
    <w:p>
      <w:pPr>
        <w:ind w:right="80"/>
        <w:spacing w:after="0" w:line="289" w:lineRule="auto"/>
        <w:rPr>
          <w:sz w:val="20"/>
          <w:szCs w:val="20"/>
          <w:color w:val="auto"/>
        </w:rPr>
      </w:pPr>
      <w:r>
        <w:rPr>
          <w:rFonts w:ascii="Arial" w:cs="Arial" w:eastAsia="Arial" w:hAnsi="Arial"/>
          <w:sz w:val="17"/>
          <w:szCs w:val="17"/>
          <w:color w:val="auto"/>
        </w:rPr>
        <w:t>The Company will host an earnings conference call reviewing this presentation beginning at 10:00 a.m. ET. This conference call will be broadcast live and can be accessed by all interested parties through iStar's website and by using the dial-in information listed below:</w:t>
      </w:r>
    </w:p>
    <w:p>
      <w:pPr>
        <w:spacing w:after="0" w:line="133" w:lineRule="exact"/>
        <w:rPr>
          <w:sz w:val="20"/>
          <w:szCs w:val="20"/>
          <w:color w:val="auto"/>
        </w:rPr>
      </w:pPr>
    </w:p>
    <w:p>
      <w:pPr>
        <w:ind w:left="80"/>
        <w:spacing w:after="0"/>
        <w:tabs>
          <w:tab w:leader="none" w:pos="2300" w:val="left"/>
        </w:tabs>
        <w:rPr>
          <w:sz w:val="20"/>
          <w:szCs w:val="20"/>
          <w:color w:val="auto"/>
        </w:rPr>
      </w:pPr>
      <w:r>
        <w:rPr>
          <w:rFonts w:ascii="Arial" w:cs="Arial" w:eastAsia="Arial" w:hAnsi="Arial"/>
          <w:sz w:val="17"/>
          <w:szCs w:val="17"/>
          <w:color w:val="0000FF"/>
        </w:rPr>
        <w:t>Dial-In:</w:t>
      </w:r>
      <w:r>
        <w:rPr>
          <w:sz w:val="20"/>
          <w:szCs w:val="20"/>
          <w:color w:val="auto"/>
        </w:rPr>
        <w:tab/>
      </w:r>
      <w:r>
        <w:rPr>
          <w:rFonts w:ascii="Arial" w:cs="Arial" w:eastAsia="Arial" w:hAnsi="Arial"/>
          <w:sz w:val="17"/>
          <w:szCs w:val="17"/>
          <w:color w:val="auto"/>
        </w:rPr>
        <w:t>844.867.6169</w:t>
      </w:r>
    </w:p>
    <w:p>
      <w:pPr>
        <w:spacing w:after="0" w:line="121" w:lineRule="exact"/>
        <w:rPr>
          <w:sz w:val="20"/>
          <w:szCs w:val="20"/>
          <w:color w:val="auto"/>
        </w:rPr>
      </w:pPr>
    </w:p>
    <w:p>
      <w:pPr>
        <w:ind w:left="80"/>
        <w:spacing w:after="0"/>
        <w:tabs>
          <w:tab w:leader="none" w:pos="2300" w:val="left"/>
        </w:tabs>
        <w:rPr>
          <w:sz w:val="20"/>
          <w:szCs w:val="20"/>
          <w:color w:val="auto"/>
        </w:rPr>
      </w:pPr>
      <w:r>
        <w:rPr>
          <w:rFonts w:ascii="Arial" w:cs="Arial" w:eastAsia="Arial" w:hAnsi="Arial"/>
          <w:sz w:val="17"/>
          <w:szCs w:val="17"/>
          <w:color w:val="0000FF"/>
        </w:rPr>
        <w:t>International:</w:t>
      </w:r>
      <w:r>
        <w:rPr>
          <w:sz w:val="20"/>
          <w:szCs w:val="20"/>
          <w:color w:val="auto"/>
        </w:rPr>
        <w:tab/>
      </w:r>
      <w:r>
        <w:rPr>
          <w:rFonts w:ascii="Arial" w:cs="Arial" w:eastAsia="Arial" w:hAnsi="Arial"/>
          <w:sz w:val="17"/>
          <w:szCs w:val="17"/>
          <w:color w:val="auto"/>
        </w:rPr>
        <w:t>409.207.6975</w:t>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660" w:type="dxa"/>
            <w:vAlign w:val="bottom"/>
          </w:tcPr>
          <w:p>
            <w:pPr>
              <w:spacing w:after="0"/>
              <w:rPr>
                <w:sz w:val="20"/>
                <w:szCs w:val="20"/>
                <w:color w:val="auto"/>
              </w:rPr>
            </w:pPr>
            <w:r>
              <w:rPr>
                <w:rFonts w:ascii="Arial" w:cs="Arial" w:eastAsia="Arial" w:hAnsi="Arial"/>
                <w:sz w:val="17"/>
                <w:szCs w:val="17"/>
                <w:color w:val="0000FF"/>
              </w:rPr>
              <w:t>Access Code:</w:t>
            </w:r>
          </w:p>
        </w:tc>
        <w:tc>
          <w:tcPr>
            <w:tcW w:w="1260" w:type="dxa"/>
            <w:vAlign w:val="bottom"/>
          </w:tcPr>
          <w:p>
            <w:pPr>
              <w:jc w:val="right"/>
              <w:spacing w:after="0"/>
              <w:rPr>
                <w:sz w:val="20"/>
                <w:szCs w:val="20"/>
                <w:color w:val="auto"/>
              </w:rPr>
            </w:pPr>
            <w:r>
              <w:rPr>
                <w:rFonts w:ascii="Arial" w:cs="Arial" w:eastAsia="Arial" w:hAnsi="Arial"/>
                <w:sz w:val="17"/>
                <w:szCs w:val="17"/>
                <w:color w:val="auto"/>
              </w:rPr>
              <w:t>2952269</w:t>
            </w:r>
          </w:p>
        </w:tc>
      </w:tr>
    </w:tbl>
    <w:p>
      <w:pPr>
        <w:spacing w:after="0" w:line="200" w:lineRule="exact"/>
        <w:rPr>
          <w:sz w:val="20"/>
          <w:szCs w:val="20"/>
          <w:color w:val="auto"/>
        </w:rPr>
      </w:pPr>
    </w:p>
    <w:p>
      <w:pPr>
        <w:spacing w:after="0" w:line="277"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A replay of the call will be archived on the Company’s website. Alternatively, the replay can be accessed via dial-in from 1:00 p.m. ET on August 3, 2021 through 12:00 a.m. ET on August 17, 2021 by calling:</w:t>
      </w:r>
    </w:p>
    <w:p>
      <w:pPr>
        <w:spacing w:after="0" w:line="114" w:lineRule="exact"/>
        <w:rPr>
          <w:sz w:val="20"/>
          <w:szCs w:val="20"/>
          <w:color w:val="auto"/>
        </w:rPr>
      </w:pPr>
    </w:p>
    <w:p>
      <w:pPr>
        <w:ind w:left="80"/>
        <w:spacing w:after="0"/>
        <w:tabs>
          <w:tab w:leader="none" w:pos="2400" w:val="left"/>
        </w:tabs>
        <w:rPr>
          <w:sz w:val="20"/>
          <w:szCs w:val="20"/>
          <w:color w:val="auto"/>
        </w:rPr>
      </w:pPr>
      <w:r>
        <w:rPr>
          <w:rFonts w:ascii="Arial" w:cs="Arial" w:eastAsia="Arial" w:hAnsi="Arial"/>
          <w:sz w:val="17"/>
          <w:szCs w:val="17"/>
          <w:color w:val="0000FF"/>
        </w:rPr>
        <w:t>Replay:</w:t>
      </w:r>
      <w:r>
        <w:rPr>
          <w:sz w:val="20"/>
          <w:szCs w:val="20"/>
          <w:color w:val="auto"/>
        </w:rPr>
        <w:tab/>
      </w:r>
      <w:r>
        <w:rPr>
          <w:rFonts w:ascii="Arial" w:cs="Arial" w:eastAsia="Arial" w:hAnsi="Arial"/>
          <w:sz w:val="17"/>
          <w:szCs w:val="17"/>
          <w:color w:val="auto"/>
        </w:rPr>
        <w:t>866.207.1041</w:t>
      </w:r>
    </w:p>
    <w:p>
      <w:pPr>
        <w:spacing w:after="0" w:line="121" w:lineRule="exact"/>
        <w:rPr>
          <w:sz w:val="20"/>
          <w:szCs w:val="20"/>
          <w:color w:val="auto"/>
        </w:rPr>
      </w:pPr>
    </w:p>
    <w:p>
      <w:pPr>
        <w:ind w:left="80"/>
        <w:spacing w:after="0"/>
        <w:tabs>
          <w:tab w:leader="none" w:pos="2400" w:val="left"/>
        </w:tabs>
        <w:rPr>
          <w:sz w:val="20"/>
          <w:szCs w:val="20"/>
          <w:color w:val="auto"/>
        </w:rPr>
      </w:pPr>
      <w:r>
        <w:rPr>
          <w:rFonts w:ascii="Arial" w:cs="Arial" w:eastAsia="Arial" w:hAnsi="Arial"/>
          <w:sz w:val="17"/>
          <w:szCs w:val="17"/>
          <w:color w:val="0000FF"/>
        </w:rPr>
        <w:t>International:</w:t>
      </w:r>
      <w:r>
        <w:rPr>
          <w:sz w:val="20"/>
          <w:szCs w:val="20"/>
          <w:color w:val="auto"/>
        </w:rPr>
        <w:tab/>
      </w:r>
      <w:r>
        <w:rPr>
          <w:rFonts w:ascii="Arial" w:cs="Arial" w:eastAsia="Arial" w:hAnsi="Arial"/>
          <w:sz w:val="17"/>
          <w:szCs w:val="17"/>
          <w:color w:val="auto"/>
        </w:rPr>
        <w:t>402.970.0847</w:t>
      </w:r>
    </w:p>
    <w:p>
      <w:pPr>
        <w:spacing w:after="0" w:line="12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1700" w:type="dxa"/>
            <w:vAlign w:val="bottom"/>
          </w:tcPr>
          <w:p>
            <w:pPr>
              <w:spacing w:after="0"/>
              <w:rPr>
                <w:sz w:val="20"/>
                <w:szCs w:val="20"/>
                <w:color w:val="auto"/>
              </w:rPr>
            </w:pPr>
            <w:r>
              <w:rPr>
                <w:rFonts w:ascii="Arial" w:cs="Arial" w:eastAsia="Arial" w:hAnsi="Arial"/>
                <w:sz w:val="17"/>
                <w:szCs w:val="17"/>
                <w:color w:val="0000FF"/>
              </w:rPr>
              <w:t>Access Code:</w:t>
            </w:r>
          </w:p>
        </w:tc>
        <w:tc>
          <w:tcPr>
            <w:tcW w:w="1300" w:type="dxa"/>
            <w:vAlign w:val="bottom"/>
          </w:tcPr>
          <w:p>
            <w:pPr>
              <w:jc w:val="right"/>
              <w:spacing w:after="0"/>
              <w:rPr>
                <w:sz w:val="20"/>
                <w:szCs w:val="20"/>
                <w:color w:val="auto"/>
              </w:rPr>
            </w:pPr>
            <w:r>
              <w:rPr>
                <w:rFonts w:ascii="Arial" w:cs="Arial" w:eastAsia="Arial" w:hAnsi="Arial"/>
                <w:sz w:val="17"/>
                <w:szCs w:val="17"/>
                <w:color w:val="auto"/>
              </w:rPr>
              <w:t>2859281</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iStar Inc. (NYSE: STAR) is focused on reinventing the ground lease sector, unlocking value for real estate owners throughout the country by providing modern, more efficient ground leases on institutional quality properties. As the founder, investment manager and largest shareholder of Safehold Inc. (NYSE: SAFE), the creator of the modern ground lease industry, iStar is using its national investment platform and its historic strengths in finance and net lease to expand the use of modern ground leases within the $7 trillion institutional commercial real estate market. Recognized as a consistent innovator in the real estate markets, iStar specializes in identifying and scaling newly discovered opportunities and has completed more than $40 billion of transactions over the past two decades. Additional information on iStar is available on its website at www.istar.com.</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0000FF"/>
        </w:rPr>
        <w:t>Company Contact: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Jason Fooks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 &amp; Marketing</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T 212.930.9400</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E investors@istar.com</w:t>
      </w:r>
    </w:p>
    <w:p>
      <w:pPr>
        <w:spacing w:after="0" w:line="357" w:lineRule="exact"/>
        <w:rPr>
          <w:sz w:val="20"/>
          <w:szCs w:val="20"/>
          <w:color w:val="auto"/>
        </w:rPr>
      </w:pPr>
    </w:p>
    <w:p>
      <w:pPr>
        <w:spacing w:after="0"/>
        <w:rPr>
          <w:sz w:val="20"/>
          <w:szCs w:val="20"/>
          <w:color w:val="auto"/>
        </w:rPr>
      </w:pPr>
      <w:r>
        <w:rPr>
          <w:rFonts w:ascii="Arial" w:cs="Arial" w:eastAsia="Arial" w:hAnsi="Arial"/>
          <w:sz w:val="12"/>
          <w:szCs w:val="12"/>
          <w:color w:val="5D5B58"/>
        </w:rPr>
        <w:t>1114 Avenue of the Americas</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5D5B58"/>
        </w:rPr>
        <w:t>New York, NY 10036</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5D5B58"/>
        </w:rPr>
        <w:t>T 212.930.9400</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5D5B58"/>
        </w:rPr>
        <w:t>E investors@istar.com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610616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06160" cy="20955"/>
                    </a:xfrm>
                    <a:prstGeom prst="rect">
                      <a:avLst/>
                    </a:prstGeom>
                    <a:noFill/>
                  </pic:spPr>
                </pic:pic>
              </a:graphicData>
            </a:graphic>
          </wp:anchor>
        </w:drawing>
      </w:r>
    </w:p>
    <w:p>
      <w:pPr>
        <w:sectPr>
          <w:pgSz w:w="11900" w:h="16838" w:orient="portrait"/>
          <w:cols w:equalWidth="0" w:num="1">
            <w:col w:w="9600"/>
          </w:cols>
          <w:pgMar w:left="1220" w:top="1440" w:right="1079" w:bottom="1440" w:gutter="0" w:footer="0" w:header="0"/>
        </w:sectPr>
      </w:pPr>
    </w:p>
    <w:bookmarkStart w:id="5" w:name="page6"/>
    <w:bookmarkEnd w:id="5"/>
    <w:p>
      <w:pPr>
        <w:ind w:left="9380"/>
        <w:spacing w:after="0"/>
        <w:rPr>
          <w:sz w:val="20"/>
          <w:szCs w:val="20"/>
          <w:color w:val="auto"/>
        </w:rPr>
      </w:pPr>
      <w:r>
        <w:rPr>
          <w:rFonts w:ascii="Arial" w:cs="Arial" w:eastAsia="Arial" w:hAnsi="Arial"/>
          <w:sz w:val="13"/>
          <w:szCs w:val="13"/>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25400</wp:posOffset>
            </wp:positionV>
            <wp:extent cx="6923405" cy="5490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5558155</wp:posOffset>
            </wp:positionV>
            <wp:extent cx="678497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497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250190</wp:posOffset>
            </wp:positionH>
            <wp:positionV relativeFrom="page">
              <wp:posOffset>88900</wp:posOffset>
            </wp:positionV>
            <wp:extent cx="6923405" cy="54902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23405" cy="54902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2021-08-03T06:44:19Z</dcterms:created>
  <dcterms:modified xsi:type="dcterms:W3CDTF">2021-08-03T06:44:19Z</dcterms:modified>
</cp:coreProperties>
</file>