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2717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2717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190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RIDINGS BARRY W</w:t>
              </w:r>
            </w:hyperlink>
          </w:p>
        </w:tc>
        <w:tc>
          <w:tcPr>
            <w:tcW w:w="1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Safehold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SAFE</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1900" w:type="dxa"/>
            <w:vAlign w:val="bottom"/>
            <w:tcBorders>
              <w:bottom w:val="single" w:sz="8" w:color="0000EE"/>
            </w:tcBorders>
            <w:gridSpan w:val="2"/>
            <w:vMerge w:val="continue"/>
          </w:tcPr>
          <w:p>
            <w:pPr>
              <w:spacing w:after="0"/>
              <w:rPr>
                <w:sz w:val="5"/>
                <w:szCs w:val="5"/>
                <w:color w:val="auto"/>
              </w:rPr>
            </w:pPr>
          </w:p>
        </w:tc>
        <w:tc>
          <w:tcPr>
            <w:tcW w:w="17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000" w:type="dxa"/>
            <w:vAlign w:val="bottom"/>
            <w:tcBorders>
              <w:top w:val="single" w:sz="8" w:color="0000EE"/>
            </w:tcBorders>
          </w:tcPr>
          <w:p>
            <w:pPr>
              <w:spacing w:after="0"/>
              <w:rPr>
                <w:sz w:val="5"/>
                <w:szCs w:val="5"/>
                <w:color w:val="auto"/>
              </w:rPr>
            </w:pPr>
          </w:p>
        </w:tc>
        <w:tc>
          <w:tcPr>
            <w:tcW w:w="2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Borders>
              <w:bottom w:val="single" w:sz="8" w:color="9A9A9A"/>
            </w:tcBorders>
          </w:tcPr>
          <w:p>
            <w:pPr>
              <w:spacing w:after="0"/>
              <w:rPr>
                <w:sz w:val="16"/>
                <w:szCs w:val="16"/>
                <w:color w:val="auto"/>
              </w:rPr>
            </w:pPr>
          </w:p>
        </w:tc>
        <w:tc>
          <w:tcPr>
            <w:tcW w:w="1120" w:type="dxa"/>
            <w:vAlign w:val="bottom"/>
            <w:tcBorders>
              <w:bottom w:val="single" w:sz="8" w:color="9A9A9A"/>
            </w:tcBorders>
          </w:tcPr>
          <w:p>
            <w:pPr>
              <w:spacing w:after="0"/>
              <w:rPr>
                <w:sz w:val="16"/>
                <w:szCs w:val="16"/>
                <w:color w:val="auto"/>
              </w:rPr>
            </w:pPr>
          </w:p>
        </w:tc>
        <w:tc>
          <w:tcPr>
            <w:tcW w:w="174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1000" w:type="dxa"/>
            <w:vAlign w:val="bottom"/>
            <w:tcBorders>
              <w:bottom w:val="single" w:sz="8" w:color="2C2C2C"/>
            </w:tcBorders>
          </w:tcPr>
          <w:p>
            <w:pPr>
              <w:spacing w:after="0"/>
              <w:rPr>
                <w:sz w:val="16"/>
                <w:szCs w:val="16"/>
                <w:color w:val="auto"/>
              </w:rPr>
            </w:pPr>
          </w:p>
        </w:tc>
        <w:tc>
          <w:tcPr>
            <w:tcW w:w="2620" w:type="dxa"/>
            <w:vAlign w:val="bottom"/>
            <w:tcBorders>
              <w:bottom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40" w:type="dxa"/>
            <w:vAlign w:val="bottom"/>
          </w:tcPr>
          <w:p>
            <w:pPr>
              <w:spacing w:after="0"/>
              <w:rPr>
                <w:sz w:val="12"/>
                <w:szCs w:val="12"/>
                <w:color w:val="auto"/>
              </w:rPr>
            </w:pPr>
          </w:p>
        </w:tc>
        <w:tc>
          <w:tcPr>
            <w:tcW w:w="7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120" w:type="dxa"/>
            <w:vAlign w:val="bottom"/>
            <w:tcBorders>
              <w:top w:val="single" w:sz="8" w:color="EEEEEE"/>
            </w:tcBorders>
            <w:vMerge w:val="restart"/>
          </w:tcPr>
          <w:p>
            <w:pPr>
              <w:ind w:left="440"/>
              <w:spacing w:after="0"/>
              <w:rPr>
                <w:sz w:val="20"/>
                <w:szCs w:val="20"/>
                <w:color w:val="auto"/>
              </w:rPr>
            </w:pPr>
            <w:r>
              <w:rPr>
                <w:rFonts w:ascii="Arial" w:cs="Arial" w:eastAsia="Arial" w:hAnsi="Arial"/>
                <w:sz w:val="13"/>
                <w:szCs w:val="13"/>
                <w:color w:val="auto"/>
              </w:rPr>
              <w:t>(First)</w:t>
            </w:r>
          </w:p>
        </w:tc>
        <w:tc>
          <w:tcPr>
            <w:tcW w:w="1740" w:type="dxa"/>
            <w:vAlign w:val="bottom"/>
            <w:tcBorders>
              <w:top w:val="single" w:sz="8" w:color="EEEEEE"/>
            </w:tcBorders>
            <w:vMerge w:val="restart"/>
          </w:tcPr>
          <w:p>
            <w:pPr>
              <w:ind w:left="540"/>
              <w:spacing w:after="0"/>
              <w:rPr>
                <w:sz w:val="20"/>
                <w:szCs w:val="20"/>
                <w:color w:val="auto"/>
              </w:rPr>
            </w:pPr>
            <w:r>
              <w:rPr>
                <w:rFonts w:ascii="Arial" w:cs="Arial" w:eastAsia="Arial" w:hAnsi="Arial"/>
                <w:sz w:val="13"/>
                <w:szCs w:val="13"/>
                <w:color w:val="auto"/>
              </w:rPr>
              <w:t>(Middle)</w:t>
            </w:r>
          </w:p>
        </w:tc>
        <w:tc>
          <w:tcPr>
            <w:tcW w:w="280" w:type="dxa"/>
            <w:vAlign w:val="bottom"/>
            <w:gridSpan w:val="3"/>
          </w:tcPr>
          <w:p>
            <w:pPr>
              <w:ind w:left="160"/>
              <w:spacing w:after="0" w:line="146" w:lineRule="exact"/>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line="146" w:lineRule="exact"/>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1120" w:type="dxa"/>
            <w:vAlign w:val="bottom"/>
            <w:vMerge w:val="continue"/>
          </w:tcPr>
          <w:p>
            <w:pPr>
              <w:spacing w:after="0"/>
              <w:rPr>
                <w:sz w:val="19"/>
                <w:szCs w:val="19"/>
                <w:color w:val="auto"/>
              </w:rPr>
            </w:pPr>
          </w:p>
        </w:tc>
        <w:tc>
          <w:tcPr>
            <w:tcW w:w="1740" w:type="dxa"/>
            <w:vAlign w:val="bottom"/>
            <w:vMerge w:val="continue"/>
          </w:tcPr>
          <w:p>
            <w:pPr>
              <w:spacing w:after="0"/>
              <w:rPr>
                <w:sz w:val="19"/>
                <w:szCs w:val="19"/>
                <w:color w:val="auto"/>
              </w:rPr>
            </w:pPr>
          </w:p>
        </w:tc>
        <w:tc>
          <w:tcPr>
            <w:tcW w:w="128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10/15/2024</w:t>
            </w:r>
          </w:p>
        </w:tc>
        <w:tc>
          <w:tcPr>
            <w:tcW w:w="26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1114 AVE OF THE AMERICAS 39TH FLOOR</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p>
      <w:pPr>
        <w:spacing w:after="0" w:line="240"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10036</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0"/>
          <w:szCs w:val="20"/>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10/15/2024</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19</w:t>
            </w:r>
          </w:p>
        </w:tc>
        <w:tc>
          <w:tcPr>
            <w:tcW w:w="700" w:type="dxa"/>
            <w:vAlign w:val="bottom"/>
            <w:tcBorders>
              <w:bottom w:val="single" w:sz="8" w:color="2C2C2C"/>
            </w:tcBorders>
          </w:tcPr>
          <w:p>
            <w:pPr>
              <w:ind w:left="240"/>
              <w:spacing w:after="0" w:line="320" w:lineRule="exact"/>
              <w:rPr>
                <w:sz w:val="20"/>
                <w:szCs w:val="20"/>
                <w:color w:val="auto"/>
              </w:rPr>
            </w:pPr>
            <w:r>
              <w:rPr>
                <w:rFonts w:ascii="Times New Roman" w:cs="Times New Roman" w:eastAsia="Times New Roman" w:hAnsi="Times New Roman"/>
                <w:sz w:val="34"/>
                <w:szCs w:val="34"/>
                <w:color w:val="0000FF"/>
                <w:vertAlign w:val="subscript"/>
              </w:rPr>
              <w:t>A</w:t>
            </w:r>
            <w:r>
              <w:rPr>
                <w:rFonts w:ascii="Times New Roman" w:cs="Times New Roman" w:eastAsia="Times New Roman" w:hAnsi="Times New Roman"/>
                <w:sz w:val="11"/>
                <w:szCs w:val="11"/>
                <w:color w:val="008000"/>
              </w:rPr>
              <w:t>(1)</w:t>
            </w: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jc w:val="center"/>
              <w:ind w:left="67"/>
              <w:spacing w:after="0"/>
              <w:rPr>
                <w:sz w:val="20"/>
                <w:szCs w:val="20"/>
                <w:color w:val="auto"/>
              </w:rPr>
            </w:pPr>
            <w:r>
              <w:rPr>
                <w:rFonts w:ascii="Times New Roman" w:cs="Times New Roman" w:eastAsia="Times New Roman" w:hAnsi="Times New Roman"/>
                <w:sz w:val="17"/>
                <w:szCs w:val="17"/>
                <w:color w:val="0000FF"/>
              </w:rPr>
              <w:t>43,965</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80" w:type="dxa"/>
            <w:vAlign w:val="bottom"/>
            <w:gridSpan w:val="3"/>
          </w:tcPr>
          <w:p>
            <w:pPr>
              <w:jc w:val="center"/>
              <w:ind w:left="47"/>
              <w:spacing w:after="0"/>
              <w:rPr>
                <w:sz w:val="20"/>
                <w:szCs w:val="20"/>
                <w:color w:val="auto"/>
              </w:rPr>
            </w:pPr>
            <w:r>
              <w:rPr>
                <w:rFonts w:ascii="Times New Roman" w:cs="Times New Roman" w:eastAsia="Times New Roman" w:hAnsi="Times New Roman"/>
                <w:sz w:val="17"/>
                <w:szCs w:val="17"/>
                <w:color w:val="0000FF"/>
                <w:w w:val="99"/>
              </w:rPr>
              <w:t>4,665</w:t>
            </w:r>
          </w:p>
        </w:tc>
        <w:tc>
          <w:tcPr>
            <w:tcW w:w="9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Trust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80" w:type="dxa"/>
            <w:vAlign w:val="bottom"/>
            <w:gridSpan w:val="3"/>
          </w:tcPr>
          <w:p>
            <w:pPr>
              <w:jc w:val="center"/>
              <w:ind w:left="47"/>
              <w:spacing w:after="0"/>
              <w:rPr>
                <w:sz w:val="20"/>
                <w:szCs w:val="20"/>
                <w:color w:val="auto"/>
              </w:rPr>
            </w:pPr>
            <w:r>
              <w:rPr>
                <w:rFonts w:ascii="Times New Roman" w:cs="Times New Roman" w:eastAsia="Times New Roman" w:hAnsi="Times New Roman"/>
                <w:sz w:val="17"/>
                <w:szCs w:val="17"/>
                <w:color w:val="0000FF"/>
                <w:w w:val="99"/>
              </w:rPr>
              <w:t>1,775</w:t>
            </w:r>
          </w:p>
        </w:tc>
        <w:tc>
          <w:tcPr>
            <w:tcW w:w="9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Trust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80" w:type="dxa"/>
            <w:vAlign w:val="bottom"/>
            <w:gridSpan w:val="3"/>
          </w:tcPr>
          <w:p>
            <w:pPr>
              <w:jc w:val="center"/>
              <w:ind w:left="47"/>
              <w:spacing w:after="0"/>
              <w:rPr>
                <w:sz w:val="20"/>
                <w:szCs w:val="20"/>
                <w:color w:val="auto"/>
              </w:rPr>
            </w:pPr>
            <w:r>
              <w:rPr>
                <w:rFonts w:ascii="Times New Roman" w:cs="Times New Roman" w:eastAsia="Times New Roman" w:hAnsi="Times New Roman"/>
                <w:sz w:val="17"/>
                <w:szCs w:val="17"/>
                <w:color w:val="0000FF"/>
                <w:w w:val="99"/>
              </w:rPr>
              <w:t>1,775</w:t>
            </w:r>
          </w:p>
        </w:tc>
        <w:tc>
          <w:tcPr>
            <w:tcW w:w="9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Trust</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9"/>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6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3"/>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00" w:firstLine="7"/>
        <w:spacing w:after="0" w:line="249"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October 15, 2024, the Reporting Person acquired 19 Common Stock Equivalents (CSEs) in accordance with the provisions of the Non-Employee Directors' Deferral Plan (Plan). Under the Plan, as dividends are declared and paid on Safehold Inc. common stock, the Reporting Person's holdings of outstanding CSEs are credited with additional CSEs based on the amount of the dividend and the value of a share of Safehold Inc. Common Stock on the dividend date. Each CSE is convertible on a one-for-one basis into shares of Safehold Inc. common stock.</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Austin Lee, as Attorney-in- </w:t>
      </w:r>
      <w:r>
        <w:rPr>
          <w:rFonts w:ascii="Times New Roman" w:cs="Times New Roman" w:eastAsia="Times New Roman" w:hAnsi="Times New Roman"/>
          <w:sz w:val="33"/>
          <w:szCs w:val="33"/>
          <w:color w:val="0000FF"/>
          <w:vertAlign w:val="subscript"/>
        </w:rPr>
        <w:t>10/17/2024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411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4112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 for Barry Ridings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9925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99250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044258" TargetMode="External"/><Relationship Id="rId14" Type="http://schemas.openxmlformats.org/officeDocument/2006/relationships/hyperlink" Target="http://www.sec.gov/cgi-bin/browse-edgar?action=getcompany&amp;CIK=000109565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2024-10-17T05:10:27Z</dcterms:created>
  <dcterms:modified xsi:type="dcterms:W3CDTF">2024-10-17T05:10:27Z</dcterms:modified>
</cp:coreProperties>
</file>