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12026_050902.xml.htm"/>
      <w:bookmarkStart w:id="1" w:name="ksform409112026_0509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JOSEPHS ROBIN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PENN PLAZA, 51ST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Safehold Inc.</w:t>
              </w:r>
            </w:hyperlink>
            <w:r>
              <w:rPr/>
              <w:t xml:space="preserve"> [ </w:t>
            </w:r>
            <w:r>
              <w:rPr>
                <w:rFonts w:ascii="Times;serif" w:hAnsi="Times;serif"/>
                <w:color w:val="0000FF"/>
                <w:sz w:val="24"/>
                <w:shd w:fill="FFFFFF" w:val="clear"/>
              </w:rPr>
              <w:t>SAFE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35"/>
        <w:gridCol w:w="489"/>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9,500</w:t>
            </w:r>
          </w:p>
        </w:tc>
        <w:tc>
          <w:tcPr>
            <w:tcW w:w="4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14.5629</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64,696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$14.54 to $14.595,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Austin Lee, as Attorney-in-Fact for Robin Josephs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2801" TargetMode="External"/><Relationship Id="rId5" Type="http://schemas.openxmlformats.org/officeDocument/2006/relationships/hyperlink" Target="http://www.sec.gov/cgi-bin/browse-edgar?action=getcompany&amp;CIK=00010956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3491</Characters>
  <CharactersWithSpaces>4067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