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Times;Serif" w:hAnsi="Times New Roman;Times;Serif"/>
          <w:b/>
          <w:i w:val="false"/>
          <w:caps w:val="false"/>
          <w:smallCaps w:val="false"/>
          <w:sz w:val="20"/>
        </w:rPr>
      </w:pPr>
      <w:bookmarkStart w:id="0" w:name="tm2310978d1_posasr.htm"/>
      <w:bookmarkStart w:id="1" w:name="kstm2310978d1_posasr"/>
      <w:bookmarkEnd w:id="0"/>
      <w:bookmarkEnd w:id="1"/>
      <w:r>
        <w:rPr>
          <w:rFonts w:ascii="Times New Roman;Times;Serif" w:hAnsi="Times New Roman;Times;Serif"/>
          <w:b/>
          <w:i w:val="false"/>
          <w:caps w:val="false"/>
          <w:smallCaps w:val="false"/>
          <w:sz w:val="20"/>
        </w:rPr>
        <w:t>As filed with the Securities and Exchange Commission on March 31,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333-253262</w:t>
      </w:r>
    </w:p>
    <w:p>
      <w:pPr>
        <w:pStyle w:val="TextBody"/>
        <w:ind w:left="0" w:right="0" w:hanging="0"/>
        <w:rPr>
          <w:bdr w:val="single" w:sz="16" w:space="1" w:color="000000"/>
        </w:rPr>
      </w:pPr>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pBdr>
          <w:top w:val="single" w:sz="8" w:space="1" w:color="000000"/>
        </w:pBdr>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POST-EFFECTIVE AMENDMENT NO. 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br/>
        <w:t>UNDER</w:t>
        <w:br/>
        <w:t>THE SECURITIES ACT OF 1933</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333-253262</w:t>
      </w:r>
    </w:p>
    <w:p>
      <w:pPr>
        <w:pStyle w:val="TextBody"/>
        <w:spacing w:before="0" w:after="0"/>
        <w:ind w:left="0" w:right="0" w:hanging="0"/>
        <w:rPr>
          <w:caps w:val="false"/>
          <w:smallCaps w:val="false"/>
        </w:rPr>
      </w:pPr>
      <w:r>
        <w:rPr>
          <w:caps w:val="false"/>
          <w:smallCaps w:val="false"/>
        </w:rPr>
        <w:t> </w:t>
      </w:r>
    </w:p>
    <w:p>
      <w:pPr>
        <w:pStyle w:val="TextBody"/>
        <w:pBdr>
          <w:top w:val="single" w:sz="8" w:space="1" w:color="000000"/>
        </w:pBdr>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SAFEHOLD INC.</w:t>
      </w:r>
    </w:p>
    <w:p>
      <w:pPr>
        <w:pStyle w:val="TextBody"/>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SAFEHOLD GL HOLDINGS LLC (F/K/A SAFEHOLD OPERATING PARTNERSHIP LP)</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tbl>
      <w:tblPr>
        <w:tblW w:w="6865" w:type="dxa"/>
        <w:jc w:val="left"/>
        <w:tblInd w:w="0" w:type="dxa"/>
        <w:tblCellMar>
          <w:top w:w="0" w:type="dxa"/>
          <w:left w:w="0" w:type="dxa"/>
          <w:bottom w:w="0" w:type="dxa"/>
          <w:right w:w="0" w:type="dxa"/>
        </w:tblCellMar>
      </w:tblPr>
      <w:tblGrid>
        <w:gridCol w:w="3335"/>
        <w:gridCol w:w="3530"/>
      </w:tblGrid>
      <w:tr>
        <w:trPr/>
        <w:tc>
          <w:tcPr>
            <w:tcW w:w="333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Maryland (Safehold Inc.)</w:t>
            </w:r>
          </w:p>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(Safehold GL Holdings LLC)</w:t>
            </w:r>
          </w:p>
        </w:tc>
        <w:tc>
          <w:tcPr>
            <w:tcW w:w="3530"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03-0971238 (Safehold Inc.)</w:t>
            </w:r>
          </w:p>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37-1840624 (Safehold GL Holdings LLC)</w:t>
            </w:r>
          </w:p>
        </w:tc>
      </w:tr>
      <w:tr>
        <w:trPr/>
        <w:tc>
          <w:tcPr>
            <w:tcW w:w="3335" w:type="dxa"/>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3530" w:type="dxa"/>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pacing w:before="0" w:after="0"/>
        <w:ind w:left="0" w:right="0" w:hanging="0"/>
        <w:rPr>
          <w:caps w:val="false"/>
          <w:smallCaps w:val="false"/>
        </w:rPr>
      </w:pPr>
      <w:r>
        <w:rPr>
          <w:caps w:val="false"/>
          <w:smallCaps w:val="false"/>
        </w:rPr>
        <w:t> </w:t>
      </w:r>
    </w:p>
    <w:tbl>
      <w:tblPr>
        <w:tblW w:w="9440" w:type="dxa"/>
        <w:jc w:val="left"/>
        <w:tblInd w:w="0" w:type="dxa"/>
        <w:tblCellMar>
          <w:top w:w="0" w:type="dxa"/>
          <w:left w:w="0" w:type="dxa"/>
          <w:bottom w:w="0" w:type="dxa"/>
          <w:right w:w="0" w:type="dxa"/>
        </w:tblCellMar>
      </w:tblPr>
      <w:tblGrid>
        <w:gridCol w:w="9440"/>
      </w:tblGrid>
      <w:tr>
        <w:trPr/>
        <w:tc>
          <w:tcPr>
            <w:tcW w:w="9440"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1114 Avenue of the Americas, 39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10036</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930-9400</w:t>
            </w:r>
          </w:p>
        </w:tc>
      </w:tr>
      <w:tr>
        <w:trPr/>
        <w:tc>
          <w:tcPr>
            <w:tcW w:w="944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(Address, including zip code, and telephone number, including area code, of registrant’s principal executive offices)</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Jay Sugarman</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Safehold Inc.</w:t>
        <w:br/>
        <w:t>1114 Avenue of the Americas, 39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10036</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(212) 930-9400</w:t>
      </w:r>
      <w:r>
        <w:rPr>
          <w:rFonts w:ascii="Times New Roman;Times;Serif" w:hAnsi="Times New Roman;Times;Serif"/>
          <w:b w:val="false"/>
          <w:i w:val="false"/>
          <w:caps w:val="false"/>
          <w:smallCaps w:val="false"/>
          <w:sz w:val="20"/>
        </w:rPr>
        <w:br/>
        <w:t>(Name, address, including zip code, and telephone number, including area code, of agent for service)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Copy 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Julian T.H. Kleindorfer, Esq.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 xml:space="preserve">Lewis W. Kneib, Esq.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 xml:space="preserve">Alexa M. Berlin, Esq.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 xml:space="preserve">Latham &amp; Watkins LLP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 xml:space="preserve">355 South Grand Avenue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 xml:space="preserve">Los Angeles, CA 90071 </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(213) 485-1234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Approximate date of commencement of proposed sale to the public: </w:t>
      </w:r>
      <w:r>
        <w:rPr>
          <w:rFonts w:ascii="Times New Roman;Times;Serif" w:hAnsi="Times New Roman;Times;Serif"/>
          <w:b/>
          <w:i w:val="false"/>
          <w:caps w:val="false"/>
          <w:smallCaps w:val="false"/>
          <w:sz w:val="20"/>
        </w:rPr>
        <w:t>Not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caps w:val="false"/>
          <w:smallCaps w:val="false"/>
        </w:rPr>
      </w:pPr>
      <w:r>
        <w:rPr>
          <w:caps w:val="false"/>
          <w:smallCaps w:val="false"/>
        </w:rPr>
        <w:t> </w:t>
      </w:r>
    </w:p>
    <w:tbl>
      <w:tblPr>
        <w:tblW w:w="5065" w:type="dxa"/>
        <w:jc w:val="left"/>
        <w:tblInd w:w="0" w:type="dxa"/>
        <w:tblCellMar>
          <w:top w:w="0" w:type="dxa"/>
          <w:left w:w="0" w:type="dxa"/>
          <w:bottom w:w="0" w:type="dxa"/>
          <w:right w:w="0" w:type="dxa"/>
        </w:tblCellMar>
      </w:tblPr>
      <w:tblGrid>
        <w:gridCol w:w="2405"/>
        <w:gridCol w:w="60"/>
        <w:gridCol w:w="60"/>
        <w:gridCol w:w="2540"/>
      </w:tblGrid>
      <w:tr>
        <w:trPr/>
        <w:tc>
          <w:tcPr>
            <w:tcW w:w="2405" w:type="dxa"/>
            <w:tcBorders/>
            <w:shd w:fill="auto" w:val="clear"/>
            <w:vAlign w:val="center"/>
          </w:tcPr>
          <w:p>
            <w:pPr>
              <w:pStyle w:val="TableContents"/>
              <w:spacing w:before="0" w:after="283"/>
              <w:rPr>
                <w:b/>
                <w:sz w:val="20"/>
              </w:rPr>
            </w:pPr>
            <w:r>
              <w:rPr>
                <w:b/>
                <w:sz w:val="20"/>
              </w:rPr>
              <w:t xml:space="preserve">Safehold Inc.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2540" w:type="dxa"/>
            <w:tcBorders/>
            <w:shd w:fill="auto" w:val="clear"/>
            <w:vAlign w:val="center"/>
          </w:tcPr>
          <w:p>
            <w:pPr>
              <w:pStyle w:val="TableContents"/>
              <w:spacing w:before="0" w:after="283"/>
              <w:rPr/>
            </w:pPr>
            <w:r>
              <w:rPr/>
              <w:t> </w:t>
            </w:r>
          </w:p>
        </w:tc>
      </w:tr>
      <w:tr>
        <w:trPr/>
        <w:tc>
          <w:tcPr>
            <w:tcW w:w="240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254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r>
        <w:trPr/>
        <w:tc>
          <w:tcPr>
            <w:tcW w:w="24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2540" w:type="dxa"/>
            <w:tcBorders/>
            <w:shd w:fill="auto" w:val="clear"/>
            <w:vAlign w:val="center"/>
          </w:tcPr>
          <w:p>
            <w:pPr>
              <w:pStyle w:val="TableContents"/>
              <w:spacing w:before="0" w:after="283"/>
              <w:rPr/>
            </w:pPr>
            <w:r>
              <w:rPr/>
              <w:t> </w:t>
            </w:r>
          </w:p>
        </w:tc>
      </w:tr>
      <w:tr>
        <w:trPr/>
        <w:tc>
          <w:tcPr>
            <w:tcW w:w="2405" w:type="dxa"/>
            <w:tcBorders/>
            <w:shd w:fill="auto" w:val="clear"/>
            <w:vAlign w:val="center"/>
          </w:tcPr>
          <w:p>
            <w:pPr>
              <w:pStyle w:val="TableContents"/>
              <w:spacing w:before="0" w:after="283"/>
              <w:rPr>
                <w:b/>
                <w:sz w:val="20"/>
              </w:rPr>
            </w:pPr>
            <w:r>
              <w:rPr>
                <w:b/>
                <w:sz w:val="20"/>
              </w:rPr>
              <w:t xml:space="preserve">Safehold GL Holdings LLC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2540" w:type="dxa"/>
            <w:tcBorders/>
            <w:shd w:fill="auto" w:val="clear"/>
            <w:vAlign w:val="center"/>
          </w:tcPr>
          <w:p>
            <w:pPr>
              <w:pStyle w:val="TableContents"/>
              <w:spacing w:before="0" w:after="283"/>
              <w:rPr/>
            </w:pPr>
            <w:r>
              <w:rPr/>
              <w:t> </w:t>
            </w:r>
          </w:p>
        </w:tc>
      </w:tr>
      <w:tr>
        <w:trPr/>
        <w:tc>
          <w:tcPr>
            <w:tcW w:w="240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254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 — DEREGISTRATION OF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Post-Effective Amendment No. 1 (the “Post-Effective Amendment”) relates to the Registration Statement on Form S-3 of Safehold Inc., a Maryland corporation (the “Registrant”) (File No. 333-253262) (the “Registration Statement”) filed with the U.S. Securities and Exchange Commission on February 18, 2021, registering (1) an indeterminate amount of shares of common stock, par value $0.01 per share, shares of preferred stock, par value $0.01 per share, debt securities, depositary shares, warrants, rights, units and guarantees of debt securities, in each case, of the Company and (2) debt securities of Safehold GL Holdings LLC, formerly known as Safehold Operating Partnership LP (“Portfolio Holdings”).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pursuant to the terms of the Agreement and Plan of Merger, dated as of August 10, 2022, by and among the Registrant and Safehold Inc. (then known as iStar Inc.), a Maryland corporation (“New SAFE”), the Registrant merged with and into New SAFE, at which time the Registrant ceased to exist, New SAFE continued as the surviving corporation, and New SAFE changed its name to “Safehold Inc.” (the “Merger”). Additionally, in connection with the Merger, Safehold Operating Partnership LP converted from a Delaware limited partnership into a Delaware limited liability company and changed its name to “Safehold GL Holdings LLC” (“Portfolio Holdings”), with the Registrant as its managing member.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the Registrant has terminated all offerings pursuant to the above referenced Registration Statement. In accordance with an undertaking made by the Registrant in the Registration Statement to remove from registration, by means of a post-effective amendment, any of the securities registered under the Registration Statement that remain unissued at the termination of the offering, the Registrant hereby removes and withdraws from registration any and all securities registered under such Registration Statement that remain unsold as of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the Post-Effective Amendment to the Registration Statement on Form S-3 and has duly caused the Post-Effective Amendment to be signed on its behalf by the undersigned, thereunto duly authorized, in the City of New York, State of New York, on March 31, 2023.</w:t>
      </w:r>
    </w:p>
    <w:p>
      <w:pPr>
        <w:pStyle w:val="TextBody"/>
        <w:spacing w:before="0" w:after="0"/>
        <w:ind w:left="0" w:right="0" w:hanging="0"/>
        <w:rPr>
          <w:caps w:val="false"/>
          <w:smallCaps w:val="false"/>
        </w:rPr>
      </w:pPr>
      <w:r>
        <w:rPr>
          <w:caps w:val="false"/>
          <w:smallCaps w:val="false"/>
        </w:rPr>
        <w:t> </w:t>
      </w:r>
    </w:p>
    <w:tbl>
      <w:tblPr>
        <w:tblW w:w="3664" w:type="dxa"/>
        <w:jc w:val="left"/>
        <w:tblInd w:w="0" w:type="dxa"/>
        <w:tblCellMar>
          <w:top w:w="0" w:type="dxa"/>
          <w:left w:w="0" w:type="dxa"/>
          <w:bottom w:w="0" w:type="dxa"/>
          <w:right w:w="0" w:type="dxa"/>
        </w:tblCellMar>
      </w:tblPr>
      <w:tblGrid>
        <w:gridCol w:w="75"/>
        <w:gridCol w:w="353"/>
        <w:gridCol w:w="3236"/>
      </w:tblGrid>
      <w:tr>
        <w:trPr/>
        <w:tc>
          <w:tcPr>
            <w:tcW w:w="75" w:type="dxa"/>
            <w:tcBorders/>
            <w:shd w:fill="auto" w:val="clear"/>
            <w:vAlign w:val="center"/>
          </w:tcPr>
          <w:p>
            <w:pPr>
              <w:pStyle w:val="TableContents"/>
              <w:spacing w:before="0" w:after="283"/>
              <w:rPr>
                <w:sz w:val="4"/>
                <w:szCs w:val="4"/>
              </w:rPr>
            </w:pPr>
            <w:r>
              <w:rPr>
                <w:sz w:val="4"/>
                <w:szCs w:val="4"/>
              </w:rPr>
            </w:r>
          </w:p>
        </w:tc>
        <w:tc>
          <w:tcPr>
            <w:tcW w:w="3589" w:type="dxa"/>
            <w:gridSpan w:val="2"/>
            <w:tcBorders/>
            <w:shd w:fill="auto" w:val="clear"/>
            <w:vAlign w:val="center"/>
          </w:tcPr>
          <w:p>
            <w:pPr>
              <w:pStyle w:val="TableContents"/>
              <w:spacing w:before="0" w:after="283"/>
              <w:jc w:val="both"/>
              <w:rPr>
                <w:b/>
                <w:sz w:val="20"/>
              </w:rPr>
            </w:pPr>
            <w:r>
              <w:rPr>
                <w:b/>
                <w:sz w:val="20"/>
              </w:rPr>
              <w:t>SAFEHOLD INC.</w:t>
            </w:r>
          </w:p>
        </w:tc>
      </w:tr>
      <w:tr>
        <w:trPr/>
        <w:tc>
          <w:tcPr>
            <w:tcW w:w="75" w:type="dxa"/>
            <w:tcBorders/>
            <w:shd w:fill="auto" w:val="clear"/>
            <w:vAlign w:val="center"/>
          </w:tcPr>
          <w:p>
            <w:pPr>
              <w:pStyle w:val="TableContents"/>
              <w:spacing w:before="0" w:after="283"/>
              <w:rPr/>
            </w:pPr>
            <w:r>
              <w:rPr/>
              <w:t> </w:t>
            </w:r>
          </w:p>
        </w:tc>
        <w:tc>
          <w:tcPr>
            <w:tcW w:w="3589"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jc w:val="both"/>
              <w:rPr>
                <w:sz w:val="20"/>
              </w:rPr>
            </w:pPr>
            <w:r>
              <w:rPr>
                <w:sz w:val="20"/>
              </w:rPr>
              <w:t>By:</w:t>
            </w:r>
          </w:p>
        </w:tc>
        <w:tc>
          <w:tcPr>
            <w:tcW w:w="3236" w:type="dxa"/>
            <w:tcBorders>
              <w:bottom w:val="single" w:sz="8" w:space="0" w:color="000000"/>
            </w:tcBorders>
            <w:shd w:fill="auto" w:val="clear"/>
            <w:tcMar>
              <w:bottom w:w="28" w:type="dxa"/>
            </w:tcMar>
            <w:vAlign w:val="center"/>
          </w:tcPr>
          <w:p>
            <w:pPr>
              <w:pStyle w:val="TableContents"/>
              <w:spacing w:before="0" w:after="283"/>
              <w:jc w:val="both"/>
              <w:rPr>
                <w:sz w:val="20"/>
              </w:rPr>
            </w:pPr>
            <w:r>
              <w:rPr>
                <w:sz w:val="20"/>
              </w:rPr>
              <w:t>/s/ Brett Asnas</w:t>
            </w:r>
          </w:p>
        </w:tc>
      </w:tr>
      <w:tr>
        <w:trPr/>
        <w:tc>
          <w:tcPr>
            <w:tcW w:w="75"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jc w:val="both"/>
              <w:rPr/>
            </w:pPr>
            <w:r>
              <w:rPr/>
              <w:t> </w:t>
            </w:r>
          </w:p>
        </w:tc>
        <w:tc>
          <w:tcPr>
            <w:tcW w:w="3236" w:type="dxa"/>
            <w:tcBorders/>
            <w:shd w:fill="auto" w:val="clear"/>
            <w:vAlign w:val="center"/>
          </w:tcPr>
          <w:p>
            <w:pPr>
              <w:pStyle w:val="TableContents"/>
              <w:spacing w:before="0" w:after="283"/>
              <w:jc w:val="both"/>
              <w:rPr>
                <w:sz w:val="20"/>
              </w:rPr>
            </w:pPr>
            <w:r>
              <w:rPr>
                <w:sz w:val="20"/>
              </w:rPr>
              <w:t>Name: Brett Asnas</w:t>
            </w:r>
          </w:p>
        </w:tc>
      </w:tr>
      <w:tr>
        <w:trPr/>
        <w:tc>
          <w:tcPr>
            <w:tcW w:w="75"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jc w:val="both"/>
              <w:rPr/>
            </w:pPr>
            <w:r>
              <w:rPr/>
              <w:t> </w:t>
            </w:r>
          </w:p>
        </w:tc>
        <w:tc>
          <w:tcPr>
            <w:tcW w:w="3236" w:type="dxa"/>
            <w:tcBorders/>
            <w:shd w:fill="auto" w:val="clear"/>
            <w:vAlign w:val="center"/>
          </w:tcPr>
          <w:p>
            <w:pPr>
              <w:pStyle w:val="TableContents"/>
              <w:spacing w:before="0" w:after="283"/>
              <w:jc w:val="both"/>
              <w:rPr>
                <w:sz w:val="20"/>
              </w:rPr>
            </w:pPr>
            <w:r>
              <w:rPr>
                <w:sz w:val="20"/>
              </w:rPr>
              <w:t>Title: Chief Financial Officer</w:t>
            </w:r>
          </w:p>
        </w:tc>
      </w:tr>
      <w:tr>
        <w:trPr/>
        <w:tc>
          <w:tcPr>
            <w:tcW w:w="75" w:type="dxa"/>
            <w:tcBorders/>
            <w:shd w:fill="auto" w:val="clear"/>
            <w:vAlign w:val="center"/>
          </w:tcPr>
          <w:p>
            <w:pPr>
              <w:pStyle w:val="TableContents"/>
              <w:spacing w:before="0" w:after="283"/>
              <w:rPr/>
            </w:pPr>
            <w:r>
              <w:rPr/>
              <w:t> </w:t>
            </w:r>
          </w:p>
        </w:tc>
        <w:tc>
          <w:tcPr>
            <w:tcW w:w="3589"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3589" w:type="dxa"/>
            <w:gridSpan w:val="2"/>
            <w:tcBorders/>
            <w:shd w:fill="auto" w:val="clear"/>
            <w:vAlign w:val="center"/>
          </w:tcPr>
          <w:p>
            <w:pPr>
              <w:pStyle w:val="TableContents"/>
              <w:spacing w:before="0" w:after="283"/>
              <w:jc w:val="both"/>
              <w:rPr>
                <w:b/>
                <w:sz w:val="20"/>
              </w:rPr>
            </w:pPr>
            <w:r>
              <w:rPr>
                <w:b/>
                <w:sz w:val="20"/>
              </w:rPr>
              <w:t>SAFEHOLD GL HOLDINGS LLC</w:t>
            </w:r>
          </w:p>
        </w:tc>
      </w:tr>
      <w:tr>
        <w:trPr/>
        <w:tc>
          <w:tcPr>
            <w:tcW w:w="75" w:type="dxa"/>
            <w:tcBorders/>
            <w:shd w:fill="auto" w:val="clear"/>
            <w:vAlign w:val="center"/>
          </w:tcPr>
          <w:p>
            <w:pPr>
              <w:pStyle w:val="TableContents"/>
              <w:spacing w:before="0" w:after="283"/>
              <w:rPr/>
            </w:pPr>
            <w:r>
              <w:rPr/>
              <w:t> </w:t>
            </w:r>
          </w:p>
        </w:tc>
        <w:tc>
          <w:tcPr>
            <w:tcW w:w="3589" w:type="dxa"/>
            <w:gridSpan w:val="2"/>
            <w:tcBorders/>
            <w:shd w:fill="auto" w:val="clear"/>
            <w:vAlign w:val="center"/>
          </w:tcPr>
          <w:p>
            <w:pPr>
              <w:pStyle w:val="TableContents"/>
              <w:spacing w:before="0" w:after="283"/>
              <w:jc w:val="both"/>
              <w:rPr>
                <w:b/>
                <w:sz w:val="20"/>
              </w:rPr>
            </w:pPr>
            <w:r>
              <w:rPr>
                <w:b/>
                <w:sz w:val="20"/>
              </w:rPr>
              <w:t>(f/k/a Safehold Operating Partnership LP)</w:t>
            </w:r>
          </w:p>
        </w:tc>
      </w:tr>
      <w:tr>
        <w:trPr/>
        <w:tc>
          <w:tcPr>
            <w:tcW w:w="75" w:type="dxa"/>
            <w:tcBorders/>
            <w:shd w:fill="auto" w:val="clear"/>
            <w:vAlign w:val="center"/>
          </w:tcPr>
          <w:p>
            <w:pPr>
              <w:pStyle w:val="TableContents"/>
              <w:spacing w:before="0" w:after="283"/>
              <w:rPr/>
            </w:pPr>
            <w:r>
              <w:rPr/>
              <w:t> </w:t>
            </w:r>
          </w:p>
        </w:tc>
        <w:tc>
          <w:tcPr>
            <w:tcW w:w="3589"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jc w:val="both"/>
              <w:rPr>
                <w:sz w:val="20"/>
              </w:rPr>
            </w:pPr>
            <w:r>
              <w:rPr>
                <w:sz w:val="20"/>
              </w:rPr>
              <w:t>By:</w:t>
            </w:r>
          </w:p>
        </w:tc>
        <w:tc>
          <w:tcPr>
            <w:tcW w:w="3236" w:type="dxa"/>
            <w:tcBorders/>
            <w:shd w:fill="auto" w:val="clear"/>
            <w:vAlign w:val="center"/>
          </w:tcPr>
          <w:p>
            <w:pPr>
              <w:pStyle w:val="TableContents"/>
              <w:spacing w:before="0" w:after="283"/>
              <w:jc w:val="both"/>
              <w:rPr>
                <w:sz w:val="20"/>
              </w:rPr>
            </w:pPr>
            <w:r>
              <w:rPr>
                <w:sz w:val="20"/>
              </w:rPr>
              <w:t>Safehold Inc., its managing member</w:t>
            </w:r>
          </w:p>
        </w:tc>
      </w:tr>
      <w:tr>
        <w:trPr/>
        <w:tc>
          <w:tcPr>
            <w:tcW w:w="75" w:type="dxa"/>
            <w:tcBorders/>
            <w:shd w:fill="auto" w:val="clear"/>
            <w:vAlign w:val="center"/>
          </w:tcPr>
          <w:p>
            <w:pPr>
              <w:pStyle w:val="TableContents"/>
              <w:spacing w:before="0" w:after="283"/>
              <w:rPr/>
            </w:pPr>
            <w:r>
              <w:rPr/>
              <w:t> </w:t>
            </w:r>
          </w:p>
        </w:tc>
        <w:tc>
          <w:tcPr>
            <w:tcW w:w="3589"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jc w:val="both"/>
              <w:rPr>
                <w:sz w:val="20"/>
              </w:rPr>
            </w:pPr>
            <w:r>
              <w:rPr>
                <w:sz w:val="20"/>
              </w:rPr>
              <w:t>By:</w:t>
            </w:r>
          </w:p>
        </w:tc>
        <w:tc>
          <w:tcPr>
            <w:tcW w:w="3236" w:type="dxa"/>
            <w:tcBorders>
              <w:bottom w:val="single" w:sz="8" w:space="0" w:color="000000"/>
            </w:tcBorders>
            <w:shd w:fill="auto" w:val="clear"/>
            <w:tcMar>
              <w:bottom w:w="28" w:type="dxa"/>
            </w:tcMar>
            <w:vAlign w:val="center"/>
          </w:tcPr>
          <w:p>
            <w:pPr>
              <w:pStyle w:val="TableContents"/>
              <w:spacing w:before="0" w:after="283"/>
              <w:jc w:val="both"/>
              <w:rPr>
                <w:sz w:val="20"/>
              </w:rPr>
            </w:pPr>
            <w:r>
              <w:rPr>
                <w:sz w:val="20"/>
              </w:rPr>
              <w:t>/s/ Brett Asnas</w:t>
            </w:r>
          </w:p>
        </w:tc>
      </w:tr>
      <w:tr>
        <w:trPr/>
        <w:tc>
          <w:tcPr>
            <w:tcW w:w="75"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jc w:val="both"/>
              <w:rPr/>
            </w:pPr>
            <w:r>
              <w:rPr/>
              <w:t> </w:t>
            </w:r>
          </w:p>
        </w:tc>
        <w:tc>
          <w:tcPr>
            <w:tcW w:w="3236" w:type="dxa"/>
            <w:tcBorders/>
            <w:shd w:fill="auto" w:val="clear"/>
            <w:vAlign w:val="center"/>
          </w:tcPr>
          <w:p>
            <w:pPr>
              <w:pStyle w:val="TableContents"/>
              <w:spacing w:before="0" w:after="283"/>
              <w:jc w:val="both"/>
              <w:rPr>
                <w:sz w:val="20"/>
              </w:rPr>
            </w:pPr>
            <w:r>
              <w:rPr>
                <w:sz w:val="20"/>
              </w:rPr>
              <w:t>Name: Brett Asnas</w:t>
            </w:r>
          </w:p>
        </w:tc>
      </w:tr>
      <w:tr>
        <w:trPr/>
        <w:tc>
          <w:tcPr>
            <w:tcW w:w="75"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jc w:val="both"/>
              <w:rPr/>
            </w:pPr>
            <w:r>
              <w:rPr/>
              <w:t> </w:t>
            </w:r>
          </w:p>
        </w:tc>
        <w:tc>
          <w:tcPr>
            <w:tcW w:w="3236" w:type="dxa"/>
            <w:tcBorders/>
            <w:shd w:fill="auto" w:val="clear"/>
            <w:vAlign w:val="center"/>
          </w:tcPr>
          <w:p>
            <w:pPr>
              <w:pStyle w:val="TableContents"/>
              <w:spacing w:before="0" w:after="283"/>
              <w:jc w:val="both"/>
              <w:rPr>
                <w:sz w:val="20"/>
              </w:rPr>
            </w:pPr>
            <w:r>
              <w:rPr>
                <w:sz w:val="20"/>
              </w:rPr>
              <w:t>Title: Chief Financial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478 of the Securities Act of 1933, as amended, no other person is required to sign this Post-Effective Amendment to the Registration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1007</Words>
  <CharactersWithSpaces>6665</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