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safe-20260630x10q.htm"/>
        <w:bookmarkStart w:id="1" w:name="kssafe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240"/>
        <w:ind w:left="0" w:right="0" w:hanging="0"/>
        <w:jc w:val="center"/>
        <w:rPr/>
      </w:pPr>
      <w:r>
        <w:rPr/>
        <w:t>​</w:t>
      </w:r>
    </w:p>
    <w:p>
      <w:pPr>
        <w:pStyle w:val="TextBody"/>
        <w:pBdr>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0021df9a_dbb4_4408_9dbe_3d0ae58b9b32"/>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120"/>
        <w:ind w:left="60" w:right="0" w:hanging="0"/>
        <w:jc w:val="center"/>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120"/>
        <w:ind w:left="60"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quarterly period ended</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June 30, 2026</w:t>
      </w:r>
    </w:p>
    <w:p>
      <w:pPr>
        <w:pStyle w:val="TextBody"/>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120"/>
        <w:ind w:left="60"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Commission File No. 001-15371</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Safehold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o_3dh3vYzkSNKz76wy-oGQ_6_3"/>
      <w:bookmarkStart w:id="4" w:name="Tc_HPFOBkX79kWmpCiz9Il0HQ_6_0"/>
      <w:bookmarkStart w:id="5" w:name="Tc_L2e53RFclUCpeGsOcDTqBg_5_1"/>
      <w:bookmarkStart w:id="6" w:name="Tc_E8_l2z7dxUyTeUHROUtmsA_2_3"/>
      <w:bookmarkStart w:id="7" w:name="Tc_DLfe6g-sdkWiL3pY6V2m0w_2_0"/>
      <w:bookmarkStart w:id="8" w:name="_7ab5ba50_7312_476f_94ed_44540d1f7f32"/>
      <w:bookmarkStart w:id="9" w:name="Tc_o_3dh3vYzkSNKz76wy-oGQ_6_3"/>
      <w:bookmarkStart w:id="10" w:name="Tc_HPFOBkX79kWmpCiz9Il0HQ_6_0"/>
      <w:bookmarkStart w:id="11" w:name="Tc_L2e53RFclUCpeGsOcDTqBg_5_1"/>
      <w:bookmarkStart w:id="12" w:name="Tc_E8_l2z7dxUyTeUHROUtmsA_2_3"/>
      <w:bookmarkStart w:id="13" w:name="Tc_DLfe6g-sdkWiL3pY6V2m0w_2_0"/>
      <w:bookmarkStart w:id="14" w:name="_7ab5ba50_7312_476f_94ed_44540d1f7f32"/>
      <w:bookmarkEnd w:id="9"/>
      <w:bookmarkEnd w:id="10"/>
      <w:bookmarkEnd w:id="11"/>
      <w:bookmarkEnd w:id="12"/>
      <w:bookmarkEnd w:id="13"/>
      <w:bookmarkEnd w:id="14"/>
    </w:p>
    <w:tbl>
      <w:tblPr>
        <w:tblW w:w="533" w:type="dxa"/>
        <w:jc w:val="left"/>
        <w:tblInd w:w="0" w:type="dxa"/>
        <w:tblLayout w:type="fixed"/>
        <w:tblCellMar>
          <w:top w:w="0" w:type="dxa"/>
          <w:left w:w="0" w:type="dxa"/>
          <w:bottom w:w="0" w:type="dxa"/>
          <w:right w:w="0" w:type="dxa"/>
        </w:tblCellMar>
      </w:tblPr>
      <w:tblGrid>
        <w:gridCol w:w="124"/>
        <w:gridCol w:w="109"/>
        <w:gridCol w:w="109"/>
        <w:gridCol w:w="191"/>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7170" cy="350520"/>
                      <wp:effectExtent l="0" t="0" r="0" b="0"/>
                      <wp:wrapNone/>
                      <wp:docPr id="1" name="Frame1"/>
                      <a:graphic xmlns:a="http://schemas.openxmlformats.org/drawingml/2006/main">
                        <a:graphicData uri="http://schemas.microsoft.com/office/word/2010/wordprocessingShape">
                          <wps:wsp>
                            <wps:cNvSpPr txBox="1"/>
                            <wps:spPr>
                              <a:xfrm>
                                <a:off x="0" y="0"/>
                                <a:ext cx="217170" cy="3505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Maryland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Maryland</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1285" cy="701040"/>
                      <wp:effectExtent l="0" t="0" r="0" b="0"/>
                      <wp:wrapNone/>
                      <wp:docPr id="2" name="Frame2"/>
                      <a:graphic xmlns:a="http://schemas.openxmlformats.org/drawingml/2006/main">
                        <a:graphicData uri="http://schemas.microsoft.com/office/word/2010/wordprocessingShape">
                          <wps:wsp>
                            <wps:cNvSpPr txBox="1"/>
                            <wps:spPr>
                              <a:xfrm>
                                <a:off x="0" y="0"/>
                                <a:ext cx="121285" cy="7010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95-6881527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95-6881527</w:t>
                            </w:r>
                          </w:p>
                        </w:txbxContent>
                      </v:textbox>
                      <w10:wrap type="none"/>
                    </v:rect>
                  </w:pict>
                </mc:Fallback>
              </mc:AlternateConten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7170" cy="1518920"/>
                      <wp:effectExtent l="0" t="0" r="0" b="0"/>
                      <wp:wrapNone/>
                      <wp:docPr id="3" name="Frame3"/>
                      <a:graphic xmlns:a="http://schemas.openxmlformats.org/drawingml/2006/main">
                        <a:graphicData uri="http://schemas.microsoft.com/office/word/2010/wordprocessingShape">
                          <wps:wsp>
                            <wps:cNvSpPr txBox="1"/>
                            <wps:spPr>
                              <a:xfrm>
                                <a:off x="0" y="0"/>
                                <a:ext cx="217170" cy="151892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1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1285" cy="2219960"/>
                      <wp:effectExtent l="0" t="0" r="0" b="0"/>
                      <wp:wrapNone/>
                      <wp:docPr id="4" name="Frame4"/>
                      <a:graphic xmlns:a="http://schemas.openxmlformats.org/drawingml/2006/main">
                        <a:graphicData uri="http://schemas.microsoft.com/office/word/2010/wordprocessingShape">
                          <wps:wsp>
                            <wps:cNvSpPr txBox="1"/>
                            <wps:spPr>
                              <a:xfrm>
                                <a:off x="0" y="0"/>
                                <a:ext cx="121285" cy="221996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7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Number)</w:t>
                            </w:r>
                          </w:p>
                        </w:txbxContent>
                      </v:textbox>
                      <w10:wrap type="none"/>
                    </v:rect>
                  </w:pict>
                </mc:Fallback>
              </mc:AlternateConten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7170" cy="817880"/>
                      <wp:effectExtent l="0" t="0" r="0" b="0"/>
                      <wp:wrapNone/>
                      <wp:docPr id="5" name="Frame5"/>
                      <a:graphic xmlns:a="http://schemas.openxmlformats.org/drawingml/2006/main">
                        <a:graphicData uri="http://schemas.microsoft.com/office/word/2010/wordprocessingShape">
                          <wps:wsp>
                            <wps:cNvSpPr txBox="1"/>
                            <wps:spPr>
                              <a:xfrm>
                                <a:off x="0" y="0"/>
                                <a:ext cx="217170" cy="81788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1114 Avenue of the Americas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64.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1114 Avenue of the Americas</w:t>
                            </w:r>
                          </w:p>
                        </w:txbxContent>
                      </v:textbox>
                      <w10:wrap type="none"/>
                    </v:rect>
                  </w:pict>
                </mc:Fallback>
              </mc:AlternateContent>
            </w:r>
          </w:p>
        </w:tc>
        <w:tc>
          <w:tcPr>
            <w:tcW w:w="191" w:type="dxa"/>
            <w:tcBorders/>
            <w:vAlign w:val="center"/>
          </w:tcPr>
          <w:p>
            <w:pPr>
              <w:pStyle w:val="TableContents"/>
              <w:bidi w:val="0"/>
              <w:spacing w:before="0" w:after="40"/>
              <w:ind w:left="0" w:right="0" w:hanging="0"/>
              <w:jc w:val="left"/>
              <w:rPr/>
            </w:pPr>
            <w:r>
              <w:rPr/>
              <w:t> </w: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7170" cy="380365"/>
                      <wp:effectExtent l="0" t="0" r="0" b="0"/>
                      <wp:wrapNone/>
                      <wp:docPr id="6" name="Frame6"/>
                      <a:graphic xmlns:a="http://schemas.openxmlformats.org/drawingml/2006/main">
                        <a:graphicData uri="http://schemas.microsoft.com/office/word/2010/wordprocessingShape">
                          <wps:wsp>
                            <wps:cNvSpPr txBox="1"/>
                            <wps:spPr>
                              <a:xfrm>
                                <a:off x="0" y="0"/>
                                <a:ext cx="217170" cy="380365"/>
                              </a:xfrm>
                              <a:prstGeom prst="rect"/>
                              <a:solidFill>
                                <a:srgbClr val="FFFFFF"/>
                              </a:solidFill>
                            </wps:spPr>
                            <wps:txbx>
                              <w:txbxContent>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b/>
                                      <w:sz w:val="16"/>
                                    </w:rPr>
                                    <w:t>39</w:t>
                                  </w:r>
                                  <w:r>
                                    <w:rPr>
                                      <w:rFonts w:ascii="Times New Roman;Times;serif" w:hAnsi="Times New Roman;Times;serif"/>
                                      <w:b/>
                                      <w:sz w:val="12"/>
                                    </w:rPr>
                                    <w:t>th</w:t>
                                  </w:r>
                                  <w:r>
                                    <w:rPr>
                                      <w:rFonts w:ascii="Times New Roman;Times;serif" w:hAnsi="Times New Roman;Times;serif"/>
                                      <w:sz w:val="20"/>
                                    </w:rPr>
                                    <w:t xml:space="preserve"> </w:t>
                                  </w:r>
                                  <w:r>
                                    <w:rPr>
                                      <w:rFonts w:ascii="Times New Roman;Times;serif" w:hAnsi="Times New Roman;Times;serif"/>
                                      <w:b/>
                                      <w:sz w:val="16"/>
                                    </w:rPr>
                                    <w:t>Floor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29.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40" w:before="0" w:after="40"/>
                              <w:ind w:left="0" w:right="0" w:hanging="0"/>
                              <w:jc w:val="center"/>
                              <w:rPr>
                                <w:rFonts w:ascii="Times New Roman;Times;serif" w:hAnsi="Times New Roman;Times;serif"/>
                                <w:sz w:val="20"/>
                              </w:rPr>
                            </w:pPr>
                            <w:r>
                              <w:rPr>
                                <w:rFonts w:ascii="Times New Roman;Times;serif" w:hAnsi="Times New Roman;Times;serif"/>
                                <w:b/>
                                <w:sz w:val="16"/>
                              </w:rPr>
                              <w:t>39</w:t>
                            </w:r>
                            <w:r>
                              <w:rPr>
                                <w:rFonts w:ascii="Times New Roman;Times;serif" w:hAnsi="Times New Roman;Times;serif"/>
                                <w:b/>
                                <w:sz w:val="12"/>
                              </w:rPr>
                              <w:t>th</w:t>
                            </w:r>
                            <w:r>
                              <w:rPr>
                                <w:rFonts w:ascii="Times New Roman;Times;serif" w:hAnsi="Times New Roman;Times;serif"/>
                                <w:sz w:val="20"/>
                              </w:rPr>
                              <w:t xml:space="preserve"> </w:t>
                            </w:r>
                            <w:r>
                              <w:rPr>
                                <w:rFonts w:ascii="Times New Roman;Times;serif" w:hAnsi="Times New Roman;Times;serif"/>
                                <w:b/>
                                <w:sz w:val="16"/>
                              </w:rPr>
                              <w:t>Floor</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1285" cy="175260"/>
                      <wp:effectExtent l="0" t="0" r="0" b="0"/>
                      <wp:wrapNone/>
                      <wp:docPr id="7" name="Frame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8740" cy="817880"/>
                      <wp:effectExtent l="0" t="0" r="0" b="0"/>
                      <wp:wrapNone/>
                      <wp:docPr id="8" name="Frame8"/>
                      <a:graphic xmlns:a="http://schemas.openxmlformats.org/drawingml/2006/main">
                        <a:graphicData uri="http://schemas.microsoft.com/office/word/2010/wordprocessingShape">
                          <wps:wsp>
                            <wps:cNvSpPr txBox="1"/>
                            <wps:spPr>
                              <a:xfrm>
                                <a:off x="0" y="0"/>
                                <a:ext cx="78740" cy="817880"/>
                              </a:xfrm>
                              <a:prstGeom prst="rect"/>
                              <a:solidFill>
                                <a:srgbClr val="FFFFFF"/>
                              </a:solidFill>
                            </wps:spPr>
                            <wps:txbx>
                              <w:txbxContent>
                                <w:p>
                                  <w:pPr>
                                    <w:pStyle w:val="TableContents"/>
                                    <w:bidi w:val="0"/>
                                    <w:spacing w:before="0" w:after="40"/>
                                    <w:ind w:left="0" w:right="0" w:hanging="0"/>
                                    <w:jc w:val="right"/>
                                    <w:rPr>
                                      <w:rFonts w:ascii="Times New Roman;Times;serif" w:hAnsi="Times New Roman;Times;serif"/>
                                      <w:b/>
                                      <w:sz w:val="16"/>
                                    </w:rPr>
                                  </w:pPr>
                                  <w:r>
                                    <w:rPr>
                                      <w:rFonts w:ascii="Times New Roman;Times;serif" w:hAnsi="Times New Roman;Times;serif"/>
                                      <w:b/>
                                      <w:sz w:val="16"/>
                                    </w:rPr>
                                    <w:t>New York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4.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right"/>
                              <w:rPr>
                                <w:rFonts w:ascii="Times New Roman;Times;serif" w:hAnsi="Times New Roman;Times;serif"/>
                                <w:b/>
                                <w:sz w:val="16"/>
                              </w:rPr>
                            </w:pPr>
                            <w:r>
                              <w:rPr>
                                <w:rFonts w:ascii="Times New Roman;Times;serif" w:hAnsi="Times New Roman;Times;serif"/>
                                <w:b/>
                                <w:sz w:val="16"/>
                              </w:rPr>
                              <w:t>New York</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16840"/>
                      <wp:effectExtent l="0" t="0" r="0" b="0"/>
                      <wp:wrapNone/>
                      <wp:docPr id="9" name="Frame9"/>
                      <a:graphic xmlns:a="http://schemas.openxmlformats.org/drawingml/2006/main">
                        <a:graphicData uri="http://schemas.microsoft.com/office/word/2010/wordprocessingShape">
                          <wps:wsp>
                            <wps:cNvSpPr txBox="1"/>
                            <wps:spPr>
                              <a:xfrm>
                                <a:off x="0" y="0"/>
                                <a:ext cx="69215" cy="116840"/>
                              </a:xfrm>
                              <a:prstGeom prst="rect"/>
                              <a:solidFill>
                                <a:srgbClr val="FFFFFF"/>
                              </a:solidFill>
                            </wps:spPr>
                            <wps:txb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233680"/>
                      <wp:effectExtent l="0" t="0" r="0" b="0"/>
                      <wp:wrapNone/>
                      <wp:docPr id="10" name="Frame10"/>
                      <a:graphic xmlns:a="http://schemas.openxmlformats.org/drawingml/2006/main">
                        <a:graphicData uri="http://schemas.microsoft.com/office/word/2010/wordprocessingShape">
                          <wps:wsp>
                            <wps:cNvSpPr txBox="1"/>
                            <wps:spPr>
                              <a:xfrm>
                                <a:off x="0" y="0"/>
                                <a:ext cx="69215" cy="233680"/>
                              </a:xfrm>
                              <a:prstGeom prst="rect"/>
                              <a:solidFill>
                                <a:srgbClr val="FFFFFF"/>
                              </a:solidFill>
                            </wps:spPr>
                            <wps:txb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NY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NY</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285" cy="350520"/>
                      <wp:effectExtent l="0" t="0" r="0" b="0"/>
                      <wp:wrapNone/>
                      <wp:docPr id="11" name="Frame11"/>
                      <a:graphic xmlns:a="http://schemas.openxmlformats.org/drawingml/2006/main">
                        <a:graphicData uri="http://schemas.microsoft.com/office/word/2010/wordprocessingShape">
                          <wps:wsp>
                            <wps:cNvSpPr txBox="1"/>
                            <wps:spPr>
                              <a:xfrm>
                                <a:off x="0" y="0"/>
                                <a:ext cx="121285" cy="3505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10036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10036</w:t>
                            </w:r>
                          </w:p>
                        </w:txbxContent>
                      </v:textbox>
                      <w10:wrap type="none"/>
                    </v:rect>
                  </w:pict>
                </mc:Fallback>
              </mc:AlternateContent>
            </w:r>
          </w:p>
        </w:tc>
      </w:tr>
      <w:tr>
        <w:trPr/>
        <w:tc>
          <w:tcPr>
            <w:tcW w:w="342"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7170" cy="1051560"/>
                      <wp:effectExtent l="0" t="0" r="0" b="0"/>
                      <wp:wrapNone/>
                      <wp:docPr id="12" name="Frame12"/>
                      <a:graphic xmlns:a="http://schemas.openxmlformats.org/drawingml/2006/main">
                        <a:graphicData uri="http://schemas.microsoft.com/office/word/2010/wordprocessingShape">
                          <wps:wsp>
                            <wps:cNvSpPr txBox="1"/>
                            <wps:spPr>
                              <a:xfrm>
                                <a:off x="0" y="0"/>
                                <a:ext cx="217170" cy="10515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82.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xbxContent>
                      </v:textbox>
                      <w10:wrap type="none"/>
                    </v:rect>
                  </w:pict>
                </mc:Fallback>
              </mc:AlternateContent>
            </w:r>
          </w:p>
        </w:tc>
        <w:tc>
          <w:tcPr>
            <w:tcW w:w="191"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1285" cy="584200"/>
                      <wp:effectExtent l="0" t="0" r="0" b="0"/>
                      <wp:wrapNone/>
                      <wp:docPr id="13" name="Frame13"/>
                      <a:graphic xmlns:a="http://schemas.openxmlformats.org/drawingml/2006/main">
                        <a:graphicData uri="http://schemas.microsoft.com/office/word/2010/wordprocessingShape">
                          <wps:wsp>
                            <wps:cNvSpPr txBox="1"/>
                            <wps:spPr>
                              <a:xfrm>
                                <a:off x="0" y="0"/>
                                <a:ext cx="121285" cy="5842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(Zip code)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4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(Zip code)</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sz w:val="16"/>
        </w:rPr>
        <w:t xml:space="preserve">Registrant’s telephone number, including area code: </w:t>
      </w:r>
      <w:r>
        <w:rPr>
          <w:rFonts w:ascii="Times New Roman;Times;serif" w:hAnsi="Times New Roman;Times;serif"/>
          <w:b/>
          <w:sz w:val="16"/>
        </w:rPr>
        <w:t>(212) 930-9400</w:t>
      </w:r>
    </w:p>
    <w:p>
      <w:pPr>
        <w:pStyle w:val="TextBody"/>
        <w:bidi w:val="0"/>
        <w:spacing w:before="0" w:after="0"/>
        <w:ind w:left="0" w:right="0" w:firstLine="450"/>
        <w:jc w:val="both"/>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5" w:name="Tc_mVpbRZgAWky7TzmSw-PAPA_1_4"/>
      <w:bookmarkStart w:id="16" w:name="Tc_y9nl9hWODkqPErMU1_W_uQ_1_2"/>
      <w:bookmarkStart w:id="17" w:name="Tc_7XCN1OwbB0OLxDRfetZlwA_1_0"/>
      <w:bookmarkStart w:id="18" w:name="_31b2f3f8_692f_4215_a6b5_799114ea70c9"/>
      <w:bookmarkStart w:id="19" w:name="Tc_mVpbRZgAWky7TzmSw-PAPA_1_4"/>
      <w:bookmarkStart w:id="20" w:name="Tc_y9nl9hWODkqPErMU1_W_uQ_1_2"/>
      <w:bookmarkStart w:id="21" w:name="Tc_7XCN1OwbB0OLxDRfetZlwA_1_0"/>
      <w:bookmarkStart w:id="22" w:name="_31b2f3f8_692f_4215_a6b5_799114ea70c9"/>
      <w:bookmarkEnd w:id="19"/>
      <w:bookmarkEnd w:id="20"/>
      <w:bookmarkEnd w:id="21"/>
      <w:bookmarkEnd w:id="22"/>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78740" cy="1518920"/>
                      <wp:effectExtent l="0" t="0" r="0" b="0"/>
                      <wp:wrapNone/>
                      <wp:docPr id="14" name="Frame14"/>
                      <a:graphic xmlns:a="http://schemas.openxmlformats.org/drawingml/2006/main">
                        <a:graphicData uri="http://schemas.microsoft.com/office/word/2010/wordprocessingShape">
                          <wps:wsp>
                            <wps:cNvSpPr txBox="1"/>
                            <wps:spPr>
                              <a:xfrm>
                                <a:off x="0" y="0"/>
                                <a:ext cx="78740" cy="15189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0"/>
                      <wp:effectExtent l="0" t="0" r="0" b="0"/>
                      <wp:wrapNone/>
                      <wp:docPr id="16" name="Frame16"/>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17"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center"/>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 </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7790" cy="2930525"/>
                      <wp:effectExtent l="0" t="0" r="0" b="0"/>
                      <wp:wrapNone/>
                      <wp:docPr id="18" name="Frame18"/>
                      <a:graphic xmlns:a="http://schemas.openxmlformats.org/drawingml/2006/main">
                        <a:graphicData uri="http://schemas.microsoft.com/office/word/2010/wordprocessingShape">
                          <wps:wsp>
                            <wps:cNvSpPr txBox="1"/>
                            <wps:spPr>
                              <a:xfrm>
                                <a:off x="0" y="0"/>
                                <a:ext cx="97790" cy="293052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0.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78740" cy="1285240"/>
                      <wp:effectExtent l="0" t="0" r="0" b="0"/>
                      <wp:wrapNone/>
                      <wp:docPr id="19" name="Frame19"/>
                      <a:graphic xmlns:a="http://schemas.openxmlformats.org/drawingml/2006/main">
                        <a:graphicData uri="http://schemas.microsoft.com/office/word/2010/wordprocessingShape">
                          <wps:wsp>
                            <wps:cNvSpPr txBox="1"/>
                            <wps:spPr>
                              <a:xfrm>
                                <a:off x="0" y="0"/>
                                <a:ext cx="78740" cy="12852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Common Stock</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01.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Common Stock</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 </w:t>
                            </w:r>
                          </w:p>
                        </w:txbxContent>
                      </v:textbox>
                      <w10:wrap type="none"/>
                    </v:rect>
                  </w:pict>
                </mc:Fallback>
              </mc:AlternateContent>
            </w:r>
          </w:p>
        </w:tc>
        <w:tc>
          <w:tcPr>
            <w:tcW w:w="109"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467360"/>
                      <wp:effectExtent l="0" t="0" r="0" b="0"/>
                      <wp:wrapNone/>
                      <wp:docPr id="21" name="Frame21"/>
                      <a:graphic xmlns:a="http://schemas.openxmlformats.org/drawingml/2006/main">
                        <a:graphicData uri="http://schemas.microsoft.com/office/word/2010/wordprocessingShape">
                          <wps:wsp>
                            <wps:cNvSpPr txBox="1"/>
                            <wps:spPr>
                              <a:xfrm>
                                <a:off x="0" y="0"/>
                                <a:ext cx="69215" cy="4673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SAFE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SAFE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22"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4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 </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97790" cy="467360"/>
                      <wp:effectExtent l="0" t="0" r="0" b="0"/>
                      <wp:wrapNone/>
                      <wp:docPr id="23" name="Frame23"/>
                      <a:graphic xmlns:a="http://schemas.openxmlformats.org/drawingml/2006/main">
                        <a:graphicData uri="http://schemas.microsoft.com/office/word/2010/wordprocessingShape">
                          <wps:wsp>
                            <wps:cNvSpPr txBox="1"/>
                            <wps:spPr>
                              <a:xfrm>
                                <a:off x="0" y="0"/>
                                <a:ext cx="97790" cy="4673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NYSE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NYSE</w:t>
                            </w:r>
                          </w:p>
                        </w:txbxContent>
                      </v:textbox>
                      <w10:wrap type="none"/>
                    </v:rect>
                  </w:pict>
                </mc:Fallback>
              </mc:AlternateContent>
            </w:r>
          </w:p>
        </w:tc>
      </w:tr>
    </w:tbl>
    <w:p>
      <w:pPr>
        <w:pStyle w:val="TextBody"/>
        <w:bidi w:val="0"/>
        <w:spacing w:before="0" w:after="160"/>
        <w:ind w:left="0" w:right="0" w:firstLine="495"/>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60"/>
        <w:ind w:left="0" w:right="0" w:firstLine="495"/>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twelve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495"/>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3" w:name="Tc_ae6vonAqckORFjmnPAzrlA_2_4"/>
      <w:bookmarkStart w:id="24" w:name="Tc_5qp-N00UgEyyYg4HRDZKkQ_2_2"/>
      <w:bookmarkStart w:id="25" w:name="Tc_83gRy3fgoEOJvzFH9ezXeQ_2_0"/>
      <w:bookmarkStart w:id="26" w:name="Tc_sc7hB_8l-Eyww7VdEDawcA_1_8"/>
      <w:bookmarkStart w:id="27" w:name="Tc_DxFRyQ8BaECRWVXlbdZm5g_1_6"/>
      <w:bookmarkStart w:id="28" w:name="Tc_MRF8O0CaRU2vwxD2MXoRcQ_1_4"/>
      <w:bookmarkStart w:id="29" w:name="Tc_eQAfdIQVj0-NQNPX0kzTzQ_1_2"/>
      <w:bookmarkStart w:id="30" w:name="_24dd7b9e_9857_4cc0_8f88_d788eda50413"/>
      <w:bookmarkStart w:id="31" w:name="Tc_ae6vonAqckORFjmnPAzrlA_2_4"/>
      <w:bookmarkStart w:id="32" w:name="Tc_5qp-N00UgEyyYg4HRDZKkQ_2_2"/>
      <w:bookmarkStart w:id="33" w:name="Tc_83gRy3fgoEOJvzFH9ezXeQ_2_0"/>
      <w:bookmarkStart w:id="34" w:name="Tc_sc7hB_8l-Eyww7VdEDawcA_1_8"/>
      <w:bookmarkStart w:id="35" w:name="Tc_DxFRyQ8BaECRWVXlbdZm5g_1_6"/>
      <w:bookmarkStart w:id="36" w:name="Tc_MRF8O0CaRU2vwxD2MXoRcQ_1_4"/>
      <w:bookmarkStart w:id="37" w:name="Tc_eQAfdIQVj0-NQNPX0kzTzQ_1_2"/>
      <w:bookmarkStart w:id="38" w:name="_24dd7b9e_9857_4cc0_8f88_d788eda50413"/>
      <w:bookmarkEnd w:id="31"/>
      <w:bookmarkEnd w:id="32"/>
      <w:bookmarkEnd w:id="33"/>
      <w:bookmarkEnd w:id="34"/>
      <w:bookmarkEnd w:id="35"/>
      <w:bookmarkEnd w:id="36"/>
      <w:bookmarkEnd w:id="37"/>
      <w:bookmarkEnd w:id="38"/>
    </w:p>
    <w:tbl>
      <w:tblPr>
        <w:tblW w:w="9387" w:type="dxa"/>
        <w:jc w:val="left"/>
        <w:tblInd w:w="0" w:type="dxa"/>
        <w:tblLayout w:type="fixed"/>
        <w:tblCellMar>
          <w:top w:w="0" w:type="dxa"/>
          <w:left w:w="0" w:type="dxa"/>
          <w:bottom w:w="0" w:type="dxa"/>
          <w:right w:w="0" w:type="dxa"/>
        </w:tblCellMar>
      </w:tblPr>
      <w:tblGrid>
        <w:gridCol w:w="1711"/>
        <w:gridCol w:w="226"/>
        <w:gridCol w:w="1246"/>
        <w:gridCol w:w="226"/>
        <w:gridCol w:w="1561"/>
        <w:gridCol w:w="226"/>
        <w:gridCol w:w="2011"/>
        <w:gridCol w:w="109"/>
        <w:gridCol w:w="2071"/>
      </w:tblGrid>
      <w:tr>
        <w:trPr/>
        <w:tc>
          <w:tcPr>
            <w:tcW w:w="171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24"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Large Accelerated filer</w:t>
            </w:r>
          </w:p>
        </w:tc>
        <w:tc>
          <w:tcPr>
            <w:tcW w:w="226" w:type="dxa"/>
            <w:tcBorders/>
            <w:vAlign w:val="center"/>
          </w:tcPr>
          <w:p>
            <w:pPr>
              <w:pStyle w:val="TableContents"/>
              <w:bidi w:val="0"/>
              <w:spacing w:before="0" w:after="40"/>
              <w:ind w:left="0" w:right="0" w:hanging="0"/>
              <w:jc w:val="left"/>
              <w:rPr/>
            </w:pPr>
            <w:r>
              <w:rPr/>
              <w:t>  ​</w:t>
            </w:r>
          </w:p>
        </w:tc>
        <w:tc>
          <w:tcPr>
            <w:tcW w:w="1246"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Accelerated filer</w:t>
            </w:r>
          </w:p>
        </w:tc>
        <w:tc>
          <w:tcPr>
            <w:tcW w:w="226" w:type="dxa"/>
            <w:tcBorders/>
            <w:vAlign w:val="center"/>
          </w:tcPr>
          <w:p>
            <w:pPr>
              <w:pStyle w:val="TableContents"/>
              <w:bidi w:val="0"/>
              <w:spacing w:before="0" w:after="40"/>
              <w:ind w:left="0" w:right="0" w:hanging="0"/>
              <w:jc w:val="left"/>
              <w:rPr/>
            </w:pPr>
            <w:r>
              <w:rPr/>
              <w:t>  ​</w:t>
            </w:r>
          </w:p>
        </w:tc>
        <w:tc>
          <w:tcPr>
            <w:tcW w:w="1561"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Non-accelerated filer</w:t>
            </w:r>
          </w:p>
        </w:tc>
        <w:tc>
          <w:tcPr>
            <w:tcW w:w="226" w:type="dxa"/>
            <w:tcBorders/>
            <w:vAlign w:val="center"/>
          </w:tcPr>
          <w:p>
            <w:pPr>
              <w:pStyle w:val="TableContents"/>
              <w:bidi w:val="0"/>
              <w:spacing w:before="0" w:after="40"/>
              <w:ind w:left="0" w:right="0" w:hanging="0"/>
              <w:jc w:val="left"/>
              <w:rPr/>
            </w:pPr>
            <w:r>
              <w:rPr/>
              <w:t>  ​</w:t>
            </w:r>
          </w:p>
        </w:tc>
        <w:tc>
          <w:tcPr>
            <w:tcW w:w="2011"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Smaller reporting company</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350520"/>
                      <wp:effectExtent l="0" t="0" r="0" b="0"/>
                      <wp:wrapNone/>
                      <wp:docPr id="25" name="Frame25"/>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w:t>
                            </w:r>
                          </w:p>
                        </w:txbxContent>
                      </v:textbox>
                      <w10:wrap type="none"/>
                    </v:rect>
                  </w:pict>
                </mc:Fallback>
              </mc:AlternateContent>
            </w:r>
          </w:p>
        </w:tc>
        <w:tc>
          <w:tcPr>
            <w:tcW w:w="2071" w:type="dxa"/>
            <w:tcBorders/>
            <w:vAlign w:val="center"/>
          </w:tcPr>
          <w:p>
            <w:pPr>
              <w:pStyle w:val="TableContents"/>
              <w:bidi w:val="0"/>
              <w:spacing w:before="0" w:after="40"/>
              <w:ind w:left="0" w:right="0" w:hanging="0"/>
              <w:jc w:val="center"/>
              <w:rPr>
                <w:rFonts w:ascii="Times New Roman;Times;serif" w:hAnsi="Times New Roman;Times;serif"/>
                <w:sz w:val="16"/>
              </w:rPr>
            </w:pPr>
            <w:r>
              <w:rPr>
                <w:rFonts w:ascii="Times New Roman;Times;serif" w:hAnsi="Times New Roman;Times;serif"/>
                <w:sz w:val="16"/>
              </w:rPr>
              <w:t>Emerging growth company</w:t>
            </w:r>
          </w:p>
        </w:tc>
      </w:tr>
      <w:tr>
        <w:trPr/>
        <w:tc>
          <w:tcPr>
            <w:tcW w:w="1711" w:type="dxa"/>
            <w:tcBorders/>
            <w:vAlign w:val="center"/>
          </w:tcPr>
          <w:p>
            <w:pPr>
              <w:pStyle w:val="TableContents"/>
              <w:bidi w:val="0"/>
              <w:spacing w:before="0" w:after="40"/>
              <w:ind w:left="0" w:right="0" w:hanging="0"/>
              <w:jc w:val="center"/>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3510" cy="175260"/>
                      <wp:effectExtent l="0" t="0" r="0" b="0"/>
                      <wp:wrapNone/>
                      <wp:docPr id="26" name="Frame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40"/>
              <w:ind w:left="0" w:right="0" w:hanging="0"/>
              <w:jc w:val="center"/>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3510" cy="175260"/>
                      <wp:effectExtent l="0" t="0" r="0" b="0"/>
                      <wp:wrapNone/>
                      <wp:docPr id="27" name="Frame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3510" cy="175260"/>
                      <wp:effectExtent l="0" t="0" r="0" b="0"/>
                      <wp:wrapNone/>
                      <wp:docPr id="28" name="Frame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40"/>
              <w:ind w:left="0" w:right="0" w:hanging="0"/>
              <w:jc w:val="center"/>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60"/>
        <w:ind w:left="0" w:right="0" w:firstLine="495"/>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60"/>
        <w:ind w:left="0" w:right="0" w:firstLine="450"/>
        <w:jc w:val="both"/>
        <w:rPr>
          <w:rFonts w:ascii="Times New Roman;Times;serif" w:hAnsi="Times New Roman;Times;serif"/>
          <w:sz w:val="16"/>
        </w:rPr>
      </w:pPr>
      <w:r>
        <w:rPr>
          <w:rFonts w:ascii="Times New Roman;Times;serif" w:hAnsi="Times New Roman;Times;serif"/>
          <w:sz w:val="16"/>
        </w:rPr>
        <w:t>As of July 28, 2026, there were 70,816,280 shares, $0.01 par value per share, of Safehold Inc. common stock outstanding.</w:t>
      </w:r>
    </w:p>
    <w:p>
      <w:pPr>
        <w:pStyle w:val="TextBody"/>
        <w:bidi w:val="0"/>
        <w:spacing w:before="0" w:after="240"/>
        <w:ind w:left="0" w:right="0" w:firstLine="450"/>
        <w:jc w:val="both"/>
        <w:rPr/>
      </w:pPr>
      <w:r>
        <w:rPr/>
        <w:t>​</w:t>
      </w:r>
    </w:p>
    <w:p>
      <w:pPr>
        <w:pStyle w:val="TextBody"/>
        <w:pBdr>
          <w:top w:val="single" w:sz="8" w:space="1" w:color="000000"/>
          <w:bottom w:val="single" w:sz="24" w:space="1" w:color="000000"/>
        </w:pBdr>
        <w:bidi w:val="0"/>
        <w:spacing w:before="0" w:after="240"/>
        <w:ind w:left="0" w:right="0" w:firstLine="450"/>
        <w:jc w:val="both"/>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9" w:name="TOC"/>
      <w:bookmarkStart w:id="40" w:name="_6a017329_9edb_40d9_ae51_b5eac72a2053"/>
      <w:bookmarkEnd w:id="39"/>
      <w:bookmarkEnd w:id="40"/>
      <w:r>
        <w:rPr>
          <w:rFonts w:ascii="Times New Roman;Times;serif" w:hAnsi="Times New Roman;Times;serif"/>
          <w:b/>
          <w:sz w:val="20"/>
        </w:rPr>
        <w:t>TABLE OF CONTENTS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841"/>
        <w:gridCol w:w="8853"/>
        <w:gridCol w:w="511"/>
      </w:tblGrid>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30"/>
              <w:ind w:left="0" w:right="0" w:hanging="0"/>
              <w:jc w:val="left"/>
              <w:rPr/>
            </w:pPr>
            <w:r>
              <w:rPr/>
              <w:t> </w:t>
            </w:r>
          </w:p>
        </w:tc>
        <w:tc>
          <w:tcPr>
            <w:tcW w:w="8853" w:type="dxa"/>
            <w:tcBorders/>
            <w:vAlign w:val="center"/>
          </w:tcPr>
          <w:p>
            <w:pPr>
              <w:pStyle w:val="TableContents"/>
              <w:bidi w:val="0"/>
              <w:spacing w:before="0" w:after="30"/>
              <w:ind w:left="0" w:right="0" w:hanging="0"/>
              <w:jc w:val="left"/>
              <w:rPr/>
            </w:pPr>
            <w:r>
              <w:rPr/>
              <w:t> </w:t>
            </w:r>
          </w:p>
        </w:tc>
        <w:tc>
          <w:tcPr>
            <w:tcW w:w="511" w:type="dxa"/>
            <w:tcBorders>
              <w:bottom w:val="single" w:sz="8"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41" w:type="dxa"/>
            <w:tcBorders/>
            <w:vAlign w:val="center"/>
          </w:tcPr>
          <w:p>
            <w:pPr>
              <w:pStyle w:val="TableContents"/>
              <w:bidi w:val="0"/>
              <w:spacing w:before="0" w:after="30"/>
              <w:ind w:left="0" w:right="0" w:hanging="0"/>
              <w:jc w:val="left"/>
              <w:rPr/>
            </w:pPr>
            <w:hyperlink w:anchor="PARTICONSOLIDATEDFINANCIALINFORMATION_20">
              <w:r>
                <w:rPr>
                  <w:rStyle w:val="InternetLink"/>
                  <w:rFonts w:ascii="Times New Roman;Times;serif" w:hAnsi="Times New Roman;Times;serif"/>
                  <w:b/>
                  <w:i w:val="false"/>
                  <w:caps w:val="false"/>
                  <w:smallCaps w:val="false"/>
                  <w:sz w:val="20"/>
                </w:rPr>
                <w:t>PART I</w:t>
              </w:r>
            </w:hyperlink>
          </w:p>
        </w:tc>
        <w:tc>
          <w:tcPr>
            <w:tcW w:w="8853" w:type="dxa"/>
            <w:tcBorders/>
            <w:vAlign w:val="center"/>
          </w:tcPr>
          <w:p>
            <w:pPr>
              <w:pStyle w:val="TableContents"/>
              <w:bidi w:val="0"/>
              <w:spacing w:before="0" w:after="30"/>
              <w:ind w:left="0" w:right="0" w:hanging="0"/>
              <w:jc w:val="left"/>
              <w:rPr/>
            </w:pPr>
            <w:hyperlink w:anchor="PARTICONSOLIDATEDFINANCIALINFORMATION_20">
              <w:r>
                <w:rPr>
                  <w:rStyle w:val="InternetLink"/>
                  <w:rFonts w:ascii="Times New Roman;Times;serif" w:hAnsi="Times New Roman;Times;serif"/>
                  <w:b w:val="false"/>
                  <w:i w:val="false"/>
                  <w:caps w:val="false"/>
                  <w:smallCaps w:val="false"/>
                  <w:sz w:val="20"/>
                </w:rPr>
                <w:t>Consolidated Financial Information</w:t>
              </w:r>
            </w:hyperlink>
          </w:p>
        </w:tc>
        <w:tc>
          <w:tcPr>
            <w:tcW w:w="511"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30"/>
              <w:ind w:left="0" w:right="0" w:hanging="0"/>
              <w:jc w:val="left"/>
              <w:rPr/>
            </w:pPr>
            <w:hyperlink w:anchor="Item1FinancialStatements_702643">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30"/>
              <w:ind w:left="0" w:right="0" w:hanging="0"/>
              <w:jc w:val="left"/>
              <w:rPr/>
            </w:pPr>
            <w:hyperlink w:anchor="Item1FinancialStatements_702643">
              <w:r>
                <w:rPr>
                  <w:rStyle w:val="InternetLink"/>
                  <w:rFonts w:ascii="Times New Roman;Times;serif" w:hAnsi="Times New Roman;Times;serif"/>
                  <w:b w:val="false"/>
                  <w:i w:val="false"/>
                  <w:caps w:val="false"/>
                  <w:smallCaps w:val="false"/>
                  <w:sz w:val="20"/>
                </w:rPr>
                <w:t>Financial Statements:</w:t>
              </w:r>
            </w:hyperlink>
          </w:p>
        </w:tc>
        <w:tc>
          <w:tcPr>
            <w:tcW w:w="511"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ConsolidatedBalanceSheets1_589528">
              <w:r>
                <w:rPr>
                  <w:rStyle w:val="InternetLink"/>
                  <w:rFonts w:ascii="Times New Roman;Times;serif" w:hAnsi="Times New Roman;Times;serif"/>
                  <w:b w:val="false"/>
                  <w:i w:val="false"/>
                  <w:caps w:val="false"/>
                  <w:smallCaps w:val="false"/>
                  <w:sz w:val="20"/>
                </w:rPr>
                <w:t>Consolidated Balance Sheets (unaudited) as of June 30, 2026 and December 31, 2025</w:t>
              </w:r>
            </w:hyperlink>
            <w:r>
              <w:rPr>
                <w:rFonts w:ascii="Times New Roman;Times;serif" w:hAnsi="Times New Roman;Times;serif"/>
                <w:sz w:val="20"/>
              </w:rPr>
              <w:t xml:space="preserve"> </w:t>
            </w:r>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StatementOfOperations">
              <w:r>
                <w:rPr>
                  <w:rStyle w:val="InternetLink"/>
                  <w:rFonts w:ascii="Times New Roman;Times;serif" w:hAnsi="Times New Roman;Times;serif"/>
                  <w:b w:val="false"/>
                  <w:i w:val="false"/>
                  <w:caps w:val="false"/>
                  <w:smallCaps w:val="false"/>
                  <w:sz w:val="20"/>
                </w:rPr>
                <w:t>Consolidated Statements of Operations (unaudited)—For the three and six months ended June 30,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(Loss) (unaudited)—For the three and six months ended June 30,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Equity">
              <w:r>
                <w:rPr>
                  <w:rStyle w:val="InternetLink"/>
                  <w:rFonts w:ascii="Times New Roman;Times;serif" w:hAnsi="Times New Roman;Times;serif"/>
                  <w:b w:val="false"/>
                  <w:i w:val="false"/>
                  <w:caps w:val="false"/>
                  <w:smallCaps w:val="false"/>
                  <w:sz w:val="20"/>
                </w:rPr>
                <w:t>Consolidated Statements of Changes in Equity (unaudited)—For the three and six months ended June 30,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ConsolidatedStatementsofCashFlows_424097">
              <w:r>
                <w:rPr>
                  <w:rStyle w:val="InternetLink"/>
                  <w:rFonts w:ascii="Times New Roman;Times;serif" w:hAnsi="Times New Roman;Times;serif"/>
                  <w:b w:val="false"/>
                  <w:i w:val="false"/>
                  <w:caps w:val="false"/>
                  <w:smallCaps w:val="false"/>
                  <w:sz w:val="20"/>
                </w:rPr>
                <w:t>Consolidated Statements of Cash Flows (unaudited)—For the six months ended June 30, 2026 and 2025</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4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30"/>
              <w:ind w:left="0" w:right="0" w:hanging="0"/>
              <w:jc w:val="left"/>
              <w:rPr/>
            </w:pPr>
            <w:hyperlink w:anchor="Note1BusinessandOrganization_244472">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41" w:type="dxa"/>
            <w:tcBorders/>
            <w:vAlign w:val="center"/>
          </w:tcPr>
          <w:p>
            <w:pPr>
              <w:pStyle w:val="TableContents"/>
              <w:bidi w:val="0"/>
              <w:spacing w:before="0" w:after="3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3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41" w:type="dxa"/>
            <w:tcBorders/>
            <w:vAlign w:val="center"/>
          </w:tcPr>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841" w:type="dxa"/>
            <w:tcBorders/>
            <w:vAlign w:val="center"/>
          </w:tcPr>
          <w:p>
            <w:pPr>
              <w:pStyle w:val="TableContents"/>
              <w:bidi w:val="0"/>
              <w:spacing w:before="0" w:after="30"/>
              <w:ind w:left="0" w:right="0" w:hanging="0"/>
              <w:jc w:val="left"/>
              <w:rPr/>
            </w:pPr>
            <w:hyperlink w:anchor="Item4ControlsandProcedures_125705">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30"/>
              <w:ind w:left="0" w:right="0" w:hanging="0"/>
              <w:jc w:val="left"/>
              <w:rPr/>
            </w:pPr>
            <w:hyperlink w:anchor="Item4ControlsandProcedures_125705">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41" w:type="dxa"/>
            <w:tcBorders/>
            <w:vAlign w:val="center"/>
          </w:tcPr>
          <w:p>
            <w:pPr>
              <w:pStyle w:val="TableContents"/>
              <w:bidi w:val="0"/>
              <w:spacing w:before="0" w:after="30"/>
              <w:ind w:left="0" w:right="0" w:hanging="0"/>
              <w:jc w:val="left"/>
              <w:rPr/>
            </w:pPr>
            <w:hyperlink w:anchor="PARTIIOTHERINFORMATION_821823">
              <w:r>
                <w:rPr>
                  <w:rStyle w:val="InternetLink"/>
                  <w:rFonts w:ascii="Times New Roman;Times;serif" w:hAnsi="Times New Roman;Times;serif"/>
                  <w:b/>
                  <w:i w:val="false"/>
                  <w:caps w:val="false"/>
                  <w:smallCaps w:val="false"/>
                  <w:sz w:val="20"/>
                </w:rPr>
                <w:t>PART II</w:t>
              </w:r>
            </w:hyperlink>
          </w:p>
        </w:tc>
        <w:tc>
          <w:tcPr>
            <w:tcW w:w="8853" w:type="dxa"/>
            <w:tcBorders/>
            <w:vAlign w:val="center"/>
          </w:tcPr>
          <w:p>
            <w:pPr>
              <w:pStyle w:val="TableContents"/>
              <w:bidi w:val="0"/>
              <w:spacing w:before="0" w:after="30"/>
              <w:ind w:left="0" w:right="0" w:hanging="0"/>
              <w:jc w:val="left"/>
              <w:rPr/>
            </w:pPr>
            <w:hyperlink w:anchor="PARTIIOTHERINFORMATION_821823">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41" w:type="dxa"/>
            <w:tcBorders/>
            <w:vAlign w:val="center"/>
          </w:tcPr>
          <w:p>
            <w:pPr>
              <w:pStyle w:val="TableContents"/>
              <w:bidi w:val="0"/>
              <w:spacing w:before="0" w:after="30"/>
              <w:ind w:left="0" w:right="0" w:hanging="0"/>
              <w:jc w:val="left"/>
              <w:rPr/>
            </w:pPr>
            <w:hyperlink w:anchor="Item1LegalProceedings_241327">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30"/>
              <w:ind w:left="0" w:right="0" w:hanging="0"/>
              <w:jc w:val="left"/>
              <w:rPr/>
            </w:pPr>
            <w:hyperlink w:anchor="Item1LegalProceedings_241327">
              <w:r>
                <w:rPr>
                  <w:rStyle w:val="InternetLink"/>
                  <w:rFonts w:ascii="Times New Roman;Times;serif" w:hAnsi="Times New Roman;Times;serif"/>
                  <w:b w:val="false"/>
                  <w:i w:val="false"/>
                  <w:caps w:val="false"/>
                  <w:smallCaps w:val="false"/>
                  <w:sz w:val="20"/>
                </w:rPr>
                <w:t>Legal Proceedings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41" w:type="dxa"/>
            <w:tcBorders/>
            <w:vAlign w:val="center"/>
          </w:tcPr>
          <w:p>
            <w:pPr>
              <w:pStyle w:val="TableContents"/>
              <w:bidi w:val="0"/>
              <w:spacing w:before="0" w:after="30"/>
              <w:ind w:left="0" w:right="0" w:hanging="0"/>
              <w:jc w:val="left"/>
              <w:rPr/>
            </w:pPr>
            <w:hyperlink w:anchor="Item1aRiskFactors_934934">
              <w:r>
                <w:rPr>
                  <w:rStyle w:val="InternetLink"/>
                  <w:rFonts w:ascii="Times New Roman;Times;serif" w:hAnsi="Times New Roman;Times;serif"/>
                  <w:b w:val="false"/>
                  <w:i w:val="false"/>
                  <w:caps w:val="false"/>
                  <w:smallCaps w:val="false"/>
                  <w:sz w:val="20"/>
                </w:rPr>
                <w:t>Item 1A.</w:t>
              </w:r>
            </w:hyperlink>
          </w:p>
        </w:tc>
        <w:tc>
          <w:tcPr>
            <w:tcW w:w="8853" w:type="dxa"/>
            <w:tcBorders/>
            <w:vAlign w:val="center"/>
          </w:tcPr>
          <w:p>
            <w:pPr>
              <w:pStyle w:val="TableContents"/>
              <w:bidi w:val="0"/>
              <w:spacing w:before="0" w:after="30"/>
              <w:ind w:left="0" w:right="0" w:hanging="0"/>
              <w:jc w:val="left"/>
              <w:rPr/>
            </w:pPr>
            <w:hyperlink w:anchor="Item1aRiskFactors_934934">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41" w:type="dxa"/>
            <w:tcBorders/>
            <w:vAlign w:val="center"/>
          </w:tcPr>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841" w:type="dxa"/>
            <w:tcBorders/>
            <w:vAlign w:val="center"/>
          </w:tcPr>
          <w:p>
            <w:pPr>
              <w:pStyle w:val="TableContents"/>
              <w:bidi w:val="0"/>
              <w:spacing w:before="0" w:after="30"/>
              <w:ind w:left="0" w:right="0" w:hanging="0"/>
              <w:jc w:val="left"/>
              <w:rPr/>
            </w:pPr>
            <w:hyperlink w:anchor="Item3DefaultsUponSeniorSecurities_688805">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30"/>
              <w:ind w:left="0" w:right="0" w:hanging="0"/>
              <w:jc w:val="left"/>
              <w:rPr/>
            </w:pPr>
            <w:hyperlink w:anchor="Item3DefaultsUponSeniorSecurities_688805">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841" w:type="dxa"/>
            <w:tcBorders/>
            <w:vAlign w:val="center"/>
          </w:tcPr>
          <w:p>
            <w:pPr>
              <w:pStyle w:val="TableContents"/>
              <w:bidi w:val="0"/>
              <w:spacing w:before="0" w:after="30"/>
              <w:ind w:left="0" w:right="0" w:hanging="0"/>
              <w:jc w:val="left"/>
              <w:rPr/>
            </w:pPr>
            <w:hyperlink w:anchor="Item4MineSafetyDisclosures_271149">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30"/>
              <w:ind w:left="0" w:right="0" w:hanging="0"/>
              <w:jc w:val="left"/>
              <w:rPr/>
            </w:pPr>
            <w:hyperlink w:anchor="Item4MineSafetyDisclosures_271149">
              <w:r>
                <w:rPr>
                  <w:rStyle w:val="InternetLink"/>
                  <w:rFonts w:ascii="Times New Roman;Times;serif" w:hAnsi="Times New Roman;Times;serif"/>
                  <w:b w:val="false"/>
                  <w:i w:val="false"/>
                  <w:caps w:val="false"/>
                  <w:smallCaps w:val="false"/>
                  <w:sz w:val="20"/>
                </w:rPr>
                <w:t>Mine Safety Disclosures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841" w:type="dxa"/>
            <w:tcBorders/>
            <w:vAlign w:val="center"/>
          </w:tcPr>
          <w:p>
            <w:pPr>
              <w:pStyle w:val="TableContents"/>
              <w:bidi w:val="0"/>
              <w:spacing w:before="0" w:after="30"/>
              <w:ind w:left="0" w:right="0" w:hanging="0"/>
              <w:jc w:val="left"/>
              <w:rPr/>
            </w:pPr>
            <w:hyperlink w:anchor="Item5OtherInformation_293388">
              <w:r>
                <w:rPr>
                  <w:rStyle w:val="InternetLink"/>
                  <w:rFonts w:ascii="Times New Roman;Times;serif" w:hAnsi="Times New Roman;Times;serif"/>
                  <w:b w:val="false"/>
                  <w:i w:val="false"/>
                  <w:caps w:val="false"/>
                  <w:smallCaps w:val="false"/>
                  <w:sz w:val="20"/>
                </w:rPr>
                <w:t>Item 5.</w:t>
              </w:r>
            </w:hyperlink>
          </w:p>
        </w:tc>
        <w:tc>
          <w:tcPr>
            <w:tcW w:w="8853" w:type="dxa"/>
            <w:tcBorders/>
            <w:vAlign w:val="center"/>
          </w:tcPr>
          <w:p>
            <w:pPr>
              <w:pStyle w:val="TableContents"/>
              <w:bidi w:val="0"/>
              <w:spacing w:before="0" w:after="30"/>
              <w:ind w:left="0" w:right="0" w:hanging="0"/>
              <w:jc w:val="left"/>
              <w:rPr/>
            </w:pPr>
            <w:hyperlink w:anchor="Item5OtherInformation_293388">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841" w:type="dxa"/>
            <w:tcBorders/>
            <w:vAlign w:val="center"/>
          </w:tcPr>
          <w:p>
            <w:pPr>
              <w:pStyle w:val="TableContents"/>
              <w:bidi w:val="0"/>
              <w:spacing w:before="0" w:after="30"/>
              <w:ind w:left="0" w:right="0" w:hanging="0"/>
              <w:jc w:val="left"/>
              <w:rPr/>
            </w:pPr>
            <w:hyperlink w:anchor="Item6Exhibits_331758">
              <w:r>
                <w:rPr>
                  <w:rStyle w:val="InternetLink"/>
                  <w:rFonts w:ascii="Times New Roman;Times;serif" w:hAnsi="Times New Roman;Times;serif"/>
                  <w:b w:val="false"/>
                  <w:i w:val="false"/>
                  <w:caps w:val="false"/>
                  <w:smallCaps w:val="false"/>
                  <w:sz w:val="20"/>
                </w:rPr>
                <w:t>Item 6.</w:t>
              </w:r>
            </w:hyperlink>
          </w:p>
        </w:tc>
        <w:tc>
          <w:tcPr>
            <w:tcW w:w="8853" w:type="dxa"/>
            <w:tcBorders/>
            <w:vAlign w:val="center"/>
          </w:tcPr>
          <w:p>
            <w:pPr>
              <w:pStyle w:val="TableContents"/>
              <w:bidi w:val="0"/>
              <w:spacing w:before="0" w:after="30"/>
              <w:ind w:left="0" w:right="0" w:hanging="0"/>
              <w:jc w:val="left"/>
              <w:rPr/>
            </w:pPr>
            <w:hyperlink w:anchor="Item6Exhibits_331758">
              <w:r>
                <w:rPr>
                  <w:rStyle w:val="InternetLink"/>
                  <w:rFonts w:ascii="Times New Roman;Times;serif" w:hAnsi="Times New Roman;Times;serif"/>
                  <w:b w:val="false"/>
                  <w:i w:val="false"/>
                  <w:caps w:val="false"/>
                  <w:smallCaps w:val="false"/>
                  <w:sz w:val="20"/>
                </w:rPr>
                <w:t>Exhibits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9694" w:type="dxa"/>
            <w:gridSpan w:val="2"/>
            <w:tcBorders/>
            <w:vAlign w:val="center"/>
          </w:tcPr>
          <w:p>
            <w:pPr>
              <w:pStyle w:val="TableContents"/>
              <w:bidi w:val="0"/>
              <w:spacing w:before="0" w:after="30"/>
              <w:ind w:left="0" w:right="0" w:hanging="0"/>
              <w:jc w:val="left"/>
              <w:rPr/>
            </w:pPr>
            <w:hyperlink w:anchor="SIGNATURES_913228">
              <w:r>
                <w:rPr>
                  <w:rStyle w:val="InternetLink"/>
                  <w:rFonts w:ascii="Times New Roman;Times;serif" w:hAnsi="Times New Roman;Times;serif"/>
                  <w:b/>
                  <w:i w:val="false"/>
                  <w:caps w:val="false"/>
                  <w:smallCaps w:val="false"/>
                  <w:sz w:val="20"/>
                </w:rPr>
                <w:t>SIGNATURES</w:t>
              </w:r>
            </w:hyperlink>
          </w:p>
        </w:tc>
        <w:tc>
          <w:tcPr>
            <w:tcW w:w="511"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PARTICONSOLIDATEDFINANCIALINFORMATION_20"/>
      <w:bookmarkStart w:id="42" w:name="_347e5dc1_8ad7_4c90_945c_c44dc15fdd66"/>
      <w:bookmarkEnd w:id="41"/>
      <w:bookmarkEnd w:id="42"/>
      <w:r>
        <w:rPr>
          <w:rFonts w:ascii="Times New Roman;Times;serif" w:hAnsi="Times New Roman;Times;serif"/>
          <w:b/>
          <w:sz w:val="20"/>
        </w:rPr>
        <w:t>PART I. CONSOLIDATED FINANCIAL INFORMATION</w:t>
      </w:r>
    </w:p>
    <w:p>
      <w:pPr>
        <w:pStyle w:val="TextBody"/>
        <w:bidi w:val="0"/>
        <w:spacing w:before="0" w:after="0"/>
        <w:ind w:left="0" w:right="0" w:hanging="0"/>
        <w:jc w:val="left"/>
        <w:rPr>
          <w:rFonts w:ascii="Times New Roman;Times;serif" w:hAnsi="Times New Roman;Times;serif"/>
          <w:b/>
          <w:sz w:val="20"/>
        </w:rPr>
      </w:pPr>
      <w:bookmarkStart w:id="43" w:name="Item1FinancialStatements_702643"/>
      <w:bookmarkStart w:id="44" w:name="_Item_1._"/>
      <w:bookmarkEnd w:id="43"/>
      <w:bookmarkEnd w:id="44"/>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lineRule="auto" w:line="240" w:before="0" w:after="0"/>
        <w:ind w:left="0" w:right="0" w:hanging="0"/>
        <w:jc w:val="center"/>
        <w:rPr>
          <w:rFonts w:ascii="Times New Roman;Times;serif" w:hAnsi="Times New Roman;Times;serif"/>
          <w:sz w:val="20"/>
        </w:rPr>
      </w:pPr>
      <w:bookmarkStart w:id="45" w:name="ConsolidatedBalanceSheets1_589528"/>
      <w:bookmarkEnd w:id="45"/>
      <w:r>
        <w:rPr>
          <w:rFonts w:ascii="Times New Roman;Times;serif" w:hAnsi="Times New Roman;Times;serif"/>
          <w:b/>
          <w:sz w:val="20"/>
        </w:rPr>
        <w:t>Consolidated Balance Sheets</w:t>
      </w:r>
      <w:r>
        <w:rPr>
          <w:rFonts w:ascii="Times New Roman;Times;serif" w:hAnsi="Times New Roman;Times;serif"/>
          <w:b/>
          <w:sz w:val="15"/>
        </w:rPr>
        <w:t>(1)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6" w:name="Tc_w1qtkWK210y5f-LvGNY1-A_39_5"/>
      <w:bookmarkStart w:id="47" w:name="Tc_cuoR2wN4D06jMCX_BHsxgw_39_2"/>
      <w:bookmarkStart w:id="48" w:name="Tc_MYhilZwtzUms1go3Q_sMZQ_39_0"/>
      <w:bookmarkStart w:id="49" w:name="Tc_qlVIJOSLb0ORXy3fFWsxxg_38_0"/>
      <w:bookmarkStart w:id="50" w:name="Tc_UeI5Ez3jw0mwJFH41feXdg_37_0"/>
      <w:bookmarkStart w:id="51" w:name="Tc_k09sli-Jx0OE76CptRSpDA_36_0"/>
      <w:bookmarkStart w:id="52" w:name="Tc_2xbPapj-SEC0Mbqo5rtHfA_35_0"/>
      <w:bookmarkStart w:id="53" w:name="Tc__xb9ZVa2ekO3VlbeghQrQQ_34_0"/>
      <w:bookmarkStart w:id="54" w:name="Tc_VjHDDx4iL0usJx0M6TD4rA_33_0"/>
      <w:bookmarkStart w:id="55" w:name="Tc_GJu54Dg0V0KbTGvw5kokYQ_32_0"/>
      <w:bookmarkStart w:id="56" w:name="Tc_KxSBQKNPnUKmciCWEmvkBQ_31_0"/>
      <w:bookmarkStart w:id="57" w:name="Tc_Ykh64R8oDEKtYbdEyyhNpw_30_0"/>
      <w:bookmarkStart w:id="58" w:name="Tc_PFDFLHiG20OuGIkYpuOMrQ_29_6"/>
      <w:bookmarkStart w:id="59" w:name="Tc_HPaQhKn4JkSVbgQaYH53EA_29_0"/>
      <w:bookmarkStart w:id="60" w:name="Tc_Tj6bHUiLCE-jAFMA0IWP5w_28_0"/>
      <w:bookmarkStart w:id="61" w:name="Tc_7MV2q21pGUuRRavEOJgXOw_27_0"/>
      <w:bookmarkStart w:id="62" w:name="Tc_vY-9nhIpKUGm4TRXvve_3A_26_0"/>
      <w:bookmarkStart w:id="63" w:name="Tc_XOE1DMruo063-28LZLiQtA_25_0"/>
      <w:bookmarkStart w:id="64" w:name="Tc_HhB-cjz_aU2aP2oAoOR6tw_24_5"/>
      <w:bookmarkStart w:id="65" w:name="Tc_iijIPDzj2kGwuD_fFJSFwA_24_2"/>
      <w:bookmarkStart w:id="66" w:name="Tc_HiVck-RkCUOezQvpxOqa5w_24_0"/>
      <w:bookmarkStart w:id="67" w:name="Tc_jC8WSBXoAEinhkV3QrnROg_23_0"/>
      <w:bookmarkStart w:id="68" w:name="Tc_As1kW_f7KkeFOe3N6_k9UA_22_0"/>
      <w:bookmarkStart w:id="69" w:name="Tc_tLRfHp-49E-JG-baenN2bA_21_5"/>
      <w:bookmarkStart w:id="70" w:name="Tc_hZa9BlU7QUebl9KGdI1fQQ_21_2"/>
      <w:bookmarkStart w:id="71" w:name="Tc_beoAq0PIH0Gk9f-8VoLv0A_21_0"/>
      <w:bookmarkStart w:id="72" w:name="Tc_uAMOBIgxlkmw3jx1E6aUWA_20_0"/>
      <w:bookmarkStart w:id="73" w:name="Tc_-0TRRKt_ukqpZE3ah0kTjA_19_0"/>
      <w:bookmarkStart w:id="74" w:name="Tc_3YxDrpJqGEqAmrPK1myI6g_18_0"/>
      <w:bookmarkStart w:id="75" w:name="Tc_l8TfucTCu0G--Yyy78whsw_17_0"/>
      <w:bookmarkStart w:id="76" w:name="Tc_bd2qRqMjHUKEPqwaKxQO7A_16_0"/>
      <w:bookmarkStart w:id="77" w:name="Tc_6x1QEEysl02-fH7pmogeRQ_15_0"/>
      <w:bookmarkStart w:id="78" w:name="Tc_SXS33nQaOk21XBM4uMD-Wg_14_0"/>
      <w:bookmarkStart w:id="79" w:name="Tc_lbpSQJ-R5keJjtiD-kQoiQ_13_0"/>
      <w:bookmarkStart w:id="80" w:name="Tc_SpIXuk8hUkCKEuIVnlic4Q_12_0"/>
      <w:bookmarkStart w:id="81" w:name="Tc_NyU_sMmIpEe4yt-8Cwq9Aw_11_3"/>
      <w:bookmarkStart w:id="82" w:name="Tc_mzukX91NukWsASa6Z2nU_w_11_0"/>
      <w:bookmarkStart w:id="83" w:name="Tc_bt5-GuDO-USRSaFPKytoOA_10_0"/>
      <w:bookmarkStart w:id="84" w:name="Tc_M_vCRsIP6UqCYwq-s-8h4A_9_0"/>
      <w:bookmarkStart w:id="85" w:name="Tc_VgX105EvTEirdJR3fWgJHA_8_0"/>
      <w:bookmarkStart w:id="86" w:name="Tc_uSQHP6bEcU2jEZntQU7n5Q_7_0"/>
      <w:bookmarkStart w:id="87" w:name="Tc_241kmoRlFkyIZnQ6RPRJxw_6_0"/>
      <w:bookmarkStart w:id="88" w:name="Tc_WBqk7TSEJUuLuK0Nqe7wPA_5_0"/>
      <w:bookmarkStart w:id="89" w:name="Tc_yoIWU_rgy0WKOukc-D0cKw_4_5"/>
      <w:bookmarkStart w:id="90" w:name="Tc_y8yRUBK6RE2tBQACfKGWtw_4_2"/>
      <w:bookmarkStart w:id="91" w:name="Tc_6A9htuKSKEuyOc9SC03RqQ_4_0"/>
      <w:bookmarkStart w:id="92" w:name="Tc__dy-uiPgaUO-VfJkdbEXRg_3_0"/>
      <w:bookmarkStart w:id="93" w:name="Tc_dTiGNtr_JkKT9Acd0gIz9Q_2_5"/>
      <w:bookmarkStart w:id="94" w:name="Tc_K851p1Uc2kehRGmWmeUZ3g_2_2"/>
      <w:bookmarkStart w:id="95" w:name="Tc_Fk1Mq2nJsE60umdL1vY3Kw_1_5"/>
      <w:bookmarkStart w:id="96" w:name="Tc_O9S77fUytEeKqatXJv1lfQ_1_2"/>
      <w:bookmarkStart w:id="97" w:name="_fde6300a_1401_4e5c_bf46_da204e70b09f"/>
      <w:bookmarkStart w:id="98" w:name="Tc_w1qtkWK210y5f-LvGNY1-A_39_5"/>
      <w:bookmarkStart w:id="99" w:name="Tc_cuoR2wN4D06jMCX_BHsxgw_39_2"/>
      <w:bookmarkStart w:id="100" w:name="Tc_MYhilZwtzUms1go3Q_sMZQ_39_0"/>
      <w:bookmarkStart w:id="101" w:name="Tc_qlVIJOSLb0ORXy3fFWsxxg_38_0"/>
      <w:bookmarkStart w:id="102" w:name="Tc_UeI5Ez3jw0mwJFH41feXdg_37_0"/>
      <w:bookmarkStart w:id="103" w:name="Tc_k09sli-Jx0OE76CptRSpDA_36_0"/>
      <w:bookmarkStart w:id="104" w:name="Tc_2xbPapj-SEC0Mbqo5rtHfA_35_0"/>
      <w:bookmarkStart w:id="105" w:name="Tc__xb9ZVa2ekO3VlbeghQrQQ_34_0"/>
      <w:bookmarkStart w:id="106" w:name="Tc_VjHDDx4iL0usJx0M6TD4rA_33_0"/>
      <w:bookmarkStart w:id="107" w:name="Tc_GJu54Dg0V0KbTGvw5kokYQ_32_0"/>
      <w:bookmarkStart w:id="108" w:name="Tc_KxSBQKNPnUKmciCWEmvkBQ_31_0"/>
      <w:bookmarkStart w:id="109" w:name="Tc_Ykh64R8oDEKtYbdEyyhNpw_30_0"/>
      <w:bookmarkStart w:id="110" w:name="Tc_PFDFLHiG20OuGIkYpuOMrQ_29_6"/>
      <w:bookmarkStart w:id="111" w:name="Tc_HPaQhKn4JkSVbgQaYH53EA_29_0"/>
      <w:bookmarkStart w:id="112" w:name="Tc_Tj6bHUiLCE-jAFMA0IWP5w_28_0"/>
      <w:bookmarkStart w:id="113" w:name="Tc_7MV2q21pGUuRRavEOJgXOw_27_0"/>
      <w:bookmarkStart w:id="114" w:name="Tc_vY-9nhIpKUGm4TRXvve_3A_26_0"/>
      <w:bookmarkStart w:id="115" w:name="Tc_XOE1DMruo063-28LZLiQtA_25_0"/>
      <w:bookmarkStart w:id="116" w:name="Tc_HhB-cjz_aU2aP2oAoOR6tw_24_5"/>
      <w:bookmarkStart w:id="117" w:name="Tc_iijIPDzj2kGwuD_fFJSFwA_24_2"/>
      <w:bookmarkStart w:id="118" w:name="Tc_HiVck-RkCUOezQvpxOqa5w_24_0"/>
      <w:bookmarkStart w:id="119" w:name="Tc_jC8WSBXoAEinhkV3QrnROg_23_0"/>
      <w:bookmarkStart w:id="120" w:name="Tc_As1kW_f7KkeFOe3N6_k9UA_22_0"/>
      <w:bookmarkStart w:id="121" w:name="Tc_tLRfHp-49E-JG-baenN2bA_21_5"/>
      <w:bookmarkStart w:id="122" w:name="Tc_hZa9BlU7QUebl9KGdI1fQQ_21_2"/>
      <w:bookmarkStart w:id="123" w:name="Tc_beoAq0PIH0Gk9f-8VoLv0A_21_0"/>
      <w:bookmarkStart w:id="124" w:name="Tc_uAMOBIgxlkmw3jx1E6aUWA_20_0"/>
      <w:bookmarkStart w:id="125" w:name="Tc_-0TRRKt_ukqpZE3ah0kTjA_19_0"/>
      <w:bookmarkStart w:id="126" w:name="Tc_3YxDrpJqGEqAmrPK1myI6g_18_0"/>
      <w:bookmarkStart w:id="127" w:name="Tc_l8TfucTCu0G--Yyy78whsw_17_0"/>
      <w:bookmarkStart w:id="128" w:name="Tc_bd2qRqMjHUKEPqwaKxQO7A_16_0"/>
      <w:bookmarkStart w:id="129" w:name="Tc_6x1QEEysl02-fH7pmogeRQ_15_0"/>
      <w:bookmarkStart w:id="130" w:name="Tc_SXS33nQaOk21XBM4uMD-Wg_14_0"/>
      <w:bookmarkStart w:id="131" w:name="Tc_lbpSQJ-R5keJjtiD-kQoiQ_13_0"/>
      <w:bookmarkStart w:id="132" w:name="Tc_SpIXuk8hUkCKEuIVnlic4Q_12_0"/>
      <w:bookmarkStart w:id="133" w:name="Tc_NyU_sMmIpEe4yt-8Cwq9Aw_11_3"/>
      <w:bookmarkStart w:id="134" w:name="Tc_mzukX91NukWsASa6Z2nU_w_11_0"/>
      <w:bookmarkStart w:id="135" w:name="Tc_bt5-GuDO-USRSaFPKytoOA_10_0"/>
      <w:bookmarkStart w:id="136" w:name="Tc_M_vCRsIP6UqCYwq-s-8h4A_9_0"/>
      <w:bookmarkStart w:id="137" w:name="Tc_VgX105EvTEirdJR3fWgJHA_8_0"/>
      <w:bookmarkStart w:id="138" w:name="Tc_uSQHP6bEcU2jEZntQU7n5Q_7_0"/>
      <w:bookmarkStart w:id="139" w:name="Tc_241kmoRlFkyIZnQ6RPRJxw_6_0"/>
      <w:bookmarkStart w:id="140" w:name="Tc_WBqk7TSEJUuLuK0Nqe7wPA_5_0"/>
      <w:bookmarkStart w:id="141" w:name="Tc_yoIWU_rgy0WKOukc-D0cKw_4_5"/>
      <w:bookmarkStart w:id="142" w:name="Tc_y8yRUBK6RE2tBQACfKGWtw_4_2"/>
      <w:bookmarkStart w:id="143" w:name="Tc_6A9htuKSKEuyOc9SC03RqQ_4_0"/>
      <w:bookmarkStart w:id="144" w:name="Tc__dy-uiPgaUO-VfJkdbEXRg_3_0"/>
      <w:bookmarkStart w:id="145" w:name="Tc_dTiGNtr_JkKT9Acd0gIz9Q_2_5"/>
      <w:bookmarkStart w:id="146" w:name="Tc_K851p1Uc2kehRGmWmeUZ3g_2_2"/>
      <w:bookmarkStart w:id="147" w:name="Tc_Fk1Mq2nJsE60umdL1vY3Kw_1_5"/>
      <w:bookmarkStart w:id="148" w:name="Tc_O9S77fUytEeKqatXJv1lfQ_1_2"/>
      <w:bookmarkStart w:id="149" w:name="_fde6300a_1401_4e5c_bf46_da204e70b09f"/>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tbl>
      <w:tblPr>
        <w:tblW w:w="10205" w:type="dxa"/>
        <w:jc w:val="left"/>
        <w:tblInd w:w="0" w:type="dxa"/>
        <w:tblLayout w:type="fixed"/>
        <w:tblCellMar>
          <w:top w:w="0" w:type="dxa"/>
          <w:left w:w="0" w:type="dxa"/>
          <w:bottom w:w="0" w:type="dxa"/>
          <w:right w:w="0" w:type="dxa"/>
        </w:tblCellMar>
      </w:tblPr>
      <w:tblGrid>
        <w:gridCol w:w="7356"/>
        <w:gridCol w:w="346"/>
        <w:gridCol w:w="196"/>
        <w:gridCol w:w="826"/>
        <w:gridCol w:w="346"/>
        <w:gridCol w:w="197"/>
        <w:gridCol w:w="938"/>
      </w:tblGrid>
      <w:tr>
        <w:trPr/>
        <w:tc>
          <w:tcPr>
            <w:tcW w:w="7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671060" cy="175260"/>
                      <wp:effectExtent l="0" t="0" r="0" b="0"/>
                      <wp:wrapNone/>
                      <wp:docPr id="30" name="Frame30"/>
                      <a:graphic xmlns:a="http://schemas.openxmlformats.org/drawingml/2006/main">
                        <a:graphicData uri="http://schemas.microsoft.com/office/word/2010/wordprocessingShape">
                          <wps:wsp>
                            <wps:cNvSpPr txBox="1"/>
                            <wps:spPr>
                              <a:xfrm>
                                <a:off x="0" y="0"/>
                                <a:ext cx="4671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32"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24510" cy="175260"/>
                      <wp:effectExtent l="0" t="0" r="0" b="0"/>
                      <wp:wrapNone/>
                      <wp:docPr id="33" name="Frame3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5095" cy="175260"/>
                      <wp:effectExtent l="0" t="0" r="0" b="0"/>
                      <wp:wrapNone/>
                      <wp:docPr id="35" name="Frame35"/>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95630" cy="175260"/>
                      <wp:effectExtent l="0" t="0" r="0" b="0"/>
                      <wp:wrapNone/>
                      <wp:docPr id="36" name="Frame36"/>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11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5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7"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pPr>
            <w:r>
              <w:rPr/>
              <w:t>  ​</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investment in sales-type leases ($11,138 and $10,750 of allowances 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3,674,566</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3,563,675</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Ground Lease receivables, net ($5,134 and $4,872 of allowances as of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2,130,999</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2,003,931</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7"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pPr>
            <w:r>
              <w:rPr/>
              <w:t>  ​</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 at cost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743,822</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740,971</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 accumulated depreciation</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(55,321)</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(52,222)</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688,501</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688,749</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Real estate-related intangible assets, net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202,247</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204,016</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 estate available and held for sale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2,028</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real estate, net and real estate-related intangible assets, net and real estate available and held for sale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890,748</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894,793</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receivable, net ($492 and $328 of allowances as of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64,986</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46,088</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Loans receivable, net - related party ($2,275 and $2,223 of allowances 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112,550</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112,556</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Equity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291,766</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280,850</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15,922</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21,705</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10,182</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9,031</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asset,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3,271</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3,516</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operating lease income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256,107</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241,100</w:t>
            </w:r>
          </w:p>
        </w:tc>
      </w:tr>
      <w:tr>
        <w:trPr/>
        <w:tc>
          <w:tcPr>
            <w:tcW w:w="735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Deferred expenses and other assets, net</w:t>
            </w:r>
            <w:r>
              <w:rPr>
                <w:rFonts w:ascii="Times New Roman;Times;serif" w:hAnsi="Times New Roman;Times;serif"/>
                <w:sz w:val="12"/>
              </w:rPr>
              <w:t>(2)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68,927</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72,030</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7,520,024</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7,249,275</w:t>
            </w:r>
          </w:p>
        </w:tc>
      </w:tr>
      <w:tr>
        <w:trPr/>
        <w:tc>
          <w:tcPr>
            <w:tcW w:w="73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 AND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pPr>
            <w:r>
              <w:rPr/>
              <w:t>  ​</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pPr>
            <w:r>
              <w:rPr/>
              <w:t>  ​</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 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171,591</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161,420</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Real estate-related intangible liabilities, net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61,673</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62,089</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Debt obligations,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4,653,713</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4,585,887</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4,886,977</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4,809,396</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 (refer to Note 11)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pPr>
            <w:r>
              <w:rPr/>
              <w:t>  ​</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Redeemable noncontrolling interests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pPr>
            <w:r>
              <w:rPr/>
              <w:t>—</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pPr>
            <w:r>
              <w:rPr/>
              <w:t>  ​</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Safehold Inc.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pPr>
            <w:r>
              <w:rPr/>
              <w:t>  ​</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Common stock, $0.01</w:t>
            </w:r>
            <w:r>
              <w:rPr>
                <w:rFonts w:ascii="Times New Roman;Times;serif" w:hAnsi="Times New Roman;Times;serif"/>
                <w:sz w:val="20"/>
              </w:rPr>
              <w:t xml:space="preserve"> </w:t>
            </w:r>
            <w:r>
              <w:rPr>
                <w:rFonts w:ascii="Times New Roman;Times;serif" w:hAnsi="Times New Roman;Times;serif"/>
                <w:sz w:val="16"/>
              </w:rPr>
              <w:t>par value, 400,000</w:t>
            </w:r>
            <w:r>
              <w:rPr>
                <w:rFonts w:ascii="Times New Roman;Times;serif" w:hAnsi="Times New Roman;Times;serif"/>
                <w:sz w:val="20"/>
              </w:rPr>
              <w:t xml:space="preserve"> </w:t>
            </w:r>
            <w:r>
              <w:rPr>
                <w:rFonts w:ascii="Times New Roman;Times;serif" w:hAnsi="Times New Roman;Times;serif"/>
                <w:sz w:val="16"/>
              </w:rPr>
              <w:t>shares authorized, 71,057</w:t>
            </w:r>
            <w:r>
              <w:rPr>
                <w:rFonts w:ascii="Times New Roman;Times;serif" w:hAnsi="Times New Roman;Times;serif"/>
                <w:sz w:val="20"/>
              </w:rPr>
              <w:t xml:space="preserve"> </w:t>
            </w:r>
            <w:r>
              <w:rPr>
                <w:rFonts w:ascii="Times New Roman;Times;serif" w:hAnsi="Times New Roman;Times;serif"/>
                <w:sz w:val="16"/>
              </w:rPr>
              <w:t>and 71,756</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711</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2,187,162</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93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2,199,265</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Retained earnings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199,294</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165,737</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51,979</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42,592</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Safehold Inc. shareholders'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2,439,146</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93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2,408,311</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193,101</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31,568</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2,632,247</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2,439,879</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7,520,024</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7,249,275</w:t>
            </w:r>
          </w:p>
        </w:tc>
      </w:tr>
    </w:tbl>
    <w:tbl>
      <w:tblPr>
        <w:tblW w:w="6887" w:type="dxa"/>
        <w:jc w:val="left"/>
        <w:tblInd w:w="0" w:type="dxa"/>
        <w:tblLayout w:type="fixed"/>
        <w:tblCellMar>
          <w:top w:w="0" w:type="dxa"/>
          <w:left w:w="0" w:type="dxa"/>
          <w:bottom w:w="0" w:type="dxa"/>
          <w:right w:w="0" w:type="dxa"/>
        </w:tblCellMar>
      </w:tblPr>
      <w:tblGrid>
        <w:gridCol w:w="331"/>
        <w:gridCol w:w="655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Refer to Note 2 for details on the Company’s consolidated variable interest entities (“VIEs”).</w:t>
            </w:r>
          </w:p>
        </w:tc>
      </w:tr>
    </w:tbl>
    <w:tbl>
      <w:tblPr>
        <w:tblW w:w="9107" w:type="dxa"/>
        <w:jc w:val="left"/>
        <w:tblInd w:w="0" w:type="dxa"/>
        <w:tblLayout w:type="fixed"/>
        <w:tblCellMar>
          <w:top w:w="0" w:type="dxa"/>
          <w:left w:w="0" w:type="dxa"/>
          <w:bottom w:w="0" w:type="dxa"/>
          <w:right w:w="0" w:type="dxa"/>
        </w:tblCellMar>
      </w:tblPr>
      <w:tblGrid>
        <w:gridCol w:w="331"/>
        <w:gridCol w:w="877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87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and December 31, 2025, includes $2.5</w:t>
            </w:r>
            <w:r>
              <w:rPr>
                <w:caps w:val="false"/>
                <w:smallCaps w:val="false"/>
              </w:rPr>
              <w:t xml:space="preserve"> </w:t>
            </w:r>
            <w:r>
              <w:rPr>
                <w:rFonts w:ascii="Times New Roman;Times;serif" w:hAnsi="Times New Roman;Times;serif"/>
                <w:b w:val="false"/>
                <w:i w:val="false"/>
                <w:caps w:val="false"/>
                <w:smallCaps w:val="false"/>
                <w:sz w:val="16"/>
              </w:rPr>
              <w:t>million and $3.0</w:t>
            </w:r>
            <w:r>
              <w:rPr>
                <w:caps w:val="false"/>
                <w:smallCaps w:val="false"/>
              </w:rPr>
              <w:t> </w:t>
            </w:r>
            <w:r>
              <w:rPr>
                <w:rFonts w:ascii="Times New Roman;Times;serif" w:hAnsi="Times New Roman;Times;serif"/>
                <w:b w:val="false"/>
                <w:i w:val="false"/>
                <w:caps w:val="false"/>
                <w:smallCaps w:val="false"/>
                <w:sz w:val="16"/>
              </w:rPr>
              <w:t>million, respectively, due from related parties.</w:t>
            </w:r>
          </w:p>
        </w:tc>
      </w:tr>
    </w:tbl>
    <w:p>
      <w:pPr>
        <w:pStyle w:val="TextBody"/>
        <w:bidi w:val="0"/>
        <w:spacing w:before="0" w:after="240"/>
        <w:ind w:left="0" w:right="0" w:firstLine="72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0" w:name="_857cb75e_3da4_4117_afc1_06f8206eefe3"/>
      <w:bookmarkEnd w:id="150"/>
      <w:r>
        <w:rPr>
          <w:rFonts w:ascii="Times New Roman;Times;serif" w:hAnsi="Times New Roman;Times;serif"/>
          <w:b/>
          <w:sz w:val="20"/>
        </w:rPr>
        <w:t>Safehold Inc.</w:t>
      </w:r>
    </w:p>
    <w:p>
      <w:pPr>
        <w:pStyle w:val="TextBody"/>
        <w:bidi w:val="0"/>
        <w:spacing w:before="0" w:after="0"/>
        <w:ind w:left="0" w:right="0" w:hanging="0"/>
        <w:jc w:val="center"/>
        <w:rPr>
          <w:rFonts w:ascii="Times New Roman;Times;serif" w:hAnsi="Times New Roman;Times;serif"/>
          <w:b/>
          <w:sz w:val="20"/>
        </w:rPr>
      </w:pPr>
      <w:bookmarkStart w:id="151" w:name="StatementOfOperations"/>
      <w:bookmarkEnd w:id="151"/>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2" w:name="Tc_9XxN-8xVnUO5exRg3vC3zQ_34_0"/>
      <w:bookmarkStart w:id="153" w:name="Tc_4awwvyYdRkqLyDOp2tNPVg_33_0"/>
      <w:bookmarkStart w:id="154" w:name="Tc_zuwmMucF_EaAk_3oDpgzLQ_32_0"/>
      <w:bookmarkStart w:id="155" w:name="Tc_i7f_XFmsi0WlxtrXR52W_A_31_11"/>
      <w:bookmarkStart w:id="156" w:name="Tc_eP7qxinTA0OE8bvGexMtGQ_31_8"/>
      <w:bookmarkStart w:id="157" w:name="Tc_sMctQpCHlkywYv0SQSa21A_31_5"/>
      <w:bookmarkStart w:id="158" w:name="Tc_Ywr-N5r4ckyXXpj4I_qogw_31_2"/>
      <w:bookmarkStart w:id="159" w:name="Tc_8ALijkk5gUWVV0SNATicqw_31_0"/>
      <w:bookmarkStart w:id="160" w:name="Tc_0sW4wFWaqEa_4ri34Nl8Zg_30_11"/>
      <w:bookmarkStart w:id="161" w:name="Tc_OGiFPsnx5kywj9hFtKwX0g_30_8"/>
      <w:bookmarkStart w:id="162" w:name="Tc_sMwME9PQCEW11UygK-i7ZQ_30_5"/>
      <w:bookmarkStart w:id="163" w:name="Tc_nJBDPnSjJUqSLnZYkW92CQ_30_2"/>
      <w:bookmarkStart w:id="164" w:name="Tc_k-QucGtZiESVv77BGwz__Q_30_0"/>
      <w:bookmarkStart w:id="165" w:name="Tc_7c7iya5WEEGKJ1X6QAoQtQ_29_0"/>
      <w:bookmarkStart w:id="166" w:name="Tc_FZWPvLhFpEO52DWlO2PtVQ_28_0"/>
      <w:bookmarkStart w:id="167" w:name="Tc_gKvfdUXedk-2kZ_BXST0zw_26_11"/>
      <w:bookmarkStart w:id="168" w:name="Tc_MEMyx8nVzk2oCKNxjZW38A_26_8"/>
      <w:bookmarkStart w:id="169" w:name="Tc_Almb6M7LUk61DNjoepOAqw_26_5"/>
      <w:bookmarkStart w:id="170" w:name="Tc_-H5vMwS3DEu_haezUQoaug_26_2"/>
      <w:bookmarkStart w:id="171" w:name="Tc__k3wt1Vt00yTn9IIepjsxQ_26_0"/>
      <w:bookmarkStart w:id="172" w:name="Tc_6qSDYVRpMUKhDTI3xsJ0Zw_25_0"/>
      <w:bookmarkStart w:id="173" w:name="Tc_Gr3-KaJ5AEyJFqf0j8kJIA_24_0"/>
      <w:bookmarkStart w:id="174" w:name="Tc_Tr2qSD3TSEaZSVTKyZhcuw_23_0"/>
      <w:bookmarkStart w:id="175" w:name="Tc_5BGJE8QsM0uMd-JKf-GXHQ_22_0"/>
      <w:bookmarkStart w:id="176" w:name="Tc_OKgGT_xkDUCUs0aLVwXAiw_21_0"/>
      <w:bookmarkStart w:id="177" w:name="Tc_0YaFXtmWhkWDEhwFV0FKpA_20_0"/>
      <w:bookmarkStart w:id="178" w:name="Tc_8EYT7WsRjk6FssPgRFZHYw_19_0"/>
      <w:bookmarkStart w:id="179" w:name="Tc_c_XUpcVlOk68jUJPAR1ZHg_18_0"/>
      <w:bookmarkStart w:id="180" w:name="Tc_X_xnkwO0t0W32BqEGITvcg_17_0"/>
      <w:bookmarkStart w:id="181" w:name="Tc_Hodn6C8sw0CDzmLpa63Baw_16_0"/>
      <w:bookmarkStart w:id="182" w:name="Tc_Iuld5Xa3Bke0g8owrvGecg_15_0"/>
      <w:bookmarkStart w:id="183" w:name="Tc__l7ZIr8FaEuS4-KXD4ne-w_14_0"/>
      <w:bookmarkStart w:id="184" w:name="Tc_hhP2Ss6sDU-l9okIM505Gw_13_12"/>
      <w:bookmarkStart w:id="185" w:name="Tc_olpaITCUyEueiEXmpOZ-xg_13_6"/>
      <w:bookmarkStart w:id="186" w:name="Tc_QkBIwYtQiESijB_YebyNBg_13_0"/>
      <w:bookmarkStart w:id="187" w:name="Tc_czjUDZHq20iVEDqFjH6NAA_12_0"/>
      <w:bookmarkStart w:id="188" w:name="Tc_h2R5ltc1WEuUMYnaUf1JVg_11_0"/>
      <w:bookmarkStart w:id="189" w:name="Tc_JVPB-2-mgEaIDQGig4Ikdg_10_0"/>
      <w:bookmarkStart w:id="190" w:name="Tc_GLmZDb53skaYk7mvVSmmLA_9_0"/>
      <w:bookmarkStart w:id="191" w:name="Tc_lcxShlY5E0GYKxdL3sPNcw_8_0"/>
      <w:bookmarkStart w:id="192" w:name="Tc_RdOwQdjhak6tvR7nkiT31w_7_12"/>
      <w:bookmarkStart w:id="193" w:name="Tc_74NVSP7dWkGKDKLFCph3uw_7_6"/>
      <w:bookmarkStart w:id="194" w:name="Tc_m0txUgv1B0WxcSEiNuRADg_7_0"/>
      <w:bookmarkStart w:id="195" w:name="Tc_XAtAouqIb0-88krPZ6C2hA_6_0"/>
      <w:bookmarkStart w:id="196" w:name="Tc_D1GfDgk-6kGf7sNgYQXB2Q_5_11"/>
      <w:bookmarkStart w:id="197" w:name="Tc_uMWk14qHEkiHj0cuqMsGpA_5_8"/>
      <w:bookmarkStart w:id="198" w:name="Tc_lmWm3ofngU2vUCkiNod_8A_5_5"/>
      <w:bookmarkStart w:id="199" w:name="Tc_h_XwywKgp0mdtZtem13lag_5_2"/>
      <w:bookmarkStart w:id="200" w:name="Tc_lEiNDqkSnECz-blABqy-BA_5_0"/>
      <w:bookmarkStart w:id="201" w:name="Tc_2mXxYOcZMUyMN4Ixpkv2cw_4_0"/>
      <w:bookmarkStart w:id="202" w:name="Tc_4zuIfPd-z02vF6PNGv6c8w_3_11"/>
      <w:bookmarkStart w:id="203" w:name="Tc_6hDNb1aTQUSvMb0mZemvuA_3_8"/>
      <w:bookmarkStart w:id="204" w:name="Tc_rBQk6tEJ8k2rbSDjTk-eSQ_3_5"/>
      <w:bookmarkStart w:id="205" w:name="Tc_bz_xEJ8Dz0S8ymXEGUC9hg_3_2"/>
      <w:bookmarkStart w:id="206" w:name="Tc_2sYeLniO20O3bzuFAofiQw_2_8"/>
      <w:bookmarkStart w:id="207" w:name="Tc_vFOyKotuXU67-GRnt26Jqw_2_2"/>
      <w:bookmarkStart w:id="208" w:name="Tc_3grMV4jiiUanS-MEQUz05g_1_8"/>
      <w:bookmarkStart w:id="209" w:name="Tc_a_nKyFVBu0W3HM39bCjstQ_1_2"/>
      <w:bookmarkStart w:id="210" w:name="_8946b13f_a460_434f_a22f_ea4ee75a4a1b"/>
      <w:bookmarkStart w:id="211" w:name="_d8300f18_15c8_46ff_b9d9_67a5bce4299d"/>
      <w:bookmarkStart w:id="212" w:name="Tc_9XxN-8xVnUO5exRg3vC3zQ_34_0"/>
      <w:bookmarkStart w:id="213" w:name="Tc_4awwvyYdRkqLyDOp2tNPVg_33_0"/>
      <w:bookmarkStart w:id="214" w:name="Tc_zuwmMucF_EaAk_3oDpgzLQ_32_0"/>
      <w:bookmarkStart w:id="215" w:name="Tc_i7f_XFmsi0WlxtrXR52W_A_31_11"/>
      <w:bookmarkStart w:id="216" w:name="Tc_eP7qxinTA0OE8bvGexMtGQ_31_8"/>
      <w:bookmarkStart w:id="217" w:name="Tc_sMctQpCHlkywYv0SQSa21A_31_5"/>
      <w:bookmarkStart w:id="218" w:name="Tc_Ywr-N5r4ckyXXpj4I_qogw_31_2"/>
      <w:bookmarkStart w:id="219" w:name="Tc_8ALijkk5gUWVV0SNATicqw_31_0"/>
      <w:bookmarkStart w:id="220" w:name="Tc_0sW4wFWaqEa_4ri34Nl8Zg_30_11"/>
      <w:bookmarkStart w:id="221" w:name="Tc_OGiFPsnx5kywj9hFtKwX0g_30_8"/>
      <w:bookmarkStart w:id="222" w:name="Tc_sMwME9PQCEW11UygK-i7ZQ_30_5"/>
      <w:bookmarkStart w:id="223" w:name="Tc_nJBDPnSjJUqSLnZYkW92CQ_30_2"/>
      <w:bookmarkStart w:id="224" w:name="Tc_k-QucGtZiESVv77BGwz__Q_30_0"/>
      <w:bookmarkStart w:id="225" w:name="Tc_7c7iya5WEEGKJ1X6QAoQtQ_29_0"/>
      <w:bookmarkStart w:id="226" w:name="Tc_FZWPvLhFpEO52DWlO2PtVQ_28_0"/>
      <w:bookmarkStart w:id="227" w:name="Tc_gKvfdUXedk-2kZ_BXST0zw_26_11"/>
      <w:bookmarkStart w:id="228" w:name="Tc_MEMyx8nVzk2oCKNxjZW38A_26_8"/>
      <w:bookmarkStart w:id="229" w:name="Tc_Almb6M7LUk61DNjoepOAqw_26_5"/>
      <w:bookmarkStart w:id="230" w:name="Tc_-H5vMwS3DEu_haezUQoaug_26_2"/>
      <w:bookmarkStart w:id="231" w:name="Tc__k3wt1Vt00yTn9IIepjsxQ_26_0"/>
      <w:bookmarkStart w:id="232" w:name="Tc_6qSDYVRpMUKhDTI3xsJ0Zw_25_0"/>
      <w:bookmarkStart w:id="233" w:name="Tc_Gr3-KaJ5AEyJFqf0j8kJIA_24_0"/>
      <w:bookmarkStart w:id="234" w:name="Tc_Tr2qSD3TSEaZSVTKyZhcuw_23_0"/>
      <w:bookmarkStart w:id="235" w:name="Tc_5BGJE8QsM0uMd-JKf-GXHQ_22_0"/>
      <w:bookmarkStart w:id="236" w:name="Tc_OKgGT_xkDUCUs0aLVwXAiw_21_0"/>
      <w:bookmarkStart w:id="237" w:name="Tc_0YaFXtmWhkWDEhwFV0FKpA_20_0"/>
      <w:bookmarkStart w:id="238" w:name="Tc_8EYT7WsRjk6FssPgRFZHYw_19_0"/>
      <w:bookmarkStart w:id="239" w:name="Tc_c_XUpcVlOk68jUJPAR1ZHg_18_0"/>
      <w:bookmarkStart w:id="240" w:name="Tc_X_xnkwO0t0W32BqEGITvcg_17_0"/>
      <w:bookmarkStart w:id="241" w:name="Tc_Hodn6C8sw0CDzmLpa63Baw_16_0"/>
      <w:bookmarkStart w:id="242" w:name="Tc_Iuld5Xa3Bke0g8owrvGecg_15_0"/>
      <w:bookmarkStart w:id="243" w:name="Tc__l7ZIr8FaEuS4-KXD4ne-w_14_0"/>
      <w:bookmarkStart w:id="244" w:name="Tc_hhP2Ss6sDU-l9okIM505Gw_13_12"/>
      <w:bookmarkStart w:id="245" w:name="Tc_olpaITCUyEueiEXmpOZ-xg_13_6"/>
      <w:bookmarkStart w:id="246" w:name="Tc_QkBIwYtQiESijB_YebyNBg_13_0"/>
      <w:bookmarkStart w:id="247" w:name="Tc_czjUDZHq20iVEDqFjH6NAA_12_0"/>
      <w:bookmarkStart w:id="248" w:name="Tc_h2R5ltc1WEuUMYnaUf1JVg_11_0"/>
      <w:bookmarkStart w:id="249" w:name="Tc_JVPB-2-mgEaIDQGig4Ikdg_10_0"/>
      <w:bookmarkStart w:id="250" w:name="Tc_GLmZDb53skaYk7mvVSmmLA_9_0"/>
      <w:bookmarkStart w:id="251" w:name="Tc_lcxShlY5E0GYKxdL3sPNcw_8_0"/>
      <w:bookmarkStart w:id="252" w:name="Tc_RdOwQdjhak6tvR7nkiT31w_7_12"/>
      <w:bookmarkStart w:id="253" w:name="Tc_74NVSP7dWkGKDKLFCph3uw_7_6"/>
      <w:bookmarkStart w:id="254" w:name="Tc_m0txUgv1B0WxcSEiNuRADg_7_0"/>
      <w:bookmarkStart w:id="255" w:name="Tc_XAtAouqIb0-88krPZ6C2hA_6_0"/>
      <w:bookmarkStart w:id="256" w:name="Tc_D1GfDgk-6kGf7sNgYQXB2Q_5_11"/>
      <w:bookmarkStart w:id="257" w:name="Tc_uMWk14qHEkiHj0cuqMsGpA_5_8"/>
      <w:bookmarkStart w:id="258" w:name="Tc_lmWm3ofngU2vUCkiNod_8A_5_5"/>
      <w:bookmarkStart w:id="259" w:name="Tc_h_XwywKgp0mdtZtem13lag_5_2"/>
      <w:bookmarkStart w:id="260" w:name="Tc_lEiNDqkSnECz-blABqy-BA_5_0"/>
      <w:bookmarkStart w:id="261" w:name="Tc_2mXxYOcZMUyMN4Ixpkv2cw_4_0"/>
      <w:bookmarkStart w:id="262" w:name="Tc_4zuIfPd-z02vF6PNGv6c8w_3_11"/>
      <w:bookmarkStart w:id="263" w:name="Tc_6hDNb1aTQUSvMb0mZemvuA_3_8"/>
      <w:bookmarkStart w:id="264" w:name="Tc_rBQk6tEJ8k2rbSDjTk-eSQ_3_5"/>
      <w:bookmarkStart w:id="265" w:name="Tc_bz_xEJ8Dz0S8ymXEGUC9hg_3_2"/>
      <w:bookmarkStart w:id="266" w:name="Tc_2sYeLniO20O3bzuFAofiQw_2_8"/>
      <w:bookmarkStart w:id="267" w:name="Tc_vFOyKotuXU67-GRnt26Jqw_2_2"/>
      <w:bookmarkStart w:id="268" w:name="Tc_3grMV4jiiUanS-MEQUz05g_1_8"/>
      <w:bookmarkStart w:id="269" w:name="Tc_a_nKyFVBu0W3HM39bCjstQ_1_2"/>
      <w:bookmarkStart w:id="270" w:name="_8946b13f_a460_434f_a22f_ea4ee75a4a1b"/>
      <w:bookmarkStart w:id="271" w:name="_d8300f18_15c8_46ff_b9d9_67a5bce4299d"/>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tbl>
      <w:tblPr>
        <w:tblW w:w="10205" w:type="dxa"/>
        <w:jc w:val="left"/>
        <w:tblInd w:w="0" w:type="dxa"/>
        <w:tblLayout w:type="fixed"/>
        <w:tblCellMar>
          <w:top w:w="0" w:type="dxa"/>
          <w:left w:w="0" w:type="dxa"/>
          <w:bottom w:w="0" w:type="dxa"/>
          <w:right w:w="0" w:type="dxa"/>
        </w:tblCellMar>
      </w:tblPr>
      <w:tblGrid>
        <w:gridCol w:w="4905"/>
        <w:gridCol w:w="346"/>
        <w:gridCol w:w="211"/>
        <w:gridCol w:w="783"/>
        <w:gridCol w:w="346"/>
        <w:gridCol w:w="211"/>
        <w:gridCol w:w="678"/>
        <w:gridCol w:w="346"/>
        <w:gridCol w:w="211"/>
        <w:gridCol w:w="781"/>
        <w:gridCol w:w="346"/>
        <w:gridCol w:w="211"/>
        <w:gridCol w:w="830"/>
      </w:tblGrid>
      <w:tr>
        <w:trPr/>
        <w:tc>
          <w:tcPr>
            <w:tcW w:w="4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114675" cy="175260"/>
                      <wp:effectExtent l="0" t="0" r="0" b="0"/>
                      <wp:wrapNone/>
                      <wp:docPr id="37" name="Frame37"/>
                      <a:graphic xmlns:a="http://schemas.openxmlformats.org/drawingml/2006/main">
                        <a:graphicData uri="http://schemas.microsoft.com/office/word/2010/wordprocessingShape">
                          <wps:wsp>
                            <wps:cNvSpPr txBox="1"/>
                            <wps:spPr>
                              <a:xfrm>
                                <a:off x="0" y="0"/>
                                <a:ext cx="3114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97205" cy="175260"/>
                      <wp:effectExtent l="0" t="0" r="0" b="0"/>
                      <wp:wrapNone/>
                      <wp:docPr id="40" name="Frame40"/>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30530" cy="175260"/>
                      <wp:effectExtent l="0" t="0" r="0" b="0"/>
                      <wp:wrapNone/>
                      <wp:docPr id="43" name="Frame43"/>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95935" cy="175260"/>
                      <wp:effectExtent l="0" t="0" r="0" b="0"/>
                      <wp:wrapNone/>
                      <wp:docPr id="46" name="Frame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27050" cy="175260"/>
                      <wp:effectExtent l="0" t="0" r="0" b="0"/>
                      <wp:wrapNone/>
                      <wp:docPr id="49" name="Frame49"/>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2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1"/>
              <w:ind w:left="0" w:right="0" w:hanging="0"/>
              <w:jc w:val="center"/>
              <w:rPr/>
            </w:pPr>
            <w:r>
              <w:rPr/>
              <w:t>​</w:t>
            </w:r>
          </w:p>
        </w:tc>
        <w:tc>
          <w:tcPr>
            <w:tcW w:w="237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49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2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37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9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pPr>
            <w:r>
              <w:rPr/>
              <w:t>  ​</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sales-type leases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151,936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140,306</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38,088</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revenues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25,801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pPr>
            <w:r>
              <w:rPr/>
              <w:t>—</w:t>
            </w:r>
          </w:p>
        </w:tc>
      </w:tr>
      <w:tr>
        <w:trPr/>
        <w:tc>
          <w:tcPr>
            <w:tcW w:w="490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Interest income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5,045</w:t>
            </w:r>
          </w:p>
        </w:tc>
      </w:tr>
      <w:tr>
        <w:trPr/>
        <w:tc>
          <w:tcPr>
            <w:tcW w:w="4905"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income</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8,080</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225,500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191,519</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  ​</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101,691</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pPr>
            <w:r>
              <w:rPr/>
              <w:t>—</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4,323</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27,086</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4,646</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2,514</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86,390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142,299</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 before other items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49,220</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(losses) from equity method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9,904</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59,124</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57,379</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57,311</w:t>
            </w:r>
          </w:p>
        </w:tc>
      </w:tr>
      <w:tr>
        <w:trPr/>
        <w:tc>
          <w:tcPr>
            <w:tcW w:w="49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left"/>
              <w:rPr/>
            </w:pPr>
            <w:r>
              <w:rPr/>
              <w:t>​</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pPr>
            <w:r>
              <w:rPr/>
              <w:t>  ​</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  ​</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0.80</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0.80</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49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71,631</w:t>
            </w:r>
          </w:p>
        </w:tc>
      </w:tr>
      <w:tr>
        <w:trPr/>
        <w:tc>
          <w:tcPr>
            <w:tcW w:w="49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71,718</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For the three months ended June 30, 2026 and 2025, includes $2.3</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and $2.4</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respectively, of interest income from related parties. For the six months ended June 30, 2026 and 2025, includes $4.7</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and $4.7</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respectively, of interest income from related parties.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For the three months ended June 30, 2026 and 2025, includes $1.9</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and $2.7</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respectively, of management fees from related parties. For the six months ended June 30, 2026 and 2025, includes $4.0</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million and $6.3</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 xml:space="preserve">million, respectively, of management fees from related parties. </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2" w:name="_50364a38_917b_47f5_a885_44590f43e470"/>
      <w:bookmarkEnd w:id="272"/>
      <w:r>
        <w:rPr>
          <w:rFonts w:ascii="Times New Roman;Times;serif" w:hAnsi="Times New Roman;Times;serif"/>
          <w:b/>
          <w:sz w:val="20"/>
        </w:rPr>
        <w:t>Safehold Inc.</w:t>
      </w:r>
    </w:p>
    <w:p>
      <w:pPr>
        <w:pStyle w:val="TextBody"/>
        <w:bidi w:val="0"/>
        <w:spacing w:before="0" w:after="0"/>
        <w:ind w:left="0" w:right="0" w:hanging="0"/>
        <w:jc w:val="center"/>
        <w:rPr>
          <w:rFonts w:ascii="Times New Roman;Times;serif" w:hAnsi="Times New Roman;Times;serif"/>
          <w:sz w:val="20"/>
        </w:rPr>
      </w:pPr>
      <w:bookmarkStart w:id="273" w:name="ConsolidatedStatementsofComprehensiveInc"/>
      <w:bookmarkEnd w:id="273"/>
      <w:r>
        <w:rPr>
          <w:rFonts w:ascii="Times New Roman;Times;serif" w:hAnsi="Times New Roman;Times;serif"/>
          <w:b/>
          <w:sz w:val="20"/>
        </w:rPr>
        <w:t>Consolidated Statements of Comprehensive Income</w:t>
      </w:r>
      <w:r>
        <w:rPr>
          <w:rFonts w:ascii="Times New Roman;Times;serif" w:hAnsi="Times New Roman;Times;serif"/>
          <w:sz w:val="20"/>
        </w:rPr>
        <w:t xml:space="preserve"> </w:t>
      </w:r>
      <w:r>
        <w:rPr>
          <w:rFonts w:ascii="Times New Roman;Times;serif" w:hAnsi="Times New Roman;Times;serif"/>
          <w:b/>
          <w:sz w:val="20"/>
        </w:rPr>
        <w:t>(Loss)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74" w:name="Tc_LUKbWRR0aEqkMV6ufwKZKw_11_11"/>
      <w:bookmarkStart w:id="275" w:name="Tc_Qm2htrnDEE63fIBEQzJCUg_11_8"/>
      <w:bookmarkStart w:id="276" w:name="Tc_4KjswJF1-0qmpeAAqpqczw_11_5"/>
      <w:bookmarkStart w:id="277" w:name="Tc_hJClnsLZ6UGyRG5MHsbdag_11_2"/>
      <w:bookmarkStart w:id="278" w:name="Tc_4d6qRuwZYECdqyWq5igm2Q_11_0"/>
      <w:bookmarkStart w:id="279" w:name="Tc_wu1QXPyhmEuFLaDilekPww_10_0"/>
      <w:bookmarkStart w:id="280" w:name="Tc_yJRm7lJuz0CiBQFcURayQw_9_0"/>
      <w:bookmarkStart w:id="281" w:name="Tc_8AbOWP5fj0iarqq8UHxr2Q_8_0"/>
      <w:bookmarkStart w:id="282" w:name="Tc_-oBGk8_TrEGD5l6D0PGCkg_7_0"/>
      <w:bookmarkStart w:id="283" w:name="Tc_C22IVfvF4EmfJ-x8dsd2IQ_6_0"/>
      <w:bookmarkStart w:id="284" w:name="Tc_RdIURfvf6UCqobwrVJddLw_5_0"/>
      <w:bookmarkStart w:id="285" w:name="Tc_xYVVEYpugU-pONTBFxsuZg_4_11"/>
      <w:bookmarkStart w:id="286" w:name="Tc_t4KMM-jHekutk5AdmbMoqA_4_8"/>
      <w:bookmarkStart w:id="287" w:name="Tc_Szlex4KS5Eyf_OfIBnRfjQ_4_5"/>
      <w:bookmarkStart w:id="288" w:name="Tc_TtHOnsfmqk2rGiUtQSix3A_4_2"/>
      <w:bookmarkStart w:id="289" w:name="Tc_lOzuzwjg_EylJ1F5-EF_vQ_4_0"/>
      <w:bookmarkStart w:id="290" w:name="Tc_h15ZKMaiPkygzj6igI3NFA_3_11"/>
      <w:bookmarkStart w:id="291" w:name="Tc_NPdMHFCHWUCAX-z1DipetQ_3_8"/>
      <w:bookmarkStart w:id="292" w:name="Tc_riv8B6QJEU6KcWyM2oaM1Q_3_5"/>
      <w:bookmarkStart w:id="293" w:name="Tc_1okndJ3_dUuYP6IUpAUFcQ_3_2"/>
      <w:bookmarkStart w:id="294" w:name="Tc_mtbw8yfu20OQ9E1zCah0NA_2_8"/>
      <w:bookmarkStart w:id="295" w:name="Tc_zdQvTN0d8E61d2SryZl5WA_2_2"/>
      <w:bookmarkStart w:id="296" w:name="Tc_RCVAI_kvvEOWqFEtyCM1og_1_8"/>
      <w:bookmarkStart w:id="297" w:name="Tc_wD7LbhBEX0KrFG3UKOyXdA_1_2"/>
      <w:bookmarkStart w:id="298" w:name="_7a34329e_3324_449f_9c39_25148e8dafea"/>
      <w:bookmarkStart w:id="299" w:name="Tc_LUKbWRR0aEqkMV6ufwKZKw_11_11"/>
      <w:bookmarkStart w:id="300" w:name="Tc_Qm2htrnDEE63fIBEQzJCUg_11_8"/>
      <w:bookmarkStart w:id="301" w:name="Tc_4KjswJF1-0qmpeAAqpqczw_11_5"/>
      <w:bookmarkStart w:id="302" w:name="Tc_hJClnsLZ6UGyRG5MHsbdag_11_2"/>
      <w:bookmarkStart w:id="303" w:name="Tc_4d6qRuwZYECdqyWq5igm2Q_11_0"/>
      <w:bookmarkStart w:id="304" w:name="Tc_wu1QXPyhmEuFLaDilekPww_10_0"/>
      <w:bookmarkStart w:id="305" w:name="Tc_yJRm7lJuz0CiBQFcURayQw_9_0"/>
      <w:bookmarkStart w:id="306" w:name="Tc_8AbOWP5fj0iarqq8UHxr2Q_8_0"/>
      <w:bookmarkStart w:id="307" w:name="Tc_-oBGk8_TrEGD5l6D0PGCkg_7_0"/>
      <w:bookmarkStart w:id="308" w:name="Tc_C22IVfvF4EmfJ-x8dsd2IQ_6_0"/>
      <w:bookmarkStart w:id="309" w:name="Tc_RdIURfvf6UCqobwrVJddLw_5_0"/>
      <w:bookmarkStart w:id="310" w:name="Tc_xYVVEYpugU-pONTBFxsuZg_4_11"/>
      <w:bookmarkStart w:id="311" w:name="Tc_t4KMM-jHekutk5AdmbMoqA_4_8"/>
      <w:bookmarkStart w:id="312" w:name="Tc_Szlex4KS5Eyf_OfIBnRfjQ_4_5"/>
      <w:bookmarkStart w:id="313" w:name="Tc_TtHOnsfmqk2rGiUtQSix3A_4_2"/>
      <w:bookmarkStart w:id="314" w:name="Tc_lOzuzwjg_EylJ1F5-EF_vQ_4_0"/>
      <w:bookmarkStart w:id="315" w:name="Tc_h15ZKMaiPkygzj6igI3NFA_3_11"/>
      <w:bookmarkStart w:id="316" w:name="Tc_NPdMHFCHWUCAX-z1DipetQ_3_8"/>
      <w:bookmarkStart w:id="317" w:name="Tc_riv8B6QJEU6KcWyM2oaM1Q_3_5"/>
      <w:bookmarkStart w:id="318" w:name="Tc_1okndJ3_dUuYP6IUpAUFcQ_3_2"/>
      <w:bookmarkStart w:id="319" w:name="Tc_mtbw8yfu20OQ9E1zCah0NA_2_8"/>
      <w:bookmarkStart w:id="320" w:name="Tc_zdQvTN0d8E61d2SryZl5WA_2_2"/>
      <w:bookmarkStart w:id="321" w:name="Tc_RCVAI_kvvEOWqFEtyCM1og_1_8"/>
      <w:bookmarkStart w:id="322" w:name="Tc_wD7LbhBEX0KrFG3UKOyXdA_1_2"/>
      <w:bookmarkStart w:id="323" w:name="_7a34329e_3324_449f_9c39_25148e8dafea"/>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tbl>
      <w:tblPr>
        <w:tblW w:w="10205" w:type="dxa"/>
        <w:jc w:val="left"/>
        <w:tblInd w:w="0" w:type="dxa"/>
        <w:tblLayout w:type="fixed"/>
        <w:tblCellMar>
          <w:top w:w="0" w:type="dxa"/>
          <w:left w:w="0" w:type="dxa"/>
          <w:bottom w:w="0" w:type="dxa"/>
          <w:right w:w="0" w:type="dxa"/>
        </w:tblCellMar>
      </w:tblPr>
      <w:tblGrid>
        <w:gridCol w:w="5072"/>
        <w:gridCol w:w="346"/>
        <w:gridCol w:w="220"/>
        <w:gridCol w:w="706"/>
        <w:gridCol w:w="361"/>
        <w:gridCol w:w="220"/>
        <w:gridCol w:w="706"/>
        <w:gridCol w:w="346"/>
        <w:gridCol w:w="211"/>
        <w:gridCol w:w="676"/>
        <w:gridCol w:w="346"/>
        <w:gridCol w:w="211"/>
        <w:gridCol w:w="784"/>
      </w:tblGrid>
      <w:tr>
        <w:trPr/>
        <w:tc>
          <w:tcPr>
            <w:tcW w:w="5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220720" cy="175260"/>
                      <wp:effectExtent l="0" t="0" r="0" b="0"/>
                      <wp:wrapNone/>
                      <wp:docPr id="50" name="Frame50"/>
                      <a:graphic xmlns:a="http://schemas.openxmlformats.org/drawingml/2006/main">
                        <a:graphicData uri="http://schemas.microsoft.com/office/word/2010/wordprocessingShape">
                          <wps:wsp>
                            <wps:cNvSpPr txBox="1"/>
                            <wps:spPr>
                              <a:xfrm>
                                <a:off x="0" y="0"/>
                                <a:ext cx="3220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9700" cy="175260"/>
                      <wp:effectExtent l="0" t="0" r="0" b="0"/>
                      <wp:wrapNone/>
                      <wp:docPr id="52" name="Frame52"/>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48310" cy="175260"/>
                      <wp:effectExtent l="0" t="0" r="0" b="0"/>
                      <wp:wrapNone/>
                      <wp:docPr id="53" name="Frame5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29235" cy="175260"/>
                      <wp:effectExtent l="0" t="0" r="0" b="0"/>
                      <wp:wrapNone/>
                      <wp:docPr id="54" name="Frame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9700" cy="175260"/>
                      <wp:effectExtent l="0" t="0" r="0" b="0"/>
                      <wp:wrapNone/>
                      <wp:docPr id="55" name="Frame55"/>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48310" cy="175260"/>
                      <wp:effectExtent l="0" t="0" r="0" b="0"/>
                      <wp:wrapNone/>
                      <wp:docPr id="56" name="Frame5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9260" cy="175260"/>
                      <wp:effectExtent l="0" t="0" r="0" b="0"/>
                      <wp:wrapNone/>
                      <wp:docPr id="59" name="Frame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7840" cy="175260"/>
                      <wp:effectExtent l="0" t="0" r="0" b="0"/>
                      <wp:wrapNone/>
                      <wp:docPr id="62" name="Frame62"/>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1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center"/>
              <w:rPr/>
            </w:pPr>
            <w:r>
              <w:rPr/>
              <w:t>​</w:t>
            </w:r>
          </w:p>
        </w:tc>
        <w:tc>
          <w:tcPr>
            <w:tcW w:w="222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1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22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9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0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30,723</w:t>
            </w:r>
          </w:p>
        </w:tc>
        <w:tc>
          <w:tcPr>
            <w:tcW w:w="361"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57,379</w:t>
            </w:r>
          </w:p>
        </w:tc>
      </w:tr>
      <w:tr>
        <w:trPr/>
        <w:tc>
          <w:tcPr>
            <w:tcW w:w="507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pPr>
            <w:r>
              <w:rPr/>
              <w:t>  ​</w:t>
            </w:r>
          </w:p>
        </w:tc>
      </w:tr>
      <w:tr>
        <w:trPr/>
        <w:tc>
          <w:tcPr>
            <w:tcW w:w="50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on derivatives into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61"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50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derivatives</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4,255</w:t>
            </w:r>
          </w:p>
        </w:tc>
        <w:tc>
          <w:tcPr>
            <w:tcW w:w="361"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(6,213)</w:t>
            </w:r>
          </w:p>
        </w:tc>
      </w:tr>
      <w:tr>
        <w:trPr/>
        <w:tc>
          <w:tcPr>
            <w:tcW w:w="50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4,539</w:t>
            </w:r>
          </w:p>
        </w:tc>
        <w:tc>
          <w:tcPr>
            <w:tcW w:w="361"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(7,262)</w:t>
            </w:r>
          </w:p>
        </w:tc>
      </w:tr>
      <w:tr>
        <w:trPr/>
        <w:tc>
          <w:tcPr>
            <w:tcW w:w="50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35,262</w:t>
            </w:r>
          </w:p>
        </w:tc>
        <w:tc>
          <w:tcPr>
            <w:tcW w:w="361"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50,117</w:t>
            </w:r>
          </w:p>
        </w:tc>
      </w:tr>
      <w:tr>
        <w:trPr/>
        <w:tc>
          <w:tcPr>
            <w:tcW w:w="50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361"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50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Safehold Inc.</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34,694</w:t>
            </w:r>
          </w:p>
        </w:tc>
        <w:tc>
          <w:tcPr>
            <w:tcW w:w="361"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50,049</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240"/>
        <w:ind w:left="0" w:right="0" w:firstLine="72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hd w:fill="FFFFFF" w:val="clear"/>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Changes in Equity</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firstLine="720"/>
        <w:jc w:val="center"/>
        <w:rPr/>
      </w:pPr>
      <w:bookmarkStart w:id="324" w:name="Equity"/>
      <w:bookmarkEnd w:id="324"/>
      <w:r>
        <w:rPr/>
        <w:t>  </w:t>
      </w:r>
    </w:p>
    <w:p>
      <w:pPr>
        <w:pStyle w:val="TextBody"/>
        <w:bidi w:val="0"/>
        <w:spacing w:lineRule="atLeast" w:line="142" w:before="0" w:after="240"/>
        <w:ind w:left="0" w:right="0" w:firstLine="720"/>
        <w:jc w:val="center"/>
        <w:rPr/>
      </w:pPr>
      <w:bookmarkStart w:id="325" w:name="_aaae8ac2_7513_4518_83ea_b4f7be56dfa9"/>
      <w:bookmarkEnd w:id="325"/>
      <w:r>
        <w:rPr/>
        <w:t>​</w:t>
      </w:r>
    </w:p>
    <w:p>
      <w:pPr>
        <w:pStyle w:val="Normal"/>
        <w:bidi w:val="0"/>
        <w:spacing w:before="0" w:after="0"/>
        <w:jc w:val="left"/>
        <w:rPr>
          <w:sz w:val="4"/>
          <w:szCs w:val="4"/>
        </w:rPr>
      </w:pPr>
      <w:r>
        <w:rPr>
          <w:sz w:val="4"/>
          <w:szCs w:val="4"/>
        </w:rPr>
      </w:r>
      <w:bookmarkStart w:id="326" w:name="Tc_nHc1zGxsM0a6B62DmP7KFA_42_17"/>
      <w:bookmarkStart w:id="327" w:name="Tc_nms2eKwAjEaihtJOd6ZlcA_42_14"/>
      <w:bookmarkStart w:id="328" w:name="Tc_nLYNeh8l-k6HyJ44w5XP_w_42_11"/>
      <w:bookmarkStart w:id="329" w:name="Tc_470K5W1O3UGWHtAxNDL7BA_42_8"/>
      <w:bookmarkStart w:id="330" w:name="Tc_Ys5iVHB9Aki0OgG9Lzklxg_42_5"/>
      <w:bookmarkStart w:id="331" w:name="Tc_n_1jlcpxpUyemRHWBynJgA_42_2"/>
      <w:bookmarkStart w:id="332" w:name="Tc_P1r8iNXe202je0PvEle5lg_42_0"/>
      <w:bookmarkStart w:id="333" w:name="Tc_MroV7ionqESENjAC6znQWA_41_12"/>
      <w:bookmarkStart w:id="334" w:name="Tc_c1ilxa_LNEK7nLbbxvIFCg_41_9"/>
      <w:bookmarkStart w:id="335" w:name="Tc_4DTlRaFOxESI6b9iUU4jNg_41_3"/>
      <w:bookmarkStart w:id="336" w:name="Tc_4eCkGFExnkqLVPbfwyXllQ_41_0"/>
      <w:bookmarkStart w:id="337" w:name="Tc_2pnlX5Sv60mMfn6yXy71pA_40_12"/>
      <w:bookmarkStart w:id="338" w:name="Tc_KZlUgvzoK0WAGmrzdxXyiw_40_9"/>
      <w:bookmarkStart w:id="339" w:name="Tc_v_i_6dWDeUixus3BQiCxXg_40_6"/>
      <w:bookmarkStart w:id="340" w:name="Tc_HBHhLwUP7EOsUJ5bQVwoRg_40_3"/>
      <w:bookmarkStart w:id="341" w:name="Tc_bfZbWYlR1U6IMDA1Aih3uA_40_0"/>
      <w:bookmarkStart w:id="342" w:name="Tc_EqXepAlp8kmc8SFmlYBCFA_39_15"/>
      <w:bookmarkStart w:id="343" w:name="Tc_X8fxOX20vESdb794MAwXHQ_39_9"/>
      <w:bookmarkStart w:id="344" w:name="Tc_tzTxX2AojESdFsBwiWa76g_39_6"/>
      <w:bookmarkStart w:id="345" w:name="Tc_Q0bnw-IepEWkeNfjZcHvQg_39_3"/>
      <w:bookmarkStart w:id="346" w:name="Tc_Ew666EfBr0OWxaPn46Nvgg_39_0"/>
      <w:bookmarkStart w:id="347" w:name="Tc_vn1uEMjtnEC74Ok32xYrJw_38_15"/>
      <w:bookmarkStart w:id="348" w:name="Tc_ciTuCKhgrUy_qAvELxJQ_g_38_12"/>
      <w:bookmarkStart w:id="349" w:name="Tc_INbFtew3KkG2emR0SNcP7A_38_6"/>
      <w:bookmarkStart w:id="350" w:name="Tc_BRiInMiqw06lbxbS3zQapg_38_3"/>
      <w:bookmarkStart w:id="351" w:name="Tc__V13QXSdqUWlgzIaPaO6uA_38_0"/>
      <w:bookmarkStart w:id="352" w:name="Tc_z4RKuvtiE0-unKw2Nrg9Jw_37_12"/>
      <w:bookmarkStart w:id="353" w:name="Tc_CRKx3niw6UaFX_dTDk9_DQ_37_9"/>
      <w:bookmarkStart w:id="354" w:name="Tc_ECv0L2JBxEOUmoZbv6TMgA_37_0"/>
      <w:bookmarkStart w:id="355" w:name="Tc_EAutF6MLqkeUdtuCqQL8wA_36_12"/>
      <w:bookmarkStart w:id="356" w:name="Tc_JHmA_1XYD0CnII5hYqcAjQ_36_6"/>
      <w:bookmarkStart w:id="357" w:name="Tc_ZxIEhRR3T0O27UsQZKVK_w_36_3"/>
      <w:bookmarkStart w:id="358" w:name="Tc_6etkzkib20SWzVBqJJm0Eg_36_0"/>
      <w:bookmarkStart w:id="359" w:name="Tc_abYAuAU4eUiyHADke4d-WQ_35_17"/>
      <w:bookmarkStart w:id="360" w:name="Tc_VGSdDmpJDUqH-razdZhf5w_35_14"/>
      <w:bookmarkStart w:id="361" w:name="Tc_N0AJLu-W1kyYyni01A8COw_35_11"/>
      <w:bookmarkStart w:id="362" w:name="Tc_jjmqoTp8aE662y0A-6KqPw_35_8"/>
      <w:bookmarkStart w:id="363" w:name="Tc_dGQwJ2pXbUSnqKVY1eYWFg_35_5"/>
      <w:bookmarkStart w:id="364" w:name="Tc_z8QRg2NGdkWWwHeFuE7kew_35_2"/>
      <w:bookmarkStart w:id="365" w:name="Tc_Voda__EJekibwm2A5jHRRA_35_0"/>
      <w:bookmarkStart w:id="366" w:name="Tc_5qAQi9X90UWc5BuspYERJw_33_17"/>
      <w:bookmarkStart w:id="367" w:name="Tc_dr57yHv1PkmiLakyo8cbCQ_33_14"/>
      <w:bookmarkStart w:id="368" w:name="Tc_P9C8xHnQGU2q5IbH4-Kt5A_33_11"/>
      <w:bookmarkStart w:id="369" w:name="Tc_Gt5KZaDT8EuW9oVf3FdD0g_33_8"/>
      <w:bookmarkStart w:id="370" w:name="Tc_RQjbakWKfk6W1VhqatXiwQ_33_5"/>
      <w:bookmarkStart w:id="371" w:name="Tc_TtQbfue6S0-PBSMs2-BPHA_33_2"/>
      <w:bookmarkStart w:id="372" w:name="Tc_ps-Q1cx2nUOY3YUIuWAPEQ_33_0"/>
      <w:bookmarkStart w:id="373" w:name="Tc_4disGGS_4keUcICVrZ6K5g_32_15"/>
      <w:bookmarkStart w:id="374" w:name="Tc_e2wByf_9QUaBUTluaKP-gw_32_12"/>
      <w:bookmarkStart w:id="375" w:name="Tc_T5bMreYmuESoJI09X6_zeQ_32_9"/>
      <w:bookmarkStart w:id="376" w:name="Tc_Neg5PNd0B0CwryC6Ug7pZg_32_0"/>
      <w:bookmarkStart w:id="377" w:name="Tc_rvvd6WklwEWbjCk_7E5KRA_31_12"/>
      <w:bookmarkStart w:id="378" w:name="Tc_12V2L-mKBU2xbC-GBX1IJg_31_9"/>
      <w:bookmarkStart w:id="379" w:name="Tc_M102RJbVfUetz6ClhsvYOA_31_3"/>
      <w:bookmarkStart w:id="380" w:name="Tc_mDY7yRDAekK6IftriVS8kw_31_0"/>
      <w:bookmarkStart w:id="381" w:name="Tc_MWA4JRaEfUySulBPsMvBnA_30_12"/>
      <w:bookmarkStart w:id="382" w:name="Tc_SJ_JHlL9rEql1FyoWQZzIQ_30_9"/>
      <w:bookmarkStart w:id="383" w:name="Tc_wddTdiIo6UehpHB22noVLA_30_6"/>
      <w:bookmarkStart w:id="384" w:name="Tc_FM4uGlmuz0G7VHejaEc-rA_30_3"/>
      <w:bookmarkStart w:id="385" w:name="Tc_ol5MmkwnMU6IsnAgbGFBPw_30_0"/>
      <w:bookmarkStart w:id="386" w:name="Tc_u6bzJuFOkk6a_jyMeRuPJg_29_12"/>
      <w:bookmarkStart w:id="387" w:name="Tc_mO4JpnaiB0ms8Zw9vJCvCg_29_9"/>
      <w:bookmarkStart w:id="388" w:name="Tc_OiEyuCxdtkquL5MQ5eij1w_29_3"/>
      <w:bookmarkStart w:id="389" w:name="Tc_lFrSKqPDOk629ZaCBho_-w_29_0"/>
      <w:bookmarkStart w:id="390" w:name="Tc_DkoKhZwc2UWRRyH-m_QY8Q_28_15"/>
      <w:bookmarkStart w:id="391" w:name="Tc_CyrjKw8xn0CzGcgzG66BUQ_28_9"/>
      <w:bookmarkStart w:id="392" w:name="Tc_2W7KxT6vkEeZpDQ9rd-pww_28_6"/>
      <w:bookmarkStart w:id="393" w:name="Tc_yMjaEpV8LEisBxOGIvZ4sg_28_3"/>
      <w:bookmarkStart w:id="394" w:name="Tc_xqnGm8_zNE-MEmPoSfOQ1Q_28_0"/>
      <w:bookmarkStart w:id="395" w:name="Tc_o1eT8_VyZEKVdum6b78Usg_27_15"/>
      <w:bookmarkStart w:id="396" w:name="Tc_pZTLlPCu-UysKrZCxSdjag_27_12"/>
      <w:bookmarkStart w:id="397" w:name="Tc_xHqHjrAXCEeMMLBbo6UGyw_27_6"/>
      <w:bookmarkStart w:id="398" w:name="Tc_X1yDpN41n0qMdL5Jfu5Wdw_27_3"/>
      <w:bookmarkStart w:id="399" w:name="Tc_1spQu3OlIEWLppOPVATleA_27_0"/>
      <w:bookmarkStart w:id="400" w:name="Tc_nyzwhuW5eEeQt_0T88k0mw_26_12"/>
      <w:bookmarkStart w:id="401" w:name="Tc_dqc7sQd2q0ifVsmSMN3tHQ_26_9"/>
      <w:bookmarkStart w:id="402" w:name="Tc_tdJED2LVXUaosHoGGcVoQQ_26_0"/>
      <w:bookmarkStart w:id="403" w:name="Tc_ZWRFSnr0F0OAWly5AjneJA_25_12"/>
      <w:bookmarkStart w:id="404" w:name="Tc_2ZzskMfGF0K17fkpTz_7fw_25_6"/>
      <w:bookmarkStart w:id="405" w:name="Tc_plIk-eK4bkCco6ADCc8F1Q_25_3"/>
      <w:bookmarkStart w:id="406" w:name="Tc_QHewXvegq0GzRCbGkDPzWg_25_0"/>
      <w:bookmarkStart w:id="407" w:name="Tc_Wz470KmRjk20iBFAyscMaw_24_17"/>
      <w:bookmarkStart w:id="408" w:name="Tc_NZppwTspOkO7S2pvctURdw_24_14"/>
      <w:bookmarkStart w:id="409" w:name="Tc_WnrKDVGLFU-PBXj6fzgcNA_24_11"/>
      <w:bookmarkStart w:id="410" w:name="Tc_oz9PlgZEIEmrJmO-fIzfpQ_24_8"/>
      <w:bookmarkStart w:id="411" w:name="Tc_F8WrJe2ojUOcOpx9c8UPVA_24_5"/>
      <w:bookmarkStart w:id="412" w:name="Tc_Uqirwt6cDk2VIVY8Q8t0Aw_24_2"/>
      <w:bookmarkStart w:id="413" w:name="Tc_zExxyQSeEUi3xHc1RnYpkw_24_0"/>
      <w:bookmarkStart w:id="414" w:name="Tc_hU9pg60bk0-m3kEFztmm4g_22_17"/>
      <w:bookmarkStart w:id="415" w:name="Tc_CMTFQfJwREqN2zjfwq1FIQ_22_14"/>
      <w:bookmarkStart w:id="416" w:name="Tc_4nvkOKVniU-Z22hFBLL9zw_22_11"/>
      <w:bookmarkStart w:id="417" w:name="Tc_dFaPE70uB0apdO0Wu57d0Q_22_8"/>
      <w:bookmarkStart w:id="418" w:name="Tc_tv9niWw26Ei_I7aatdVISA_22_5"/>
      <w:bookmarkStart w:id="419" w:name="Tc_u1UZXmqkiUGMnnUMCgSCjw_22_2"/>
      <w:bookmarkStart w:id="420" w:name="Tc_P_WvoHcPeEGCfE_di-6rMA_22_0"/>
      <w:bookmarkStart w:id="421" w:name="Tc_tIY8q6I76EuhlUeWYBQ9DQ_21_12"/>
      <w:bookmarkStart w:id="422" w:name="Tc_jNcBteAIOUm1xbYWmLdTMg_21_9"/>
      <w:bookmarkStart w:id="423" w:name="Tc_75iH7YPj5Em5C9suRLi1YA_21_6"/>
      <w:bookmarkStart w:id="424" w:name="Tc_SIO3wVot70q4fwcaNbhahA_21_3"/>
      <w:bookmarkStart w:id="425" w:name="Tc_xnFBSswASU6NJOH5NKTxZw_21_0"/>
      <w:bookmarkStart w:id="426" w:name="Tc_i9_LBCM5iE6XhYWU9HtK3w_20_15"/>
      <w:bookmarkStart w:id="427" w:name="Tc_M-TOuGVfYEmPuK8BPdeYRw_20_9"/>
      <w:bookmarkStart w:id="428" w:name="Tc_m16T9nFP6USX-O4tqWpdHg_20_6"/>
      <w:bookmarkStart w:id="429" w:name="Tc_pBpTPwo7-U2qf0s_6cVLEg_20_3"/>
      <w:bookmarkStart w:id="430" w:name="Tc_EI-sSIkr1Ump3p1PyrL2pQ_20_0"/>
      <w:bookmarkStart w:id="431" w:name="Tc_eCr3gAD3UE6bxGb7L5ajAg_19_15"/>
      <w:bookmarkStart w:id="432" w:name="Tc___QyFi6FCEONJS6wU9QTtw_19_12"/>
      <w:bookmarkStart w:id="433" w:name="Tc_uIHBWReNhU2EGNpA5qZiNA_19_6"/>
      <w:bookmarkStart w:id="434" w:name="Tc_4f3Df9ilika0AgiIibtWcg_19_3"/>
      <w:bookmarkStart w:id="435" w:name="Tc_ytsTOa1r9kOA_cgkEo--VA_19_0"/>
      <w:bookmarkStart w:id="436" w:name="Tc_jEtXg1-WukaOsl0MRMnUxA_18_12"/>
      <w:bookmarkStart w:id="437" w:name="Tc_qkvio_ar5EuOCDwI7ndqeQ_18_9"/>
      <w:bookmarkStart w:id="438" w:name="Tc_FnnSbpbLBkyCWLusMMIyuQ_18_3"/>
      <w:bookmarkStart w:id="439" w:name="Tc_KUrHn7Vlpkm4wOeId4VjwA_18_0"/>
      <w:bookmarkStart w:id="440" w:name="Tc_l8I1MsK_ZEy1V_O9vo7ZOQ_17_12"/>
      <w:bookmarkStart w:id="441" w:name="Tc_SYjjC2SkWkSVaXaKFI-ysg_17_6"/>
      <w:bookmarkStart w:id="442" w:name="Tc_4mgdVQs4NE69L6vU2pXPaw_17_3"/>
      <w:bookmarkStart w:id="443" w:name="Tc_Sqd-rBk7oEufeo8aNbHLHQ_17_0"/>
      <w:bookmarkStart w:id="444" w:name="Tc_f5ruD2aOnkKfcBWoqh1fow_16_17"/>
      <w:bookmarkStart w:id="445" w:name="Tc_Z5Fl0srhrUGxynzpq3hOew_16_14"/>
      <w:bookmarkStart w:id="446" w:name="Tc_2wK_Vl8iiES7t-sqJoMuug_16_11"/>
      <w:bookmarkStart w:id="447" w:name="Tc_TpyZZ6VxPk2PFCqVvGMqjw_16_8"/>
      <w:bookmarkStart w:id="448" w:name="Tc_UOFQAWLVU0WP9hVhmXRl4A_16_5"/>
      <w:bookmarkStart w:id="449" w:name="Tc_9dHhNI1Nfkmo-YStZxxbLQ_16_2"/>
      <w:bookmarkStart w:id="450" w:name="Tc_E8E13LkC0kSSnRvdGdorAw_16_0"/>
      <w:bookmarkStart w:id="451" w:name="Tc__YfcwlELJkiWRlMbzWImBw_14_17"/>
      <w:bookmarkStart w:id="452" w:name="Tc_ocAHVgVAxE2qqvDKNnWv-Q_14_14"/>
      <w:bookmarkStart w:id="453" w:name="Tc_HCm2vcuV_UGtYtgM2v4g7A_14_11"/>
      <w:bookmarkStart w:id="454" w:name="Tc_Rrc5pQsnrE-EEeYBOim9JA_14_8"/>
      <w:bookmarkStart w:id="455" w:name="Tc_WpVd6T_JW06Idi1KRMfzoA_14_5"/>
      <w:bookmarkStart w:id="456" w:name="Tc_b34pSytf7Uqhh_iwAMxzQA_14_2"/>
      <w:bookmarkStart w:id="457" w:name="Tc_1ZaZwBxSdUeSpYZ-hJ30WA_14_0"/>
      <w:bookmarkStart w:id="458" w:name="Tc_XKv6FjQ-oUeX107MiRva7A_13_15"/>
      <w:bookmarkStart w:id="459" w:name="Tc_WhLQWBGpg0u6Ut-l2KVm_Q_13_12"/>
      <w:bookmarkStart w:id="460" w:name="Tc_GhEKhRBFvk6fo_dshdhVmA_13_9"/>
      <w:bookmarkStart w:id="461" w:name="Tc_kIhwuU9VmES6ntALtIM40g_13_0"/>
      <w:bookmarkStart w:id="462" w:name="Tc_qp7VDiqsGUeaPL5oKFAHSQ_12_12"/>
      <w:bookmarkStart w:id="463" w:name="Tc_PtM0iPnMj02a9fj_dkWWIg_12_9"/>
      <w:bookmarkStart w:id="464" w:name="Tc_VdD7EqMbXkmcteEJpoSjZw_12_6"/>
      <w:bookmarkStart w:id="465" w:name="Tc_tUq7c3UlYEKmBmNG_Irl6A_12_3"/>
      <w:bookmarkStart w:id="466" w:name="Tc_eHeOyz5Hmk-PfSoKsWdF-Q_12_0"/>
      <w:bookmarkStart w:id="467" w:name="Tc_3iMky86Kg0uF3Pov2ZPH_w_11_12"/>
      <w:bookmarkStart w:id="468" w:name="Tc_34gGQGFwWUKeps3wkG51TA_11_9"/>
      <w:bookmarkStart w:id="469" w:name="Tc_3Wje_dokB0G5WUYgsk-tlQ_11_3"/>
      <w:bookmarkStart w:id="470" w:name="Tc_ubZUG4-XAkm64tdcgUoKIQ_11_0"/>
      <w:bookmarkStart w:id="471" w:name="Tc_LkZTGlMLSU2Pkmk-7XrSqQ_10_15"/>
      <w:bookmarkStart w:id="472" w:name="Tc_w3Yg8iqAzkuJIUjhdTXbtQ_10_9"/>
      <w:bookmarkStart w:id="473" w:name="Tc_C7m6BQ6MMEiCcVjlqoFt_w_10_6"/>
      <w:bookmarkStart w:id="474" w:name="Tc_AONUOCipPkaPq7aB0_PPLQ_10_3"/>
      <w:bookmarkStart w:id="475" w:name="Tc_f0MYKWB9R0KCZePj09xgzg_10_0"/>
      <w:bookmarkStart w:id="476" w:name="Tc_8S_YdbDh8ECtzOMaQe07Dg_9_15"/>
      <w:bookmarkStart w:id="477" w:name="Tc_WBri_maM706CxcOBcqbTBA_9_12"/>
      <w:bookmarkStart w:id="478" w:name="Tc_75HN1-I4jEyiYdyPA8otAw_9_6"/>
      <w:bookmarkStart w:id="479" w:name="Tc_PAjvvfB2d0qR2y_QML9PZA_9_3"/>
      <w:bookmarkStart w:id="480" w:name="Tc_SIjgTZFcHUWEoPHEVhPA5g_9_0"/>
      <w:bookmarkStart w:id="481" w:name="Tc_KVri0VbQAk-K-zlt9-cDhA_8_12"/>
      <w:bookmarkStart w:id="482" w:name="Tc_G28ok3i5gUet9cnHHUeKiw_8_9"/>
      <w:bookmarkStart w:id="483" w:name="Tc_7lPllyxIXkmuIgLF-kj_9Q_8_3"/>
      <w:bookmarkStart w:id="484" w:name="Tc_O2W-dLh17UWimS9MW1S8yA_8_0"/>
      <w:bookmarkStart w:id="485" w:name="Tc_R1yogz4klk-u0Wi2wX-GUQ_7_12"/>
      <w:bookmarkStart w:id="486" w:name="Tc_XevbgwLw10upW-ygOpLfKQ_7_6"/>
      <w:bookmarkStart w:id="487" w:name="Tc_Lgrgvk33DEyx6ySN2pbCvQ_7_3"/>
      <w:bookmarkStart w:id="488" w:name="Tc_QfG4qq7tRUCV8zyAt7Ksgw_7_0"/>
      <w:bookmarkStart w:id="489" w:name="Tc_yRlF7TNFhUqgfikDuBNjGw_6_17"/>
      <w:bookmarkStart w:id="490" w:name="Tc_5PtjFqqaS0G4ytDZj1i0Bw_6_14"/>
      <w:bookmarkStart w:id="491" w:name="Tc_g2L9lYI4H02S-8mlYjm26A_6_11"/>
      <w:bookmarkStart w:id="492" w:name="Tc_qU8sON4I30SKTDBGEwezFQ_6_8"/>
      <w:bookmarkStart w:id="493" w:name="Tc_40XSBaLZOE2zdmNcJQCCTg_6_5"/>
      <w:bookmarkStart w:id="494" w:name="Tc_cS4Ucu9Q3EmHs6CiSWabVQ_6_2"/>
      <w:bookmarkStart w:id="495" w:name="Tc_zhkZYKhPUEWSb-JH3Q9O_A_6_0"/>
      <w:bookmarkStart w:id="496" w:name="Tc_grjAFhO5e0i3j-3d0JVVNg_4_17"/>
      <w:bookmarkStart w:id="497" w:name="Tc_eucAKu7-lU-KRLt2A2XkIQ_4_14"/>
      <w:bookmarkStart w:id="498" w:name="Tc_K5OCmiE-zEi2kuXCvqZRUw_4_11"/>
      <w:bookmarkStart w:id="499" w:name="Tc_iyen8i5GKUKw9BV1xlKuRw_4_8"/>
      <w:bookmarkStart w:id="500" w:name="Tc_9dETZ4gLV0qCP9mkXbOShw_4_5"/>
      <w:bookmarkStart w:id="501" w:name="Tc_c2XzjoVjy0uDG4yrug4kDw_4_2"/>
      <w:bookmarkStart w:id="502" w:name="Tc_BZUB1feF_0OH51bfHV1sKg_3_17"/>
      <w:bookmarkStart w:id="503" w:name="Tc_Tbi0wlwZaka0UtYSLYNWDw_3_14"/>
      <w:bookmarkStart w:id="504" w:name="Tc_nT_XiOp0lkeuN35SCA6mCw_3_11"/>
      <w:bookmarkStart w:id="505" w:name="Tc_1WWMRxX_ZUeCOYTShch6NQ_3_8"/>
      <w:bookmarkStart w:id="506" w:name="Tc_KO06ZGBrq0aBCQz0ROuOGg_3_5"/>
      <w:bookmarkStart w:id="507" w:name="Tc_ELPTJ3jPFUO9q4hAxyIdeg_3_2"/>
      <w:bookmarkStart w:id="508" w:name="Tc_9Er8qOF5S0uv9Lrm924KpQ_2_11"/>
      <w:bookmarkStart w:id="509" w:name="Tc_vJ10A7tvZ0OoaS7vc3d9EA_2_8"/>
      <w:bookmarkStart w:id="510" w:name="Tc_tXnHTQx9gkCEYtEXXR_QTw_2_5"/>
      <w:bookmarkStart w:id="511" w:name="Tc_zzaf7jnRxU2dtIILjOHCHg_2_2"/>
      <w:bookmarkStart w:id="512" w:name="Tc_y_DpQ9MBgky0YDyzzjd3Yw_1_11"/>
      <w:bookmarkStart w:id="513" w:name="Tc_YJLbxU8skk-MLAqXSiNB7A_1_8"/>
      <w:bookmarkStart w:id="514" w:name="_d4bbf3ce_2d97_48af_8578_08a097c762ed"/>
      <w:bookmarkStart w:id="515" w:name="Tc_nHc1zGxsM0a6B62DmP7KFA_42_17"/>
      <w:bookmarkStart w:id="516" w:name="Tc_nms2eKwAjEaihtJOd6ZlcA_42_14"/>
      <w:bookmarkStart w:id="517" w:name="Tc_nLYNeh8l-k6HyJ44w5XP_w_42_11"/>
      <w:bookmarkStart w:id="518" w:name="Tc_470K5W1O3UGWHtAxNDL7BA_42_8"/>
      <w:bookmarkStart w:id="519" w:name="Tc_Ys5iVHB9Aki0OgG9Lzklxg_42_5"/>
      <w:bookmarkStart w:id="520" w:name="Tc_n_1jlcpxpUyemRHWBynJgA_42_2"/>
      <w:bookmarkStart w:id="521" w:name="Tc_P1r8iNXe202je0PvEle5lg_42_0"/>
      <w:bookmarkStart w:id="522" w:name="Tc_MroV7ionqESENjAC6znQWA_41_12"/>
      <w:bookmarkStart w:id="523" w:name="Tc_c1ilxa_LNEK7nLbbxvIFCg_41_9"/>
      <w:bookmarkStart w:id="524" w:name="Tc_4DTlRaFOxESI6b9iUU4jNg_41_3"/>
      <w:bookmarkStart w:id="525" w:name="Tc_4eCkGFExnkqLVPbfwyXllQ_41_0"/>
      <w:bookmarkStart w:id="526" w:name="Tc_2pnlX5Sv60mMfn6yXy71pA_40_12"/>
      <w:bookmarkStart w:id="527" w:name="Tc_KZlUgvzoK0WAGmrzdxXyiw_40_9"/>
      <w:bookmarkStart w:id="528" w:name="Tc_v_i_6dWDeUixus3BQiCxXg_40_6"/>
      <w:bookmarkStart w:id="529" w:name="Tc_HBHhLwUP7EOsUJ5bQVwoRg_40_3"/>
      <w:bookmarkStart w:id="530" w:name="Tc_bfZbWYlR1U6IMDA1Aih3uA_40_0"/>
      <w:bookmarkStart w:id="531" w:name="Tc_EqXepAlp8kmc8SFmlYBCFA_39_15"/>
      <w:bookmarkStart w:id="532" w:name="Tc_X8fxOX20vESdb794MAwXHQ_39_9"/>
      <w:bookmarkStart w:id="533" w:name="Tc_tzTxX2AojESdFsBwiWa76g_39_6"/>
      <w:bookmarkStart w:id="534" w:name="Tc_Q0bnw-IepEWkeNfjZcHvQg_39_3"/>
      <w:bookmarkStart w:id="535" w:name="Tc_Ew666EfBr0OWxaPn46Nvgg_39_0"/>
      <w:bookmarkStart w:id="536" w:name="Tc_vn1uEMjtnEC74Ok32xYrJw_38_15"/>
      <w:bookmarkStart w:id="537" w:name="Tc_ciTuCKhgrUy_qAvELxJQ_g_38_12"/>
      <w:bookmarkStart w:id="538" w:name="Tc_INbFtew3KkG2emR0SNcP7A_38_6"/>
      <w:bookmarkStart w:id="539" w:name="Tc_BRiInMiqw06lbxbS3zQapg_38_3"/>
      <w:bookmarkStart w:id="540" w:name="Tc__V13QXSdqUWlgzIaPaO6uA_38_0"/>
      <w:bookmarkStart w:id="541" w:name="Tc_z4RKuvtiE0-unKw2Nrg9Jw_37_12"/>
      <w:bookmarkStart w:id="542" w:name="Tc_CRKx3niw6UaFX_dTDk9_DQ_37_9"/>
      <w:bookmarkStart w:id="543" w:name="Tc_ECv0L2JBxEOUmoZbv6TMgA_37_0"/>
      <w:bookmarkStart w:id="544" w:name="Tc_EAutF6MLqkeUdtuCqQL8wA_36_12"/>
      <w:bookmarkStart w:id="545" w:name="Tc_JHmA_1XYD0CnII5hYqcAjQ_36_6"/>
      <w:bookmarkStart w:id="546" w:name="Tc_ZxIEhRR3T0O27UsQZKVK_w_36_3"/>
      <w:bookmarkStart w:id="547" w:name="Tc_6etkzkib20SWzVBqJJm0Eg_36_0"/>
      <w:bookmarkStart w:id="548" w:name="Tc_abYAuAU4eUiyHADke4d-WQ_35_17"/>
      <w:bookmarkStart w:id="549" w:name="Tc_VGSdDmpJDUqH-razdZhf5w_35_14"/>
      <w:bookmarkStart w:id="550" w:name="Tc_N0AJLu-W1kyYyni01A8COw_35_11"/>
      <w:bookmarkStart w:id="551" w:name="Tc_jjmqoTp8aE662y0A-6KqPw_35_8"/>
      <w:bookmarkStart w:id="552" w:name="Tc_dGQwJ2pXbUSnqKVY1eYWFg_35_5"/>
      <w:bookmarkStart w:id="553" w:name="Tc_z8QRg2NGdkWWwHeFuE7kew_35_2"/>
      <w:bookmarkStart w:id="554" w:name="Tc_Voda__EJekibwm2A5jHRRA_35_0"/>
      <w:bookmarkStart w:id="555" w:name="Tc_5qAQi9X90UWc5BuspYERJw_33_17"/>
      <w:bookmarkStart w:id="556" w:name="Tc_dr57yHv1PkmiLakyo8cbCQ_33_14"/>
      <w:bookmarkStart w:id="557" w:name="Tc_P9C8xHnQGU2q5IbH4-Kt5A_33_11"/>
      <w:bookmarkStart w:id="558" w:name="Tc_Gt5KZaDT8EuW9oVf3FdD0g_33_8"/>
      <w:bookmarkStart w:id="559" w:name="Tc_RQjbakWKfk6W1VhqatXiwQ_33_5"/>
      <w:bookmarkStart w:id="560" w:name="Tc_TtQbfue6S0-PBSMs2-BPHA_33_2"/>
      <w:bookmarkStart w:id="561" w:name="Tc_ps-Q1cx2nUOY3YUIuWAPEQ_33_0"/>
      <w:bookmarkStart w:id="562" w:name="Tc_4disGGS_4keUcICVrZ6K5g_32_15"/>
      <w:bookmarkStart w:id="563" w:name="Tc_e2wByf_9QUaBUTluaKP-gw_32_12"/>
      <w:bookmarkStart w:id="564" w:name="Tc_T5bMreYmuESoJI09X6_zeQ_32_9"/>
      <w:bookmarkStart w:id="565" w:name="Tc_Neg5PNd0B0CwryC6Ug7pZg_32_0"/>
      <w:bookmarkStart w:id="566" w:name="Tc_rvvd6WklwEWbjCk_7E5KRA_31_12"/>
      <w:bookmarkStart w:id="567" w:name="Tc_12V2L-mKBU2xbC-GBX1IJg_31_9"/>
      <w:bookmarkStart w:id="568" w:name="Tc_M102RJbVfUetz6ClhsvYOA_31_3"/>
      <w:bookmarkStart w:id="569" w:name="Tc_mDY7yRDAekK6IftriVS8kw_31_0"/>
      <w:bookmarkStart w:id="570" w:name="Tc_MWA4JRaEfUySulBPsMvBnA_30_12"/>
      <w:bookmarkStart w:id="571" w:name="Tc_SJ_JHlL9rEql1FyoWQZzIQ_30_9"/>
      <w:bookmarkStart w:id="572" w:name="Tc_wddTdiIo6UehpHB22noVLA_30_6"/>
      <w:bookmarkStart w:id="573" w:name="Tc_FM4uGlmuz0G7VHejaEc-rA_30_3"/>
      <w:bookmarkStart w:id="574" w:name="Tc_ol5MmkwnMU6IsnAgbGFBPw_30_0"/>
      <w:bookmarkStart w:id="575" w:name="Tc_u6bzJuFOkk6a_jyMeRuPJg_29_12"/>
      <w:bookmarkStart w:id="576" w:name="Tc_mO4JpnaiB0ms8Zw9vJCvCg_29_9"/>
      <w:bookmarkStart w:id="577" w:name="Tc_OiEyuCxdtkquL5MQ5eij1w_29_3"/>
      <w:bookmarkStart w:id="578" w:name="Tc_lFrSKqPDOk629ZaCBho_-w_29_0"/>
      <w:bookmarkStart w:id="579" w:name="Tc_DkoKhZwc2UWRRyH-m_QY8Q_28_15"/>
      <w:bookmarkStart w:id="580" w:name="Tc_CyrjKw8xn0CzGcgzG66BUQ_28_9"/>
      <w:bookmarkStart w:id="581" w:name="Tc_2W7KxT6vkEeZpDQ9rd-pww_28_6"/>
      <w:bookmarkStart w:id="582" w:name="Tc_yMjaEpV8LEisBxOGIvZ4sg_28_3"/>
      <w:bookmarkStart w:id="583" w:name="Tc_xqnGm8_zNE-MEmPoSfOQ1Q_28_0"/>
      <w:bookmarkStart w:id="584" w:name="Tc_o1eT8_VyZEKVdum6b78Usg_27_15"/>
      <w:bookmarkStart w:id="585" w:name="Tc_pZTLlPCu-UysKrZCxSdjag_27_12"/>
      <w:bookmarkStart w:id="586" w:name="Tc_xHqHjrAXCEeMMLBbo6UGyw_27_6"/>
      <w:bookmarkStart w:id="587" w:name="Tc_X1yDpN41n0qMdL5Jfu5Wdw_27_3"/>
      <w:bookmarkStart w:id="588" w:name="Tc_1spQu3OlIEWLppOPVATleA_27_0"/>
      <w:bookmarkStart w:id="589" w:name="Tc_nyzwhuW5eEeQt_0T88k0mw_26_12"/>
      <w:bookmarkStart w:id="590" w:name="Tc_dqc7sQd2q0ifVsmSMN3tHQ_26_9"/>
      <w:bookmarkStart w:id="591" w:name="Tc_tdJED2LVXUaosHoGGcVoQQ_26_0"/>
      <w:bookmarkStart w:id="592" w:name="Tc_ZWRFSnr0F0OAWly5AjneJA_25_12"/>
      <w:bookmarkStart w:id="593" w:name="Tc_2ZzskMfGF0K17fkpTz_7fw_25_6"/>
      <w:bookmarkStart w:id="594" w:name="Tc_plIk-eK4bkCco6ADCc8F1Q_25_3"/>
      <w:bookmarkStart w:id="595" w:name="Tc_QHewXvegq0GzRCbGkDPzWg_25_0"/>
      <w:bookmarkStart w:id="596" w:name="Tc_Wz470KmRjk20iBFAyscMaw_24_17"/>
      <w:bookmarkStart w:id="597" w:name="Tc_NZppwTspOkO7S2pvctURdw_24_14"/>
      <w:bookmarkStart w:id="598" w:name="Tc_WnrKDVGLFU-PBXj6fzgcNA_24_11"/>
      <w:bookmarkStart w:id="599" w:name="Tc_oz9PlgZEIEmrJmO-fIzfpQ_24_8"/>
      <w:bookmarkStart w:id="600" w:name="Tc_F8WrJe2ojUOcOpx9c8UPVA_24_5"/>
      <w:bookmarkStart w:id="601" w:name="Tc_Uqirwt6cDk2VIVY8Q8t0Aw_24_2"/>
      <w:bookmarkStart w:id="602" w:name="Tc_zExxyQSeEUi3xHc1RnYpkw_24_0"/>
      <w:bookmarkStart w:id="603" w:name="Tc_hU9pg60bk0-m3kEFztmm4g_22_17"/>
      <w:bookmarkStart w:id="604" w:name="Tc_CMTFQfJwREqN2zjfwq1FIQ_22_14"/>
      <w:bookmarkStart w:id="605" w:name="Tc_4nvkOKVniU-Z22hFBLL9zw_22_11"/>
      <w:bookmarkStart w:id="606" w:name="Tc_dFaPE70uB0apdO0Wu57d0Q_22_8"/>
      <w:bookmarkStart w:id="607" w:name="Tc_tv9niWw26Ei_I7aatdVISA_22_5"/>
      <w:bookmarkStart w:id="608" w:name="Tc_u1UZXmqkiUGMnnUMCgSCjw_22_2"/>
      <w:bookmarkStart w:id="609" w:name="Tc_P_WvoHcPeEGCfE_di-6rMA_22_0"/>
      <w:bookmarkStart w:id="610" w:name="Tc_tIY8q6I76EuhlUeWYBQ9DQ_21_12"/>
      <w:bookmarkStart w:id="611" w:name="Tc_jNcBteAIOUm1xbYWmLdTMg_21_9"/>
      <w:bookmarkStart w:id="612" w:name="Tc_75iH7YPj5Em5C9suRLi1YA_21_6"/>
      <w:bookmarkStart w:id="613" w:name="Tc_SIO3wVot70q4fwcaNbhahA_21_3"/>
      <w:bookmarkStart w:id="614" w:name="Tc_xnFBSswASU6NJOH5NKTxZw_21_0"/>
      <w:bookmarkStart w:id="615" w:name="Tc_i9_LBCM5iE6XhYWU9HtK3w_20_15"/>
      <w:bookmarkStart w:id="616" w:name="Tc_M-TOuGVfYEmPuK8BPdeYRw_20_9"/>
      <w:bookmarkStart w:id="617" w:name="Tc_m16T9nFP6USX-O4tqWpdHg_20_6"/>
      <w:bookmarkStart w:id="618" w:name="Tc_pBpTPwo7-U2qf0s_6cVLEg_20_3"/>
      <w:bookmarkStart w:id="619" w:name="Tc_EI-sSIkr1Ump3p1PyrL2pQ_20_0"/>
      <w:bookmarkStart w:id="620" w:name="Tc_eCr3gAD3UE6bxGb7L5ajAg_19_15"/>
      <w:bookmarkStart w:id="621" w:name="Tc___QyFi6FCEONJS6wU9QTtw_19_12"/>
      <w:bookmarkStart w:id="622" w:name="Tc_uIHBWReNhU2EGNpA5qZiNA_19_6"/>
      <w:bookmarkStart w:id="623" w:name="Tc_4f3Df9ilika0AgiIibtWcg_19_3"/>
      <w:bookmarkStart w:id="624" w:name="Tc_ytsTOa1r9kOA_cgkEo--VA_19_0"/>
      <w:bookmarkStart w:id="625" w:name="Tc_jEtXg1-WukaOsl0MRMnUxA_18_12"/>
      <w:bookmarkStart w:id="626" w:name="Tc_qkvio_ar5EuOCDwI7ndqeQ_18_9"/>
      <w:bookmarkStart w:id="627" w:name="Tc_FnnSbpbLBkyCWLusMMIyuQ_18_3"/>
      <w:bookmarkStart w:id="628" w:name="Tc_KUrHn7Vlpkm4wOeId4VjwA_18_0"/>
      <w:bookmarkStart w:id="629" w:name="Tc_l8I1MsK_ZEy1V_O9vo7ZOQ_17_12"/>
      <w:bookmarkStart w:id="630" w:name="Tc_SYjjC2SkWkSVaXaKFI-ysg_17_6"/>
      <w:bookmarkStart w:id="631" w:name="Tc_4mgdVQs4NE69L6vU2pXPaw_17_3"/>
      <w:bookmarkStart w:id="632" w:name="Tc_Sqd-rBk7oEufeo8aNbHLHQ_17_0"/>
      <w:bookmarkStart w:id="633" w:name="Tc_f5ruD2aOnkKfcBWoqh1fow_16_17"/>
      <w:bookmarkStart w:id="634" w:name="Tc_Z5Fl0srhrUGxynzpq3hOew_16_14"/>
      <w:bookmarkStart w:id="635" w:name="Tc_2wK_Vl8iiES7t-sqJoMuug_16_11"/>
      <w:bookmarkStart w:id="636" w:name="Tc_TpyZZ6VxPk2PFCqVvGMqjw_16_8"/>
      <w:bookmarkStart w:id="637" w:name="Tc_UOFQAWLVU0WP9hVhmXRl4A_16_5"/>
      <w:bookmarkStart w:id="638" w:name="Tc_9dHhNI1Nfkmo-YStZxxbLQ_16_2"/>
      <w:bookmarkStart w:id="639" w:name="Tc_E8E13LkC0kSSnRvdGdorAw_16_0"/>
      <w:bookmarkStart w:id="640" w:name="Tc__YfcwlELJkiWRlMbzWImBw_14_17"/>
      <w:bookmarkStart w:id="641" w:name="Tc_ocAHVgVAxE2qqvDKNnWv-Q_14_14"/>
      <w:bookmarkStart w:id="642" w:name="Tc_HCm2vcuV_UGtYtgM2v4g7A_14_11"/>
      <w:bookmarkStart w:id="643" w:name="Tc_Rrc5pQsnrE-EEeYBOim9JA_14_8"/>
      <w:bookmarkStart w:id="644" w:name="Tc_WpVd6T_JW06Idi1KRMfzoA_14_5"/>
      <w:bookmarkStart w:id="645" w:name="Tc_b34pSytf7Uqhh_iwAMxzQA_14_2"/>
      <w:bookmarkStart w:id="646" w:name="Tc_1ZaZwBxSdUeSpYZ-hJ30WA_14_0"/>
      <w:bookmarkStart w:id="647" w:name="Tc_XKv6FjQ-oUeX107MiRva7A_13_15"/>
      <w:bookmarkStart w:id="648" w:name="Tc_WhLQWBGpg0u6Ut-l2KVm_Q_13_12"/>
      <w:bookmarkStart w:id="649" w:name="Tc_GhEKhRBFvk6fo_dshdhVmA_13_9"/>
      <w:bookmarkStart w:id="650" w:name="Tc_kIhwuU9VmES6ntALtIM40g_13_0"/>
      <w:bookmarkStart w:id="651" w:name="Tc_qp7VDiqsGUeaPL5oKFAHSQ_12_12"/>
      <w:bookmarkStart w:id="652" w:name="Tc_PtM0iPnMj02a9fj_dkWWIg_12_9"/>
      <w:bookmarkStart w:id="653" w:name="Tc_VdD7EqMbXkmcteEJpoSjZw_12_6"/>
      <w:bookmarkStart w:id="654" w:name="Tc_tUq7c3UlYEKmBmNG_Irl6A_12_3"/>
      <w:bookmarkStart w:id="655" w:name="Tc_eHeOyz5Hmk-PfSoKsWdF-Q_12_0"/>
      <w:bookmarkStart w:id="656" w:name="Tc_3iMky86Kg0uF3Pov2ZPH_w_11_12"/>
      <w:bookmarkStart w:id="657" w:name="Tc_34gGQGFwWUKeps3wkG51TA_11_9"/>
      <w:bookmarkStart w:id="658" w:name="Tc_3Wje_dokB0G5WUYgsk-tlQ_11_3"/>
      <w:bookmarkStart w:id="659" w:name="Tc_ubZUG4-XAkm64tdcgUoKIQ_11_0"/>
      <w:bookmarkStart w:id="660" w:name="Tc_LkZTGlMLSU2Pkmk-7XrSqQ_10_15"/>
      <w:bookmarkStart w:id="661" w:name="Tc_w3Yg8iqAzkuJIUjhdTXbtQ_10_9"/>
      <w:bookmarkStart w:id="662" w:name="Tc_C7m6BQ6MMEiCcVjlqoFt_w_10_6"/>
      <w:bookmarkStart w:id="663" w:name="Tc_AONUOCipPkaPq7aB0_PPLQ_10_3"/>
      <w:bookmarkStart w:id="664" w:name="Tc_f0MYKWB9R0KCZePj09xgzg_10_0"/>
      <w:bookmarkStart w:id="665" w:name="Tc_8S_YdbDh8ECtzOMaQe07Dg_9_15"/>
      <w:bookmarkStart w:id="666" w:name="Tc_WBri_maM706CxcOBcqbTBA_9_12"/>
      <w:bookmarkStart w:id="667" w:name="Tc_75HN1-I4jEyiYdyPA8otAw_9_6"/>
      <w:bookmarkStart w:id="668" w:name="Tc_PAjvvfB2d0qR2y_QML9PZA_9_3"/>
      <w:bookmarkStart w:id="669" w:name="Tc_SIjgTZFcHUWEoPHEVhPA5g_9_0"/>
      <w:bookmarkStart w:id="670" w:name="Tc_KVri0VbQAk-K-zlt9-cDhA_8_12"/>
      <w:bookmarkStart w:id="671" w:name="Tc_G28ok3i5gUet9cnHHUeKiw_8_9"/>
      <w:bookmarkStart w:id="672" w:name="Tc_7lPllyxIXkmuIgLF-kj_9Q_8_3"/>
      <w:bookmarkStart w:id="673" w:name="Tc_O2W-dLh17UWimS9MW1S8yA_8_0"/>
      <w:bookmarkStart w:id="674" w:name="Tc_R1yogz4klk-u0Wi2wX-GUQ_7_12"/>
      <w:bookmarkStart w:id="675" w:name="Tc_XevbgwLw10upW-ygOpLfKQ_7_6"/>
      <w:bookmarkStart w:id="676" w:name="Tc_Lgrgvk33DEyx6ySN2pbCvQ_7_3"/>
      <w:bookmarkStart w:id="677" w:name="Tc_QfG4qq7tRUCV8zyAt7Ksgw_7_0"/>
      <w:bookmarkStart w:id="678" w:name="Tc_yRlF7TNFhUqgfikDuBNjGw_6_17"/>
      <w:bookmarkStart w:id="679" w:name="Tc_5PtjFqqaS0G4ytDZj1i0Bw_6_14"/>
      <w:bookmarkStart w:id="680" w:name="Tc_g2L9lYI4H02S-8mlYjm26A_6_11"/>
      <w:bookmarkStart w:id="681" w:name="Tc_qU8sON4I30SKTDBGEwezFQ_6_8"/>
      <w:bookmarkStart w:id="682" w:name="Tc_40XSBaLZOE2zdmNcJQCCTg_6_5"/>
      <w:bookmarkStart w:id="683" w:name="Tc_cS4Ucu9Q3EmHs6CiSWabVQ_6_2"/>
      <w:bookmarkStart w:id="684" w:name="Tc_zhkZYKhPUEWSb-JH3Q9O_A_6_0"/>
      <w:bookmarkStart w:id="685" w:name="Tc_grjAFhO5e0i3j-3d0JVVNg_4_17"/>
      <w:bookmarkStart w:id="686" w:name="Tc_eucAKu7-lU-KRLt2A2XkIQ_4_14"/>
      <w:bookmarkStart w:id="687" w:name="Tc_K5OCmiE-zEi2kuXCvqZRUw_4_11"/>
      <w:bookmarkStart w:id="688" w:name="Tc_iyen8i5GKUKw9BV1xlKuRw_4_8"/>
      <w:bookmarkStart w:id="689" w:name="Tc_9dETZ4gLV0qCP9mkXbOShw_4_5"/>
      <w:bookmarkStart w:id="690" w:name="Tc_c2XzjoVjy0uDG4yrug4kDw_4_2"/>
      <w:bookmarkStart w:id="691" w:name="Tc_BZUB1feF_0OH51bfHV1sKg_3_17"/>
      <w:bookmarkStart w:id="692" w:name="Tc_Tbi0wlwZaka0UtYSLYNWDw_3_14"/>
      <w:bookmarkStart w:id="693" w:name="Tc_nT_XiOp0lkeuN35SCA6mCw_3_11"/>
      <w:bookmarkStart w:id="694" w:name="Tc_1WWMRxX_ZUeCOYTShch6NQ_3_8"/>
      <w:bookmarkStart w:id="695" w:name="Tc_KO06ZGBrq0aBCQz0ROuOGg_3_5"/>
      <w:bookmarkStart w:id="696" w:name="Tc_ELPTJ3jPFUO9q4hAxyIdeg_3_2"/>
      <w:bookmarkStart w:id="697" w:name="Tc_9Er8qOF5S0uv9Lrm924KpQ_2_11"/>
      <w:bookmarkStart w:id="698" w:name="Tc_vJ10A7tvZ0OoaS7vc3d9EA_2_8"/>
      <w:bookmarkStart w:id="699" w:name="Tc_tXnHTQx9gkCEYtEXXR_QTw_2_5"/>
      <w:bookmarkStart w:id="700" w:name="Tc_zzaf7jnRxU2dtIILjOHCHg_2_2"/>
      <w:bookmarkStart w:id="701" w:name="Tc_y_DpQ9MBgky0YDyzzjd3Yw_1_11"/>
      <w:bookmarkStart w:id="702" w:name="Tc_YJLbxU8skk-MLAqXSiNB7A_1_8"/>
      <w:bookmarkStart w:id="703" w:name="_d4bbf3ce_2d97_48af_8578_08a097c762ed"/>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tbl>
      <w:tblPr>
        <w:tblW w:w="10205" w:type="dxa"/>
        <w:jc w:val="left"/>
        <w:tblInd w:w="0" w:type="dxa"/>
        <w:tblLayout w:type="fixed"/>
        <w:tblCellMar>
          <w:top w:w="0" w:type="dxa"/>
          <w:left w:w="0" w:type="dxa"/>
          <w:bottom w:w="0" w:type="dxa"/>
          <w:right w:w="0" w:type="dxa"/>
        </w:tblCellMar>
      </w:tblPr>
      <w:tblGrid>
        <w:gridCol w:w="2706"/>
        <w:gridCol w:w="346"/>
        <w:gridCol w:w="216"/>
        <w:gridCol w:w="415"/>
        <w:gridCol w:w="346"/>
        <w:gridCol w:w="181"/>
        <w:gridCol w:w="691"/>
        <w:gridCol w:w="346"/>
        <w:gridCol w:w="216"/>
        <w:gridCol w:w="700"/>
        <w:gridCol w:w="346"/>
        <w:gridCol w:w="266"/>
        <w:gridCol w:w="755"/>
        <w:gridCol w:w="346"/>
        <w:gridCol w:w="240"/>
        <w:gridCol w:w="781"/>
        <w:gridCol w:w="346"/>
        <w:gridCol w:w="181"/>
        <w:gridCol w:w="781"/>
      </w:tblGrid>
      <w:tr>
        <w:trPr/>
        <w:tc>
          <w:tcPr>
            <w:tcW w:w="2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7160" cy="175260"/>
                      <wp:effectExtent l="0" t="0" r="0" b="0"/>
                      <wp:wrapNone/>
                      <wp:docPr id="64" name="Frame6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63525" cy="175260"/>
                      <wp:effectExtent l="0" t="0" r="0" b="0"/>
                      <wp:wrapNone/>
                      <wp:docPr id="65" name="Frame65"/>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14935" cy="175260"/>
                      <wp:effectExtent l="0" t="0" r="0" b="0"/>
                      <wp:wrapNone/>
                      <wp:docPr id="67" name="Frame6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38785" cy="175260"/>
                      <wp:effectExtent l="0" t="0" r="0" b="0"/>
                      <wp:wrapNone/>
                      <wp:docPr id="68" name="Frame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7160" cy="175260"/>
                      <wp:effectExtent l="0" t="0" r="0" b="0"/>
                      <wp:wrapNone/>
                      <wp:docPr id="70" name="Frame70"/>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44500" cy="175260"/>
                      <wp:effectExtent l="0" t="0" r="0" b="0"/>
                      <wp:wrapNone/>
                      <wp:docPr id="71" name="Frame71"/>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68910" cy="175260"/>
                      <wp:effectExtent l="0" t="0" r="0" b="0"/>
                      <wp:wrapNone/>
                      <wp:docPr id="73" name="Frame7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79425" cy="175260"/>
                      <wp:effectExtent l="0" t="0" r="0" b="0"/>
                      <wp:wrapNone/>
                      <wp:docPr id="74" name="Frame74"/>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52400" cy="175260"/>
                      <wp:effectExtent l="0" t="0" r="0" b="0"/>
                      <wp:wrapNone/>
                      <wp:docPr id="76" name="Frame7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95935" cy="175260"/>
                      <wp:effectExtent l="0" t="0" r="0" b="0"/>
                      <wp:wrapNone/>
                      <wp:docPr id="77" name="Frame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14935" cy="175260"/>
                      <wp:effectExtent l="0" t="0" r="0" b="0"/>
                      <wp:wrapNone/>
                      <wp:docPr id="79" name="Frame7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95935" cy="175260"/>
                      <wp:effectExtent l="0" t="0" r="0" b="0"/>
                      <wp:wrapNone/>
                      <wp:docPr id="80"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4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 at</w:t>
            </w:r>
          </w:p>
        </w:tc>
        <w:tc>
          <w:tcPr>
            <w:tcW w:w="34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46" w:type="dxa"/>
            <w:tcBorders/>
            <w:vAlign w:val="center"/>
          </w:tcPr>
          <w:p>
            <w:pPr>
              <w:pStyle w:val="TableContents"/>
              <w:bidi w:val="0"/>
              <w:spacing w:before="0" w:after="1"/>
              <w:ind w:left="0" w:right="0" w:hanging="0"/>
              <w:jc w:val="center"/>
              <w:rPr/>
            </w:pPr>
            <w:r>
              <w:rPr/>
              <w:t>​</w:t>
            </w:r>
          </w:p>
        </w:tc>
        <w:tc>
          <w:tcPr>
            <w:tcW w:w="96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Par</w:t>
            </w:r>
          </w:p>
        </w:tc>
        <w:tc>
          <w:tcPr>
            <w:tcW w:w="346" w:type="dxa"/>
            <w:tcBorders/>
            <w:vAlign w:val="center"/>
          </w:tcPr>
          <w:p>
            <w:pPr>
              <w:pStyle w:val="TableContents"/>
              <w:bidi w:val="0"/>
              <w:spacing w:before="0" w:after="1"/>
              <w:ind w:left="0" w:right="0" w:hanging="0"/>
              <w:jc w:val="center"/>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1"/>
              <w:ind w:left="0" w:right="0" w:hanging="0"/>
              <w:jc w:val="center"/>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1"/>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46" w:type="dxa"/>
            <w:tcBorders/>
            <w:vAlign w:val="center"/>
          </w:tcPr>
          <w:p>
            <w:pPr>
              <w:pStyle w:val="TableContents"/>
              <w:bidi w:val="0"/>
              <w:spacing w:before="0" w:after="1"/>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Interests</w:t>
            </w:r>
          </w:p>
        </w:tc>
        <w:tc>
          <w:tcPr>
            <w:tcW w:w="346" w:type="dxa"/>
            <w:tcBorders/>
            <w:vAlign w:val="center"/>
          </w:tcPr>
          <w:p>
            <w:pPr>
              <w:pStyle w:val="TableContents"/>
              <w:bidi w:val="0"/>
              <w:spacing w:before="0" w:after="1"/>
              <w:ind w:left="0" w:right="0" w:hanging="0"/>
              <w:jc w:val="center"/>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7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2,198,355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181,797</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47,440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32,378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2,460,688</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30,155</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30,723</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net /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470</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1,433</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declared ($0.177 per share)</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(12,658)</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(12,658)</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accumulated 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4,539</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4,539</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 from noncontrolling interests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1,229</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159,212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160,441</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Distributions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7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Repurchase of common stock</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(12,892)</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(12,899)</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2,187,162</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199,294</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51,979</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193,101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2,632,247</w:t>
            </w:r>
          </w:p>
        </w:tc>
      </w:tr>
      <w:tr>
        <w:trPr/>
        <w:tc>
          <w:tcPr>
            <w:tcW w:w="2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7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March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2,195,721</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119,034</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35,360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30,344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2,381,176</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27,947</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27,969</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net /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1,038</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1,365</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declared ($0.177 per share)</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(12,795)</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(12,795)</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accumulated 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6,370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6,370</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Distributions to noncontrolling interests</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2,196,759</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134,186</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41,730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30,675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2,404,067</w:t>
            </w:r>
          </w:p>
        </w:tc>
      </w:tr>
      <w:tr>
        <w:trPr/>
        <w:tc>
          <w:tcPr>
            <w:tcW w:w="2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6" w:type="dxa"/>
            <w:tcBorders/>
            <w:vAlign w:val="center"/>
          </w:tcPr>
          <w:p>
            <w:pPr>
              <w:pStyle w:val="TableContents"/>
              <w:bidi w:val="0"/>
              <w:spacing w:before="0" w:after="1"/>
              <w:ind w:left="0" w:right="0" w:hanging="0"/>
              <w:jc w:val="center"/>
              <w:rPr/>
            </w:pPr>
            <w:r>
              <w:rPr/>
              <w:t>​</w:t>
            </w:r>
          </w:p>
        </w:tc>
        <w:tc>
          <w:tcPr>
            <w:tcW w:w="70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75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2,199,265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165,737</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42,592</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31,568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2,439,879</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59,016</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59,620</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net /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4,378</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6,157</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declared ($0.354 per share)</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(25,459)</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(25,459)</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accumulated 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9,387</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9,387</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Contribution from noncontrolling interests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1,229</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0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7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159,212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160,441</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Distributions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Redemption and transfer of noncontrolling interests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(1,420)</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70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7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(1,440)</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Repurchase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(16,290)</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(16,299)</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June 30, 2026</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711</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2,187,162</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199,294</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51,979</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193,101</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2,632,247</w:t>
            </w:r>
          </w:p>
        </w:tc>
      </w:tr>
      <w:tr>
        <w:trPr/>
        <w:tc>
          <w:tcPr>
            <w:tcW w:w="27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70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75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December 31, 2024</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2,191,840</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102,472</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48,992</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30,009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2,374,027</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57,311</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57,379</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net / amortization</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5,028</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5,687</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Dividends declared ($0.354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(25,597)</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(25,597)</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accumulated other comprehensive income (loss)</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70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7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(7,262)</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(7,262)</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Distributions to 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70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75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r>
      <w:tr>
        <w:trPr/>
        <w:tc>
          <w:tcPr>
            <w:tcW w:w="270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Redemption of noncontrolling interests</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w:t>
            </w:r>
          </w:p>
        </w:tc>
      </w:tr>
      <w:tr>
        <w:trPr/>
        <w:tc>
          <w:tcPr>
            <w:tcW w:w="270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at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2,196,759</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134,186</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41,730</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30,675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2,404,067</w:t>
            </w:r>
          </w:p>
        </w:tc>
      </w:tr>
    </w:tbl>
    <w:p>
      <w:pPr>
        <w:pStyle w:val="TextBody"/>
        <w:bidi w:val="0"/>
        <w:spacing w:lineRule="atLeast" w:line="142" w:before="0" w:after="240"/>
        <w:ind w:left="0" w:right="0" w:firstLine="720"/>
        <w:jc w:val="center"/>
        <w:rPr/>
      </w:pPr>
      <w:r>
        <w:rPr/>
        <w:t>​</w:t>
      </w:r>
    </w:p>
    <w:p>
      <w:pPr>
        <w:pStyle w:val="TextBody"/>
        <w:bidi w:val="0"/>
        <w:spacing w:lineRule="atLeast" w:line="142" w:before="0" w:after="240"/>
        <w:ind w:left="0" w:right="0" w:firstLine="720"/>
        <w:jc w:val="center"/>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704" w:name="_36de6608_1445_43f3_b109_9257c214c342"/>
      <w:bookmarkEnd w:id="704"/>
      <w:r>
        <w:rPr>
          <w:rFonts w:ascii="Times New Roman;Times;serif" w:hAnsi="Times New Roman;Times;serif"/>
          <w:b/>
          <w:sz w:val="18"/>
        </w:rPr>
        <w:t>Safehold Inc.</w:t>
      </w:r>
    </w:p>
    <w:p>
      <w:pPr>
        <w:pStyle w:val="TextBody"/>
        <w:bidi w:val="0"/>
        <w:spacing w:before="0" w:after="0"/>
        <w:ind w:left="0" w:right="0" w:hanging="0"/>
        <w:jc w:val="center"/>
        <w:rPr>
          <w:rFonts w:ascii="Times New Roman;Times;serif" w:hAnsi="Times New Roman;Times;serif"/>
          <w:b/>
          <w:sz w:val="18"/>
        </w:rPr>
      </w:pPr>
      <w:bookmarkStart w:id="705" w:name="ConsolidatedStatementsofCashFlows_424097"/>
      <w:bookmarkEnd w:id="705"/>
      <w:r>
        <w:rPr>
          <w:rFonts w:ascii="Times New Roman;Times;serif" w:hAnsi="Times New Roman;Times;serif"/>
          <w:b/>
          <w:sz w:val="18"/>
        </w:rPr>
        <w:t>Consolidated Statements of Cash Flows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Normal"/>
        <w:bidi w:val="0"/>
        <w:spacing w:before="0" w:after="0"/>
        <w:jc w:val="left"/>
        <w:rPr>
          <w:sz w:val="4"/>
          <w:szCs w:val="4"/>
        </w:rPr>
      </w:pPr>
      <w:r>
        <w:rPr>
          <w:sz w:val="4"/>
          <w:szCs w:val="4"/>
        </w:rPr>
      </w:r>
      <w:bookmarkStart w:id="706" w:name="Tc_88KKIhW5QkeIJul2J8ATyw_60_6"/>
      <w:bookmarkStart w:id="707" w:name="Tc_LmCp1aWnDUa4DRWAVNPF3A_60_0"/>
      <w:bookmarkStart w:id="708" w:name="Tc_YcQVrW_QOUeH4qx5SvP6ew_59_0"/>
      <w:bookmarkStart w:id="709" w:name="Tc_kA9liYGvQ0-er5Mt5k8Tcw_58_0"/>
      <w:bookmarkStart w:id="710" w:name="Tc_fZnL9HA6e0u4cB7Rinuzrw_57_5"/>
      <w:bookmarkStart w:id="711" w:name="Tc_z5-x9LFph0a-HbxLkxivDA_57_2"/>
      <w:bookmarkStart w:id="712" w:name="Tc_0JrbwfOPYEm1po0pL8yvLg_57_0"/>
      <w:bookmarkStart w:id="713" w:name="Tc_8zaHYcaGuE-V8I1mnJpumA_56_0"/>
      <w:bookmarkStart w:id="714" w:name="Tc_ymfq-SWBqUaW2H_JC821eQ_54_5"/>
      <w:bookmarkStart w:id="715" w:name="Tc_lXH_LouYBEqZGDNJtHOB2g_54_2"/>
      <w:bookmarkStart w:id="716" w:name="Tc_-lFDCBJKlU2GNPMsrgO7Hg_54_0"/>
      <w:bookmarkStart w:id="717" w:name="Tc_vTjxMokrTE6vK_kLulmasA_53_0"/>
      <w:bookmarkStart w:id="718" w:name="Tc_5FxsQD5piEKc8EpXGX6Cfg_52_5"/>
      <w:bookmarkStart w:id="719" w:name="Tc_xMDhkEa3CkqSKSSuLVRIPQ_52_2"/>
      <w:bookmarkStart w:id="720" w:name="Tc_XFLMah6S70etO4Lokaeasw_52_0"/>
      <w:bookmarkStart w:id="721" w:name="Tc_NVba7689KkupwlSXaHrgOw_51_0"/>
      <w:bookmarkStart w:id="722" w:name="Tc_jnAZRZ1hL0WhWWb_4Ss6UA_49_5"/>
      <w:bookmarkStart w:id="723" w:name="Tc_woUPLNLNY0uQprZPewPNgg_49_2"/>
      <w:bookmarkStart w:id="724" w:name="Tc_wRAvKKTOBEuQG_91DeFunQ_49_0"/>
      <w:bookmarkStart w:id="725" w:name="Tc_VfnK-7oiLUOe678K5MzScg_48_0"/>
      <w:bookmarkStart w:id="726" w:name="Tc_nwbbcowX2U6uDYTdM-tCcg_47_0"/>
      <w:bookmarkStart w:id="727" w:name="Tc_MkKWL_9YD0q_HfCcNGtAXQ_46_0"/>
      <w:bookmarkStart w:id="728" w:name="Tc_C11PQRNjBkiCK2VmpEdOEg_45_6"/>
      <w:bookmarkStart w:id="729" w:name="Tc_uy3_Ptg48UyyTJBvL4unxg_45_0"/>
      <w:bookmarkStart w:id="730" w:name="Tc_nhtnz3bHM0ar3KB8b5tr-A_44_0"/>
      <w:bookmarkStart w:id="731" w:name="Tc_EP6cMpt2o0i5PqKAX6Ig2w_43_6"/>
      <w:bookmarkStart w:id="732" w:name="Tc_96KbLzralECbepmz4DXW6A_43_0"/>
      <w:bookmarkStart w:id="733" w:name="Tc_jkuAxXz61E6gRMRWv4nT-g_42_0"/>
      <w:bookmarkStart w:id="734" w:name="Tc_UB3onYin2Ey9PoRV2ez0oA_41_0"/>
      <w:bookmarkStart w:id="735" w:name="Tc_5d6NKJ12Zk6HAfQjpckS3Q_40_6"/>
      <w:bookmarkStart w:id="736" w:name="Tc_FFeO-60LW0Kh94KjIRO_lw_40_0"/>
      <w:bookmarkStart w:id="737" w:name="Tc_qtwH_EcgpkihrA2tzUA84g_39_6"/>
      <w:bookmarkStart w:id="738" w:name="Tc_y6g8Bfc5YEqDiDhafoXZ7w_39_0"/>
      <w:bookmarkStart w:id="739" w:name="Tc_RsAHv2IVnEOLvYsvdFvOvA_38_0"/>
      <w:bookmarkStart w:id="740" w:name="Tc_1pqwmxRLkkyj9EXIxKhLsg_37_0"/>
      <w:bookmarkStart w:id="741" w:name="Tc_JNRLM3jTTkGGzc8aWOpFEg_36_0"/>
      <w:bookmarkStart w:id="742" w:name="Tc_aOghoYrXlU2I58lqT4OsoQ_35_0"/>
      <w:bookmarkStart w:id="743" w:name="Tc_Xxj-IqDcdUyRisNI2T8MMw_34_0"/>
      <w:bookmarkStart w:id="744" w:name="Tc_ue0CO5u_OkC6xO2WtvhpyQ_33_0"/>
      <w:bookmarkStart w:id="745" w:name="Tc_y16As1WBJ06KApOtBifXfA_32_0"/>
      <w:bookmarkStart w:id="746" w:name="Tc_E6mDBSy8XUGFPEjMqohhDw_31_0"/>
      <w:bookmarkStart w:id="747" w:name="Tc_6NfoQ2THrEO2oK9mH3EHMA_30_0"/>
      <w:bookmarkStart w:id="748" w:name="Tc_jKmhmkmroUevNH_-nFyFxA_29_3"/>
      <w:bookmarkStart w:id="749" w:name="Tc_M-Lz65SBpE6gv4LOyuXHFg_29_0"/>
      <w:bookmarkStart w:id="750" w:name="Tc_NkNxLfsz202TQAzWSae0Hw_28_0"/>
      <w:bookmarkStart w:id="751" w:name="Tc_-4CsMMvGi0K4JOjfFPM75g_27_0"/>
      <w:bookmarkStart w:id="752" w:name="Tc_7EWxuWoPlEC5Tf5nopojuA_26_0"/>
      <w:bookmarkStart w:id="753" w:name="Tc_7sRmVWHo_k-dWSx9lMQJ3Q_25_0"/>
      <w:bookmarkStart w:id="754" w:name="Tc_fHNftfQwhUmVG3DkzaaSrg_24_0"/>
      <w:bookmarkStart w:id="755" w:name="Tc_kenOL7yKM0WWLKoUdo4c7w_23_0"/>
      <w:bookmarkStart w:id="756" w:name="Tc_vklWLrR3Jk-CoJfOts0IJQ_22_0"/>
      <w:bookmarkStart w:id="757" w:name="Tc_9wavmtqgt0S_FbOfO3Ky9A_21_0"/>
      <w:bookmarkStart w:id="758" w:name="Tc_Qr21mlvdgkuo8oQvQfAjCQ_20_0"/>
      <w:bookmarkStart w:id="759" w:name="Tc_jrr2By7oTkCzPiW6nGGPDw_19_0"/>
      <w:bookmarkStart w:id="760" w:name="Tc_SlGjCkSzREequm8jrlZ8HQ_18_0"/>
      <w:bookmarkStart w:id="761" w:name="Tc_4BDhulm8Hk-bCqtAcPyqxw_17_0"/>
      <w:bookmarkStart w:id="762" w:name="Tc_hoL3f6SOf0yuE81GGT_mcw_16_0"/>
      <w:bookmarkStart w:id="763" w:name="Tc_r1SPnsI6JkivAvPOEQ01NQ_15_0"/>
      <w:bookmarkStart w:id="764" w:name="Tc_EOjDqDzeZ0qgrWHn4tkaYA_14_3"/>
      <w:bookmarkStart w:id="765" w:name="Tc_Bw25pW_EKk-Y4uB94L6naw_14_0"/>
      <w:bookmarkStart w:id="766" w:name="Tc_r_CV0kp5L0iRHF3PAkCeZA_13_0"/>
      <w:bookmarkStart w:id="767" w:name="Tc_D2pZW3ZQc0i1E06NbzpX5g_12_0"/>
      <w:bookmarkStart w:id="768" w:name="Tc_FQrxYr1gUEmVovv7v0-wsA_11_0"/>
      <w:bookmarkStart w:id="769" w:name="Tc_FDnWQKV2YkW9rQNu_ti-Dg_10_0"/>
      <w:bookmarkStart w:id="770" w:name="Tc_sybIVCj480aqyo0i-6S0kQ_9_0"/>
      <w:bookmarkStart w:id="771" w:name="Tc_jIcacWBYrEmiWCXp2ROxEg_8_0"/>
      <w:bookmarkStart w:id="772" w:name="Tc_8xcRL6yo-EuIIGnbtl_qwQ_7_0"/>
      <w:bookmarkStart w:id="773" w:name="Tc_m-wQqJLDyUWYGDFZrB2KOw_6_5"/>
      <w:bookmarkStart w:id="774" w:name="Tc_8Q2SCP0y1EWMZ9vpXxneFA_6_2"/>
      <w:bookmarkStart w:id="775" w:name="Tc_8MoKxJI860m4WjyNAm4bgw_6_0"/>
      <w:bookmarkStart w:id="776" w:name="Tc_5fm0VCeKkUCGRsrmjyEvyA_5_0"/>
      <w:bookmarkStart w:id="777" w:name="Tc_BxwjZ-GGQ0WC4K2OTPtZRQ_3_5"/>
      <w:bookmarkStart w:id="778" w:name="Tc_-d-pxaYVT0WIHpSLQKDCQg_3_2"/>
      <w:bookmarkStart w:id="779" w:name="Tc_WnvDm5kUGESxbFDY4c8Q0g_2_2"/>
      <w:bookmarkStart w:id="780" w:name="Tc_VxtUrUTGfEC7S5krXZFjGA_1_2"/>
      <w:bookmarkStart w:id="781" w:name="_fd0d9590_db30_4207_bda2_308ab1eb4f5b"/>
      <w:bookmarkStart w:id="782" w:name="Tc_88KKIhW5QkeIJul2J8ATyw_60_6"/>
      <w:bookmarkStart w:id="783" w:name="Tc_LmCp1aWnDUa4DRWAVNPF3A_60_0"/>
      <w:bookmarkStart w:id="784" w:name="Tc_YcQVrW_QOUeH4qx5SvP6ew_59_0"/>
      <w:bookmarkStart w:id="785" w:name="Tc_kA9liYGvQ0-er5Mt5k8Tcw_58_0"/>
      <w:bookmarkStart w:id="786" w:name="Tc_fZnL9HA6e0u4cB7Rinuzrw_57_5"/>
      <w:bookmarkStart w:id="787" w:name="Tc_z5-x9LFph0a-HbxLkxivDA_57_2"/>
      <w:bookmarkStart w:id="788" w:name="Tc_0JrbwfOPYEm1po0pL8yvLg_57_0"/>
      <w:bookmarkStart w:id="789" w:name="Tc_8zaHYcaGuE-V8I1mnJpumA_56_0"/>
      <w:bookmarkStart w:id="790" w:name="Tc_ymfq-SWBqUaW2H_JC821eQ_54_5"/>
      <w:bookmarkStart w:id="791" w:name="Tc_lXH_LouYBEqZGDNJtHOB2g_54_2"/>
      <w:bookmarkStart w:id="792" w:name="Tc_-lFDCBJKlU2GNPMsrgO7Hg_54_0"/>
      <w:bookmarkStart w:id="793" w:name="Tc_vTjxMokrTE6vK_kLulmasA_53_0"/>
      <w:bookmarkStart w:id="794" w:name="Tc_5FxsQD5piEKc8EpXGX6Cfg_52_5"/>
      <w:bookmarkStart w:id="795" w:name="Tc_xMDhkEa3CkqSKSSuLVRIPQ_52_2"/>
      <w:bookmarkStart w:id="796" w:name="Tc_XFLMah6S70etO4Lokaeasw_52_0"/>
      <w:bookmarkStart w:id="797" w:name="Tc_NVba7689KkupwlSXaHrgOw_51_0"/>
      <w:bookmarkStart w:id="798" w:name="Tc_jnAZRZ1hL0WhWWb_4Ss6UA_49_5"/>
      <w:bookmarkStart w:id="799" w:name="Tc_woUPLNLNY0uQprZPewPNgg_49_2"/>
      <w:bookmarkStart w:id="800" w:name="Tc_wRAvKKTOBEuQG_91DeFunQ_49_0"/>
      <w:bookmarkStart w:id="801" w:name="Tc_VfnK-7oiLUOe678K5MzScg_48_0"/>
      <w:bookmarkStart w:id="802" w:name="Tc_nwbbcowX2U6uDYTdM-tCcg_47_0"/>
      <w:bookmarkStart w:id="803" w:name="Tc_MkKWL_9YD0q_HfCcNGtAXQ_46_0"/>
      <w:bookmarkStart w:id="804" w:name="Tc_C11PQRNjBkiCK2VmpEdOEg_45_6"/>
      <w:bookmarkStart w:id="805" w:name="Tc_uy3_Ptg48UyyTJBvL4unxg_45_0"/>
      <w:bookmarkStart w:id="806" w:name="Tc_nhtnz3bHM0ar3KB8b5tr-A_44_0"/>
      <w:bookmarkStart w:id="807" w:name="Tc_EP6cMpt2o0i5PqKAX6Ig2w_43_6"/>
      <w:bookmarkStart w:id="808" w:name="Tc_96KbLzralECbepmz4DXW6A_43_0"/>
      <w:bookmarkStart w:id="809" w:name="Tc_jkuAxXz61E6gRMRWv4nT-g_42_0"/>
      <w:bookmarkStart w:id="810" w:name="Tc_UB3onYin2Ey9PoRV2ez0oA_41_0"/>
      <w:bookmarkStart w:id="811" w:name="Tc_5d6NKJ12Zk6HAfQjpckS3Q_40_6"/>
      <w:bookmarkStart w:id="812" w:name="Tc_FFeO-60LW0Kh94KjIRO_lw_40_0"/>
      <w:bookmarkStart w:id="813" w:name="Tc_qtwH_EcgpkihrA2tzUA84g_39_6"/>
      <w:bookmarkStart w:id="814" w:name="Tc_y6g8Bfc5YEqDiDhafoXZ7w_39_0"/>
      <w:bookmarkStart w:id="815" w:name="Tc_RsAHv2IVnEOLvYsvdFvOvA_38_0"/>
      <w:bookmarkStart w:id="816" w:name="Tc_1pqwmxRLkkyj9EXIxKhLsg_37_0"/>
      <w:bookmarkStart w:id="817" w:name="Tc_JNRLM3jTTkGGzc8aWOpFEg_36_0"/>
      <w:bookmarkStart w:id="818" w:name="Tc_aOghoYrXlU2I58lqT4OsoQ_35_0"/>
      <w:bookmarkStart w:id="819" w:name="Tc_Xxj-IqDcdUyRisNI2T8MMw_34_0"/>
      <w:bookmarkStart w:id="820" w:name="Tc_ue0CO5u_OkC6xO2WtvhpyQ_33_0"/>
      <w:bookmarkStart w:id="821" w:name="Tc_y16As1WBJ06KApOtBifXfA_32_0"/>
      <w:bookmarkStart w:id="822" w:name="Tc_E6mDBSy8XUGFPEjMqohhDw_31_0"/>
      <w:bookmarkStart w:id="823" w:name="Tc_6NfoQ2THrEO2oK9mH3EHMA_30_0"/>
      <w:bookmarkStart w:id="824" w:name="Tc_jKmhmkmroUevNH_-nFyFxA_29_3"/>
      <w:bookmarkStart w:id="825" w:name="Tc_M-Lz65SBpE6gv4LOyuXHFg_29_0"/>
      <w:bookmarkStart w:id="826" w:name="Tc_NkNxLfsz202TQAzWSae0Hw_28_0"/>
      <w:bookmarkStart w:id="827" w:name="Tc_-4CsMMvGi0K4JOjfFPM75g_27_0"/>
      <w:bookmarkStart w:id="828" w:name="Tc_7EWxuWoPlEC5Tf5nopojuA_26_0"/>
      <w:bookmarkStart w:id="829" w:name="Tc_7sRmVWHo_k-dWSx9lMQJ3Q_25_0"/>
      <w:bookmarkStart w:id="830" w:name="Tc_fHNftfQwhUmVG3DkzaaSrg_24_0"/>
      <w:bookmarkStart w:id="831" w:name="Tc_kenOL7yKM0WWLKoUdo4c7w_23_0"/>
      <w:bookmarkStart w:id="832" w:name="Tc_vklWLrR3Jk-CoJfOts0IJQ_22_0"/>
      <w:bookmarkStart w:id="833" w:name="Tc_9wavmtqgt0S_FbOfO3Ky9A_21_0"/>
      <w:bookmarkStart w:id="834" w:name="Tc_Qr21mlvdgkuo8oQvQfAjCQ_20_0"/>
      <w:bookmarkStart w:id="835" w:name="Tc_jrr2By7oTkCzPiW6nGGPDw_19_0"/>
      <w:bookmarkStart w:id="836" w:name="Tc_SlGjCkSzREequm8jrlZ8HQ_18_0"/>
      <w:bookmarkStart w:id="837" w:name="Tc_4BDhulm8Hk-bCqtAcPyqxw_17_0"/>
      <w:bookmarkStart w:id="838" w:name="Tc_hoL3f6SOf0yuE81GGT_mcw_16_0"/>
      <w:bookmarkStart w:id="839" w:name="Tc_r1SPnsI6JkivAvPOEQ01NQ_15_0"/>
      <w:bookmarkStart w:id="840" w:name="Tc_EOjDqDzeZ0qgrWHn4tkaYA_14_3"/>
      <w:bookmarkStart w:id="841" w:name="Tc_Bw25pW_EKk-Y4uB94L6naw_14_0"/>
      <w:bookmarkStart w:id="842" w:name="Tc_r_CV0kp5L0iRHF3PAkCeZA_13_0"/>
      <w:bookmarkStart w:id="843" w:name="Tc_D2pZW3ZQc0i1E06NbzpX5g_12_0"/>
      <w:bookmarkStart w:id="844" w:name="Tc_FQrxYr1gUEmVovv7v0-wsA_11_0"/>
      <w:bookmarkStart w:id="845" w:name="Tc_FDnWQKV2YkW9rQNu_ti-Dg_10_0"/>
      <w:bookmarkStart w:id="846" w:name="Tc_sybIVCj480aqyo0i-6S0kQ_9_0"/>
      <w:bookmarkStart w:id="847" w:name="Tc_jIcacWBYrEmiWCXp2ROxEg_8_0"/>
      <w:bookmarkStart w:id="848" w:name="Tc_8xcRL6yo-EuIIGnbtl_qwQ_7_0"/>
      <w:bookmarkStart w:id="849" w:name="Tc_m-wQqJLDyUWYGDFZrB2KOw_6_5"/>
      <w:bookmarkStart w:id="850" w:name="Tc_8Q2SCP0y1EWMZ9vpXxneFA_6_2"/>
      <w:bookmarkStart w:id="851" w:name="Tc_8MoKxJI860m4WjyNAm4bgw_6_0"/>
      <w:bookmarkStart w:id="852" w:name="Tc_5fm0VCeKkUCGRsrmjyEvyA_5_0"/>
      <w:bookmarkStart w:id="853" w:name="Tc_BxwjZ-GGQ0WC4K2OTPtZRQ_3_5"/>
      <w:bookmarkStart w:id="854" w:name="Tc_-d-pxaYVT0WIHpSLQKDCQg_3_2"/>
      <w:bookmarkStart w:id="855" w:name="Tc_WnvDm5kUGESxbFDY4c8Q0g_2_2"/>
      <w:bookmarkStart w:id="856" w:name="Tc_VxtUrUTGfEC7S5krXZFjGA_1_2"/>
      <w:bookmarkStart w:id="857" w:name="_fd0d9590_db30_4207_bda2_308ab1eb4f5b"/>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tbl>
      <w:tblPr>
        <w:tblW w:w="9802" w:type="dxa"/>
        <w:jc w:val="left"/>
        <w:tblInd w:w="0" w:type="dxa"/>
        <w:tblLayout w:type="fixed"/>
        <w:tblCellMar>
          <w:top w:w="0" w:type="dxa"/>
          <w:left w:w="0" w:type="dxa"/>
          <w:bottom w:w="0" w:type="dxa"/>
          <w:right w:w="0" w:type="dxa"/>
        </w:tblCellMar>
      </w:tblPr>
      <w:tblGrid>
        <w:gridCol w:w="7201"/>
        <w:gridCol w:w="346"/>
        <w:gridCol w:w="181"/>
        <w:gridCol w:w="811"/>
        <w:gridCol w:w="346"/>
        <w:gridCol w:w="181"/>
        <w:gridCol w:w="736"/>
      </w:tblGrid>
      <w:tr>
        <w:trPr/>
        <w:tc>
          <w:tcPr>
            <w:tcW w:w="7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572635" cy="175260"/>
                      <wp:effectExtent l="0" t="0" r="0" b="0"/>
                      <wp:wrapNone/>
                      <wp:docPr id="81" name="Frame81"/>
                      <a:graphic xmlns:a="http://schemas.openxmlformats.org/drawingml/2006/main">
                        <a:graphicData uri="http://schemas.microsoft.com/office/word/2010/wordprocessingShape">
                          <wps:wsp>
                            <wps:cNvSpPr txBox="1"/>
                            <wps:spPr>
                              <a:xfrm>
                                <a:off x="0" y="0"/>
                                <a:ext cx="457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14935" cy="175260"/>
                      <wp:effectExtent l="0" t="0" r="0" b="0"/>
                      <wp:wrapNone/>
                      <wp:docPr id="83" name="Frame8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14985" cy="175260"/>
                      <wp:effectExtent l="0" t="0" r="0" b="0"/>
                      <wp:wrapNone/>
                      <wp:docPr id="84" name="Frame8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14935" cy="175260"/>
                      <wp:effectExtent l="0" t="0" r="0" b="0"/>
                      <wp:wrapNone/>
                      <wp:docPr id="86" name="Frame8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67360" cy="175260"/>
                      <wp:effectExtent l="0" t="0" r="0" b="0"/>
                      <wp:wrapNone/>
                      <wp:docPr id="87" name="Frame8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For the Six Months Ended </w:t>
            </w:r>
          </w:p>
        </w:tc>
      </w:tr>
      <w:tr>
        <w:trPr/>
        <w:tc>
          <w:tcPr>
            <w:tcW w:w="7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June 30, </w:t>
            </w:r>
          </w:p>
        </w:tc>
      </w:tr>
      <w:tr>
        <w:trPr/>
        <w:tc>
          <w:tcPr>
            <w:tcW w:w="7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2025</w:t>
            </w:r>
          </w:p>
        </w:tc>
      </w:tr>
      <w:tr>
        <w:trPr/>
        <w:tc>
          <w:tcPr>
            <w:tcW w:w="7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59,620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57,379</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Adjustments to reconcile net income (loss) to 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3,697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4,323</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7,168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6,568</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Deferred operating lease income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(15,007)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(15,208)</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Non-cash interest income from sales-type leases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(53,702)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(49,506)</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Non-cash interest expense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7,390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6,882</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of real estate-related intangibles,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1,155</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Write-off of investment in preferred equity</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1,945</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Provision for (recovery of) credit losses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4,646</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(Earnings) losses from equity method investments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(7,896)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(9,904)</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Distributions from operations of equity method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3,109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4,795</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of premium, discount and deferred financing costs on debt obligations, net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4,464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4,097</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received from derivative transactions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17,247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13,127</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operating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1,315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(1,414)</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Changes in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Changes in deferred expenses and other assets, net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(4,709)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2,251</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Changes in accounts payable, accrued expenses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1,643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5,766</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provided by (used in) operating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26,035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36,902</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Origination/acquisition of net investment in sales-type leases and Ground Lease receivables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(184,857)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(81,293)</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Origination and fundings of loans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(18,923)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(42,090)</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Contributions to equity method investments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(6,129)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(15,387)</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Distributions from equity method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9,528</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proceeds received from sale of real estate available and held for sale</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1,402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1,809</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received from derivative transactions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1,678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3,351</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investing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(1,767)</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121</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provided by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(208,596)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(123,961)</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debt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1,622,000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543,000</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Repayments of debt obligations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(1,556,000)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(420,000)</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for deferred 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(2,469)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(441)</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Dividends paid to common shareholders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(25,789)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(25,538)</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Repurchase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(16,050)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 of offering costs in connection with joint venture (refer to Note 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(9,962)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for withholding taxes upon vesting for 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(3,465)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(3,975)</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Redemption of noncontrolling interests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Contributions from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170,520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Distributions to noncontrolling interests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provided by (used in) financing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177,929</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92,878</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Changes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(4,632)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5,819</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beginning of period</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30,736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17,118</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26,104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22,937</w:t>
            </w:r>
          </w:p>
        </w:tc>
      </w:tr>
      <w:tr>
        <w:trPr/>
        <w:tc>
          <w:tcPr>
            <w:tcW w:w="7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Reconciliation of cash and cash equivalents and restricted cash presented on the consolidated statements of cash flows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and cash equivalents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15,922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13,907</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Restricted cash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10,182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9,030</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 cash and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26,104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22,937</w:t>
            </w:r>
          </w:p>
        </w:tc>
      </w:tr>
      <w:tr>
        <w:trPr/>
        <w:tc>
          <w:tcPr>
            <w:tcW w:w="72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Supplemental disclosure of non-cash investing and financing activity:</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Dividends declared to common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12,754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12,789</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Non-cash interest accrued to debt balances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2,179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2,123</w:t>
            </w:r>
          </w:p>
        </w:tc>
      </w:tr>
      <w:tr>
        <w:trPr/>
        <w:tc>
          <w:tcPr>
            <w:tcW w:w="720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loan acquisition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1,525</w:t>
            </w:r>
          </w:p>
        </w:tc>
      </w:tr>
      <w:tr>
        <w:trPr/>
        <w:tc>
          <w:tcPr>
            <w:tcW w:w="720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acquisition costs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45"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58" w:name="Note1BusinessandOrganization_244472"/>
      <w:bookmarkEnd w:id="858"/>
      <w:r>
        <w:rPr>
          <w:rFonts w:ascii="Times New Roman;Times;serif" w:hAnsi="Times New Roman;Times;serif"/>
          <w:b/>
          <w:sz w:val="20"/>
        </w:rPr>
        <w:t>Note 1—Business and Organization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Business</w:t>
      </w:r>
      <w:r>
        <w:rPr>
          <w:rFonts w:ascii="Times New Roman;Times;serif" w:hAnsi="Times New Roman;Times;serif"/>
          <w:sz w:val="20"/>
        </w:rPr>
        <w:t>—On March 31, 2023, Safehold Inc. (“Old Safe”) merged with and into iStar Inc. (“iStar”), at which time Old Safe ceased to exist and iStar continued as the surviving corporation and changed its name to “Safehold Inc.” (the “Merger”). Unless context otherwise requires, references to “the Company” refer to the business and operations of Old Safe and its consolidated subsidiaries prior to the Merger, and to Safehold Inc. (formerly iStar) and its consolidated subsidiaries following the consummation of the Merger. The Company is internally managed and operates its business through two segments as of January 1, 2026 – “Ground Leases,” reflecting the Company’s primary business of acquiring, managing and capitalizing ground leases, and “Hotel Operations,” reflecting the Company’s operation of certain hotel properties (refer to Note 16). The Company also manages entities focused on ground leases (refer to Note 8) and a wholly-owned subsidiary of the Company serves as external manager to Star Holdings (“Star Holdings”), a Maryland statutory trust that holds the legacy non-ground lease assets held by iStar prior to the Merger as well as shares of common stock of the Company, each of which are reflected in the Company’s Ground Leases segment. Ground leases are long-term contracts between the landlord (the Company) and a tenant or leaseholder. Ground leases generally represent ownership of the land underlying commercial real estate projects that is net leased by the fee owner of the land to the owners/operators of the real estate projects built thereon (“Ground Leases”). Under a Ground Lease, the tenant is generally responsible for all property operating expenses, such as maintenance, property taxes and insurance and is also responsible for development costs and capital expenditures. Ground Leases are typically long-term (base terms ranging from 30 to 99 years, often with tenant renewal options) and have contractual base rent increases (either at a specified percentage or consumer price index (“CPI”) based, or both) and sometimes include percentage rent participations. The Company’s CPI lookbacks are generally capped between 3.0% - 3.5% and generally start between years 11 and 21 of the lease term. In the event cumulative inflation growth for the lookback period exceeds the cap, these rent adjustments may not keep up fully with changes in inflation.</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intends to target investments in long-term Ground Leases in which: (i) the initial cost of its Ground Lease represents 30% to 45% of the combined value of the land and buildings and improvements thereon as if there was no Ground Lease on the land (“Combined Property Value”); (ii) the ratio of property net operating income to the Ground Lease payment due the Company (“Ground Rent Coverage”) is between 2.0x to 4.5x, and for this purpose the Company uses estimates of the stabilized property net operating income if it does not receive current tenant information and for properties under construction or in transition, in each case based on leasing activity at the property and available market information, including leasing activity at comparable properties in the relevant market; and (iii) the Ground Lease contains contractual rent escalation clauses or percentage rent that participates in gross revenues generated by the commercial real estate on the land. As Ground Lease lessor, the Company typically has the right to regain possession of its land and take ownership of the buildings and improvements thereon upon tenant default and the termination of the Ground Lease on account of such default. The Company believes that the Ground Lease structure provides an opportunity for potential value accretion through the reversion to the Company, as the Ground Lease owner, of the buildings and improvements on the land at the expiration or earlier termination of the lease, for no additional consideration from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Additionally, from time to time the Company may own and operate commercial properties that revert to it, as occurred on January 1, 2026 when the Company became responsible for operating two hotel properties following the expiration of a master lease, which is reflected in the Company’s Hotel Operations segment.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Organization</w:t>
      </w:r>
      <w:r>
        <w:rPr>
          <w:rFonts w:ascii="Times New Roman;Times;serif" w:hAnsi="Times New Roman;Times;serif"/>
          <w:sz w:val="20"/>
        </w:rPr>
        <w:t xml:space="preserve">—The Company is a Maryland corporation and its common stock is listed on the New York Stock Exchange (“NYSE”) under the symbol “SAFE.” The Company (then known as iStar) elected to be treated as a real estate investment trust (“REIT”) for U.S. federal income tax purposes, commencing with the tax year ended December 31, 1998.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conducts all of its business and owns all of its properties through Safehold GL Holdings LLC (“Portfolio Holdings”), which, prior to its conversion into a Delaware limited liability company in connection with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Merger, was named Safehold Operating Partnership LP. The Company, management of the Company, employees and former employees of the Company, affiliates of MSD Partners, L.P. (“MSD Partners”) and other outside investors own the issued and outstanding equity of Portfolio Holdings.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Safehold Management Services Inc. (“SpinCo Manager”), a Delaware corporation and a subsidiary of the Company, is party to a management agreement with Star Holdings dated as of March 31, 2023, as amended, pursuant to which SpinCo Manager is operating and pursuing the orderly monetization of Star Holding’s assets. Star Holdings paid SpinCo Manager an annual management fee of $15.0 million for the annual term ended March 31, 2025 and $10.0 million for the annual term ended March 31, 2026. The annual fee declined to $7.5 million (refer to Note 15) for the following annual term, and adjusts to 2.0% of the gross book value of Star Holdings’ assets, excluding shares of the Company’s common stock held by Star Holdings, thereafter. The Company and Star Holdings also entered into a governance agreement that places certain restrictions on the transfer and voting of the shares of the Company owned by Star Holdings, and a registration rights agreement under which the Company agreed to register such shares for resale in accordance with applicable securities laws.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2—Basis of Presentation and Principles of Consolidation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Basis of Presentation</w:t>
      </w:r>
      <w:r>
        <w:rPr>
          <w:rFonts w:ascii="Times New Roman;Times;serif" w:hAnsi="Times New Roman;Times;serif"/>
          <w:sz w:val="20"/>
        </w:rPr>
        <w:t>—The accompanying unaudited condensed consolidated financial statements have been prepared in conformity with the instructions to 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2025 (the “2025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these consolidated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Certain prior year amounts have been reclassified in the Company's consolidated financial statements and the related notes to conform to the current period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Principles of Consolidation</w:t>
      </w:r>
      <w:r>
        <w:rPr>
          <w:rFonts w:ascii="Times New Roman;Times;serif" w:hAnsi="Times New Roman;Times;serif"/>
          <w:sz w:val="20"/>
        </w:rPr>
        <w:t>—The consolidated financial statements include the accounts and operations of the Company, its wholly-owned subsidiaries and VIEs for which the Company is the primary beneficiary. All intercompany balances and transactions have been eliminated in consolidation.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Consolidated VIEs</w:t>
      </w:r>
      <w:r>
        <w:rPr>
          <w:rFonts w:ascii="Times New Roman;Times;serif" w:hAnsi="Times New Roman;Times;serif"/>
          <w:sz w:val="20"/>
        </w:rPr>
        <w:t xml:space="preserve">—The Company consolidates VIEs for which it is considered the primary beneficiary. As of June 30, 2026, the total assets of these consolidated VIEs were $442.2 million and total liabilities were $31.5 million. The classifications of these assets are primarily within “Net investment in sales-type leases,” “Ground Lease receivables,” “Real estate, net,” “Real estate-related intangible assets, net” and “Deferred operating lease income receivable” on the Company’s consolidated balance sheets. The classifications of liabilities are primarily within “Debt obligations, net” and “Accounts payable, accrued expenses and other liabilities” on the Company’s consolidated balance sheets. The liabilities of these VIEs are non-recourse to the Company and can only be satisfied from each VIE’s respective assets. The Company has provided no financial support to VIEs that it was not previously contractually required to provide and had $12.0 million of unfunded commitments related to consolidated VIEs as of June 30, 2026.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3—Summary of Significant Accounting Policies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Hotel revenues and hotel expenses</w:t>
      </w:r>
      <w:r>
        <w:rPr>
          <w:rFonts w:ascii="Times New Roman;Times;serif" w:hAnsi="Times New Roman;Times;serif"/>
          <w:sz w:val="20"/>
        </w:rPr>
        <w:t>—The Company became responsible for operating two hotel properties that reverted to it on January 1, 2026 following the expiration of a master lease. Revenues and expenses from these hotel operations primarily include room reservations and food and beverage. Room revenues are derived from the occupancy of the Company’s hotel rooms and is driven by the occupancy and average daily rate charged. Food and beverage revenues consist of revenues from group functions, which may include banquet revenues and audio-visual revenues, as well as outlet revenues from the restaurants and lounges at the Company’s properties. Revenues are recognized as the services or products are provided. Room expenses include housekeeping, reservation systems, room supplies, laundry services and front desk costs. Food and beverage expenses primarily include food, beverage and the associated labor costs. The Company also incurs other costs from its hotel operations including marketing, insurance, management fees, ground rent, property taxes and other administrative costs. Revenues from the Company’s hotel operations are included in “Hotel revenues” and expenses from hotel operations are included in “Hotel expenses” in the Company’s consolidated statements of operations, and each are included in the Company’s Hotel Operations segment.</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Fair Values</w:t>
      </w:r>
      <w:r>
        <w:rPr>
          <w:rFonts w:ascii="Times New Roman;Times;serif" w:hAnsi="Times New Roman;Times;serif"/>
          <w:sz w:val="20"/>
        </w:rPr>
        <w:t>—The Company is required to disclose fair value information with regard to its financial instruments, whether or not recognized in the consolidated balance sheets, for which it is practical to estimate fair value. The Financial Accounting Standards Board (“FASB”) guidance defines fair value as the price that would be received to sell an asset or paid to transfer a liability in an orderly transaction between market participants on the measurement date. The following fair value hierarchy prioritizes the inputs to be used in valuation techniques to measure fair value: Level 1: unadjusted quoted prices in active markets that are accessible at the measurement date for identical, unrestricted assets or liabilities; Level 2: quoted prices in markets that are not active, or inputs which are observable, either directly or indirectly, for substantially the full term of the asset or liability; and Level 3: prices or valuation techniques that require inputs that are both significant to the fair value measurement and unobservable (i.e., supported by little or no market activity). The Company determines the estimated fair values of financial assets and liabilities based on a hierarchy that distinguishes between market participant assumptions based on market data obtained from sources independent of the Company and the Company’s own assumptions about market participant assumptions.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859" w:name="Tc_GdicZTr7PUCVv4mxYQKKzA_16_0"/>
      <w:bookmarkStart w:id="860" w:name="Tc_Cguz4eJFc0SjoaAnrfGF8Q_15_0"/>
      <w:bookmarkStart w:id="861" w:name="Tc_Zm7nKocPfkW30AHwDgHKAQ_14_0"/>
      <w:bookmarkStart w:id="862" w:name="Tc_NE5vTmLHT0uehLzKGKhdlA_13_0"/>
      <w:bookmarkStart w:id="863" w:name="Tc__oZQGEJBiE2V5ABfxBId4A_12_0"/>
      <w:bookmarkStart w:id="864" w:name="Tc_q4QcKVQMrUODsLXcw6IZ9Q_10_0"/>
      <w:bookmarkStart w:id="865" w:name="Tc_jkmPV111HEqErAjDHDMnDw_9_0"/>
      <w:bookmarkStart w:id="866" w:name="Tc_9AoPd1DpyUSvOYyP5IWa7g_8_0"/>
      <w:bookmarkStart w:id="867" w:name="Tc_owZ4GD1VrkKsipXS5YCtTQ_7_0"/>
      <w:bookmarkStart w:id="868" w:name="Tc_RA1GwwixzUOfW-mTSkw4sw_6_0"/>
      <w:bookmarkStart w:id="869" w:name="Tc_qxzqROHXVUSmMoAL4PllFw_5_11"/>
      <w:bookmarkStart w:id="870" w:name="Tc_DPNBfJDCDEOUdpZxoIw9Cw_5_8"/>
      <w:bookmarkStart w:id="871" w:name="Tc__VKtKXhp40uvLDAUXrNXhQ_5_5"/>
      <w:bookmarkStart w:id="872" w:name="Tc_uv_yeG3ya0K1j3CztJz0Rw_5_2"/>
      <w:bookmarkStart w:id="873" w:name="Tc_weLx_QB9mUuRgDhN7DtHdA_5_0"/>
      <w:bookmarkStart w:id="874" w:name="Tc_w86bD1A1EEK5_oLsEuwF2g_4_0"/>
      <w:bookmarkStart w:id="875" w:name="Tc_ONHnwtDHsk2mkkKc2njUqg_3_11"/>
      <w:bookmarkStart w:id="876" w:name="Tc_iab4NktHHU2bWrtLd_tiyQ_3_8"/>
      <w:bookmarkStart w:id="877" w:name="Tc_o5ka-MosPEiG9-hZdsNi9Q_3_5"/>
      <w:bookmarkStart w:id="878" w:name="Tc_0GqGFGcP902nURWQLnVxOg_3_2"/>
      <w:bookmarkStart w:id="879" w:name="Tc_EG4SnDk_HUK-eb_4gAq3OQ_2_11"/>
      <w:bookmarkStart w:id="880" w:name="Tc_H2OIa6H5HkSqQ8pdVv_XDA_2_8"/>
      <w:bookmarkStart w:id="881" w:name="Tc_SH9n_ppZ8Uu2tbk6Bcby4Q_2_5"/>
      <w:bookmarkStart w:id="882" w:name="Tc_4kUPWQQa9Ea-F18iPFq7Kg_2_2"/>
      <w:bookmarkStart w:id="883" w:name="Tc_S0rAWmZoC0K478cu71O5Sw_1_8"/>
      <w:bookmarkStart w:id="884" w:name="Tc_J-Y3HOGlUkqiwqFIg-xSyQ_1_2"/>
      <w:bookmarkStart w:id="885" w:name="_0dcd32ce_8522_4439_8488_cc4ddec7d7a6"/>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r>
        <w:rPr>
          <w:rFonts w:ascii="Times New Roman;Times;serif" w:hAnsi="Times New Roman;Times;serif"/>
          <w:sz w:val="20"/>
        </w:rPr>
        <w:t xml:space="preserve">The following table presents the carrying value and fair value for the Company’s financial instruments ($ in millions): </w:t>
      </w:r>
    </w:p>
    <w:tbl>
      <w:tblPr>
        <w:tblW w:w="7842" w:type="dxa"/>
        <w:jc w:val="left"/>
        <w:tblInd w:w="0" w:type="dxa"/>
        <w:tblLayout w:type="fixed"/>
        <w:tblCellMar>
          <w:top w:w="0" w:type="dxa"/>
          <w:left w:w="0" w:type="dxa"/>
          <w:bottom w:w="0" w:type="dxa"/>
          <w:right w:w="0" w:type="dxa"/>
        </w:tblCellMar>
      </w:tblPr>
      <w:tblGrid>
        <w:gridCol w:w="3181"/>
        <w:gridCol w:w="346"/>
        <w:gridCol w:w="211"/>
        <w:gridCol w:w="571"/>
        <w:gridCol w:w="346"/>
        <w:gridCol w:w="211"/>
        <w:gridCol w:w="571"/>
        <w:gridCol w:w="346"/>
        <w:gridCol w:w="222"/>
        <w:gridCol w:w="604"/>
        <w:gridCol w:w="346"/>
        <w:gridCol w:w="211"/>
        <w:gridCol w:w="67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19935" cy="175260"/>
                      <wp:effectExtent l="0" t="0" r="0" b="0"/>
                      <wp:wrapNone/>
                      <wp:docPr id="88" name="Frame88"/>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62585" cy="175260"/>
                      <wp:effectExtent l="0" t="0" r="0" b="0"/>
                      <wp:wrapNone/>
                      <wp:docPr id="91" name="Frame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62585" cy="175260"/>
                      <wp:effectExtent l="0" t="0" r="0" b="0"/>
                      <wp:wrapNone/>
                      <wp:docPr id="94" name="Frame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40970" cy="175260"/>
                      <wp:effectExtent l="0" t="0" r="0" b="0"/>
                      <wp:wrapNone/>
                      <wp:docPr id="96" name="Frame96"/>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83540" cy="175260"/>
                      <wp:effectExtent l="0" t="0" r="0" b="0"/>
                      <wp:wrapNone/>
                      <wp:docPr id="97" name="Frame97"/>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29260" cy="175260"/>
                      <wp:effectExtent l="0" t="0" r="0" b="0"/>
                      <wp:wrapNone/>
                      <wp:docPr id="100" name="Frame1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c>
          <w:tcPr>
            <w:tcW w:w="346" w:type="dxa"/>
            <w:tcBorders/>
            <w:vAlign w:val="center"/>
          </w:tcPr>
          <w:p>
            <w:pPr>
              <w:pStyle w:val="TableContents"/>
              <w:bidi w:val="0"/>
              <w:spacing w:before="0" w:after="1"/>
              <w:ind w:left="0" w:right="0" w:hanging="0"/>
              <w:jc w:val="left"/>
              <w:rPr/>
            </w:pPr>
            <w:r>
              <w:rPr/>
              <w:t>​</w:t>
            </w:r>
          </w:p>
        </w:tc>
        <w:tc>
          <w:tcPr>
            <w:tcW w:w="20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center"/>
              <w:rPr/>
            </w:pPr>
            <w:r>
              <w:rPr/>
              <w:t>​</w:t>
            </w:r>
          </w:p>
        </w:tc>
        <w:tc>
          <w:tcPr>
            <w:tcW w:w="6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investment in sales-type leases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3,592</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3,576</w:t>
            </w:r>
          </w:p>
        </w:tc>
      </w:tr>
      <w:tr>
        <w:trPr/>
        <w:tc>
          <w:tcPr>
            <w:tcW w:w="31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Ground Lease receivables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2,215</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2,159</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Loans receivable, net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1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Loans receivable, net - related party</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1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Restricted cash</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1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Debt obligations, net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1,391</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2,725</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2,656</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obligations,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4,116</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4,070</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The fair value of the Company’s net investment in sales-type leases, Ground Lease receivables, loans receivable, net and loans receivable, net – related party are classified as Level 3 within the fair value hierarchy</w:t>
            </w:r>
            <w:r>
              <w:rPr>
                <w:rFonts w:ascii="Times New Roman;Times;serif" w:hAnsi="Times New Roman;Times;serif"/>
                <w:b w:val="false"/>
                <w:i w:val="false"/>
                <w:caps w:val="false"/>
                <w:smallCaps w:val="false"/>
                <w:sz w:val="16"/>
              </w:rPr>
              <w:t>.</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The fair value of the Company’s debt obligations traded in secondary markets are classified as Level 1 within the fair value hierarchy and the fair value of the Company’s debt obligations not traded in secondary markets are classified as Level 3 within the fair value hierarchy.</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Company determined the carrying values of its cash and cash equivalents and restricted cash approximated their fair values and are classified as Level 1 within the fair value hierarchy</w:t>
            </w:r>
            <w:r>
              <w:rPr>
                <w:rFonts w:ascii="Times New Roman;Times;serif" w:hAnsi="Times New Roman;Times;serif"/>
                <w:b w:val="false"/>
                <w:i w:val="false"/>
                <w:caps w:val="false"/>
                <w:smallCaps w:val="false"/>
                <w:sz w:val="16"/>
                <w:shd w:fill="FFFFFF" w:val="clear"/>
              </w:rPr>
              <w:t>.</w:t>
            </w:r>
          </w:p>
        </w:tc>
      </w:tr>
    </w:tbl>
    <w:p>
      <w:pPr>
        <w:pStyle w:val="TextBody"/>
        <w:bidi w:val="0"/>
        <w:spacing w:before="0" w:after="0"/>
        <w:ind w:left="0" w:right="0" w:hanging="0"/>
        <w:jc w:val="both"/>
        <w:rPr>
          <w:shd w:fill="FFFFFF" w:val="clear"/>
        </w:rPr>
      </w:pPr>
      <w:r>
        <w:rPr>
          <w:shd w:fill="FFFFFF"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color w:val="212529"/>
          <w:sz w:val="20"/>
        </w:rPr>
        <w:t>New accounting pronouncements</w:t>
      </w:r>
      <w:r>
        <w:rPr>
          <w:rFonts w:ascii="Times New Roman;Times;serif" w:hAnsi="Times New Roman;Times;serif"/>
          <w:color w:val="212529"/>
          <w:sz w:val="20"/>
        </w:rPr>
        <w:t>—</w:t>
      </w:r>
      <w:r>
        <w:rPr>
          <w:rFonts w:ascii="Times New Roman;Times;serif" w:hAnsi="Times New Roman;Times;serif"/>
          <w:sz w:val="20"/>
        </w:rPr>
        <w:t xml:space="preserve">In November 2024, the Financial Accounting Standards Board issued Accounting Standards Update 2024-03, “Disaggregation of Income Statement Expenses” (“ASU 2024-03”). ASU 2024-03 requires disclosure of additional information about specific cost and expense categories in the notes to the financial statements. ASU 2024-03 is effective for annual periods beginning after December 15, 2026 and interim reporting periods beginning after December 15, 2027. </w:t>
      </w:r>
      <w:r>
        <w:rPr>
          <w:rFonts w:ascii="Times New Roman;Times;serif" w:hAnsi="Times New Roman;Times;serif"/>
          <w:color w:val="212529"/>
          <w:spacing w:val="4"/>
          <w:sz w:val="20"/>
        </w:rPr>
        <w:t>The Company is currently evaluating ASU 2024-03 but does not expect this standard to have a material impact on its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Note 4—Net Investment in Sales-type Leases and Ground Lease Receivables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classifies certain of its Ground Leases as sales-type leases and records the leases within “Net investment in sales-type leases” on the Company’s consolidated balance sheets and records interest income in “Interest income from sales-type leases” in the Company’s consolidated statements of operations. In addition, the Company may enter into transactions whereby it acquires land and enters into Ground Leases directly with the seller. These Ground Leases qualify as sales-type leases and, as such, do not qualify for sale leaseback accounting and are accounted for as financing receivables in accordance with ASC 310 - Receivables and are included in “Ground Lease receivables” on the Company’s consolidated balance sheets. The Company records interest income from Ground Lease receivables in “Interest income from sales-type leases” in the Company’s consolidated statements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June 2026, the Company </w:t>
      </w:r>
      <w:r>
        <w:rPr>
          <w:rFonts w:ascii="Times New Roman;Times;serif" w:hAnsi="Times New Roman;Times;serif"/>
          <w:sz w:val="20"/>
          <w:shd w:fill="FFFFFF" w:val="clear"/>
        </w:rPr>
        <w:t xml:space="preserve">formed a joint venture with a Brookfield affiliate </w:t>
      </w:r>
      <w:r>
        <w:rPr>
          <w:rFonts w:ascii="Times New Roman;Times;serif" w:hAnsi="Times New Roman;Times;serif"/>
          <w:sz w:val="20"/>
        </w:rPr>
        <w:t>on a portfolio of Ground Leases (the “Brookfield JV”). The Company contributed seven Ground Leases to the Brookfield JV and Brookfield acquired a 49% noncontrolling interest in the venture for cash at a gross valuation of $348.0 million, or $170.5 million.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maintains control of the Brookfield JV and is responsible for the day-to-day operations of the venture and the management of its assets. The Company determined the Brookfield JV is a variable interest entity under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pBdr/>
        <w:bidi w:val="0"/>
        <w:spacing w:before="0" w:after="0"/>
        <w:ind w:left="0" w:right="0" w:hanging="0"/>
        <w:jc w:val="both"/>
        <w:rPr>
          <w:rFonts w:ascii="Times New Roman;Times;serif" w:hAnsi="Times New Roman;Times;serif"/>
          <w:sz w:val="20"/>
        </w:rPr>
      </w:pPr>
      <w:bookmarkStart w:id="886" w:name="Tc_WOqnPaWHxkOkRzTY1Fq-Jw_6_5"/>
      <w:bookmarkStart w:id="887" w:name="Tc_fgRUz_BueUad6iUpa7PWRw_6_2"/>
      <w:bookmarkStart w:id="888" w:name="Tc_RL49FtzSgEWPze4g6-o48w_6_0"/>
      <w:bookmarkStart w:id="889" w:name="Tc_4fyaz2aC8E6d3X1Lh_lT7g_5_0"/>
      <w:bookmarkStart w:id="890" w:name="Tc_2q1OlaegKUW2sCBg1xd--w_4_0"/>
      <w:bookmarkStart w:id="891" w:name="Tc_92zRTf597kG7FP8TWU-Akw_3_0"/>
      <w:bookmarkStart w:id="892" w:name="Tc_GaQObDk7EkqHQI8io728xg_2_5"/>
      <w:bookmarkStart w:id="893" w:name="Tc_LbHVlVh8FEuxvPdxAgy0iQ_2_2"/>
      <w:bookmarkStart w:id="894" w:name="Tc_RQRxYmhvsE6OC7HaHTI1vA_2_0"/>
      <w:bookmarkStart w:id="895" w:name="Tc_GKe7HOC-Dk2P3EoFI6Sj6Q_1_5"/>
      <w:bookmarkStart w:id="896" w:name="Tc_zAmI62Te8EyxGvgk7p3u6Q_1_2"/>
      <w:bookmarkStart w:id="897" w:name="_d9630a6f_501d_4e8f_9ff9_d50d231246f6"/>
      <w:bookmarkEnd w:id="886"/>
      <w:bookmarkEnd w:id="887"/>
      <w:bookmarkEnd w:id="888"/>
      <w:bookmarkEnd w:id="889"/>
      <w:bookmarkEnd w:id="890"/>
      <w:bookmarkEnd w:id="891"/>
      <w:bookmarkEnd w:id="892"/>
      <w:bookmarkEnd w:id="893"/>
      <w:bookmarkEnd w:id="894"/>
      <w:bookmarkEnd w:id="895"/>
      <w:bookmarkEnd w:id="896"/>
      <w:bookmarkEnd w:id="897"/>
      <w:r>
        <w:rPr>
          <w:rFonts w:ascii="Times New Roman;Times;serif" w:hAnsi="Times New Roman;Times;serif"/>
          <w:sz w:val="20"/>
        </w:rPr>
        <w:t>ASC 810 for which the Company is the primary beneficiary and consolidates the Brookfield JV in its consolidated financial statements. The contributions from Brookfield are accounted for as “noncontrolling interests” in the Company’s consolidated financial statements. The Company has a series of call options it can exercise beginning after seven years from the Brookfield JV inception date under which it can acquire Brookfield’s noncontrolling interest in the Brookfield JV at pre-determined prices.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May 2023, the Company entered into a joint venture with a sovereign wealth fund, which was and is an existing shareholder, focused on new acquisitions for certain Ground Lease investments. The Company committed approximately $275 million for a 55% controlling interest in the joint venture and the sovereign wealth fund committed approximately $225 million for a 45% noncontrolling interest in the joint venture. Each party’s commitment is discretionary. The joint venture is a voting interest entity and the Company consolidates the joint venture in its financial statements due to its controlling interest. The Company receives a management fee, measured on an asset-by-asset basis, equal to 25 basis points on invested equity for such asset for the first five years following its acquisition, and 15 basis points on invested equity thereafter. The Company will also receive a promote of 15% over a 9% internal rate of return, subject to a 1.275x multiple on invested capital. Since formation through August 30, 2024, the joint venture acquired nine Ground Leases for an aggregate purchase price of $170.4 million, of which $101.2 million had been funded as of August 30, 2024. On August 30, 2024, the Company acquired its partners’ share of the outstanding commitment for all existing Ground Leases in the venture for $48.3 million. The excess of the purchase price and related transaction costs over the carrying value of $46.0 million was recorded as a reduction to additional paid-in capital in the Company’s consolidated statement of changes in equity. The venture remains in place, and the partner's participation right in certain qualifying Ground Lease investment opportunities expired on September 30, 2024.</w:t>
      </w:r>
    </w:p>
    <w:p>
      <w:pPr>
        <w:pStyle w:val="TextBody"/>
        <w:shd w:fill="FFFFFF" w:val="clear"/>
        <w:bidi w:val="0"/>
        <w:spacing w:before="0" w:after="0"/>
        <w:ind w:left="0" w:right="0" w:firstLine="72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Company’s net investment in sales-type leases were comprised of the following ($ in thousands):</w:t>
      </w:r>
    </w:p>
    <w:tbl>
      <w:tblPr>
        <w:tblW w:w="7041" w:type="dxa"/>
        <w:jc w:val="left"/>
        <w:tblInd w:w="0" w:type="dxa"/>
        <w:tblLayout w:type="fixed"/>
        <w:tblCellMar>
          <w:top w:w="0" w:type="dxa"/>
          <w:left w:w="0" w:type="dxa"/>
          <w:bottom w:w="0" w:type="dxa"/>
          <w:right w:w="0" w:type="dxa"/>
        </w:tblCellMar>
      </w:tblPr>
      <w:tblGrid>
        <w:gridCol w:w="3436"/>
        <w:gridCol w:w="346"/>
        <w:gridCol w:w="211"/>
        <w:gridCol w:w="1156"/>
        <w:gridCol w:w="346"/>
        <w:gridCol w:w="241"/>
        <w:gridCol w:w="1305"/>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81860" cy="175260"/>
                      <wp:effectExtent l="0" t="0" r="0" b="0"/>
                      <wp:wrapNone/>
                      <wp:docPr id="101" name="Frame101"/>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34060" cy="175260"/>
                      <wp:effectExtent l="0" t="0" r="0" b="0"/>
                      <wp:wrapNone/>
                      <wp:docPr id="104" name="Frame10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53035" cy="175260"/>
                      <wp:effectExtent l="0" t="0" r="0" b="0"/>
                      <wp:wrapNone/>
                      <wp:docPr id="106" name="Frame10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828675" cy="175260"/>
                      <wp:effectExtent l="0" t="0" r="0" b="0"/>
                      <wp:wrapNone/>
                      <wp:docPr id="107" name="Frame107"/>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4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 undiscounted cash flows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35,845,586</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34,314,838</w:t>
            </w:r>
          </w:p>
        </w:tc>
      </w:tr>
      <w:tr>
        <w:trPr/>
        <w:tc>
          <w:tcPr>
            <w:tcW w:w="34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Unguaranteed estimated residual value</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3,143,707</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3,099,768</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discount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(35,303,589)</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(33,840,181)</w:t>
            </w:r>
          </w:p>
        </w:tc>
      </w:tr>
      <w:tr>
        <w:trPr/>
        <w:tc>
          <w:tcPr>
            <w:tcW w:w="3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Allowance for credit losses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(11,138)</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(10,750)</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investment in sales-type leases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3,674,566</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3,563,675</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total discounted cash flows were approximately $3,651</w:t>
            </w:r>
            <w:r>
              <w:rPr>
                <w:caps w:val="false"/>
                <w:smallCaps w:val="false"/>
              </w:rPr>
              <w:t xml:space="preserve"> </w:t>
            </w:r>
            <w:r>
              <w:rPr>
                <w:rFonts w:ascii="Times New Roman;Times;serif" w:hAnsi="Times New Roman;Times;serif"/>
                <w:b w:val="false"/>
                <w:i w:val="false"/>
                <w:caps w:val="false"/>
                <w:smallCaps w:val="false"/>
                <w:sz w:val="16"/>
              </w:rPr>
              <w:t>million and the discounted unguaranteed estimated residual value was $34.6</w:t>
            </w:r>
            <w:r>
              <w:rPr>
                <w:caps w:val="false"/>
                <w:smallCaps w:val="false"/>
              </w:rPr>
              <w:t xml:space="preserve"> </w:t>
            </w:r>
            <w:r>
              <w:rPr>
                <w:rFonts w:ascii="Times New Roman;Times;serif" w:hAnsi="Times New Roman;Times;serif"/>
                <w:b w:val="false"/>
                <w:i w:val="false"/>
                <w:caps w:val="false"/>
                <w:smallCaps w:val="false"/>
                <w:sz w:val="16"/>
              </w:rPr>
              <w:t>million. As of December 31, 2025, total discounted cash flows were approximately $3,541</w:t>
            </w:r>
            <w:r>
              <w:rPr>
                <w:caps w:val="false"/>
                <w:smallCaps w:val="false"/>
              </w:rPr>
              <w:t xml:space="preserve"> </w:t>
            </w:r>
            <w:r>
              <w:rPr>
                <w:rFonts w:ascii="Times New Roman;Times;serif" w:hAnsi="Times New Roman;Times;serif"/>
                <w:b w:val="false"/>
                <w:i w:val="false"/>
                <w:caps w:val="false"/>
                <w:smallCaps w:val="false"/>
                <w:sz w:val="16"/>
              </w:rPr>
              <w:t>million and the discounted unguaranteed estimated residual value was $33.7</w:t>
            </w:r>
            <w:r>
              <w:rPr>
                <w:caps w:val="false"/>
                <w:smallCaps w:val="false"/>
              </w:rPr>
              <w:t xml:space="preserve"> </w:t>
            </w:r>
            <w:r>
              <w:rPr>
                <w:rFonts w:ascii="Times New Roman;Times;serif" w:hAnsi="Times New Roman;Times;serif"/>
                <w:b w:val="false"/>
                <w:i w:val="false"/>
                <w:caps w:val="false"/>
                <w:smallCaps w:val="false"/>
                <w:sz w:val="16"/>
              </w:rPr>
              <w:t>million.</w:t>
            </w:r>
          </w:p>
        </w:tc>
      </w:tr>
    </w:tbl>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898" w:name="Tc_sxD_ojDLnUmPce9_7wzunA_8_8"/>
      <w:bookmarkStart w:id="899" w:name="Tc_XOM-d3hGFECnSaJ-FmX_nw_8_5"/>
      <w:bookmarkStart w:id="900" w:name="Tc_cWc8uXZo10ayvAp4rUZ3AA_8_2"/>
      <w:bookmarkStart w:id="901" w:name="Tc_cVcdC1JpJU27u8VYFQZiwQ_8_0"/>
      <w:bookmarkStart w:id="902" w:name="Tc_Zfhvx0abIEa6HkjsDTCbpA_7_0"/>
      <w:bookmarkStart w:id="903" w:name="Tc_Jq1_O0079E-MT19hzDQyXA_6_0"/>
      <w:bookmarkStart w:id="904" w:name="Tc_WctjyBR0f0yYJTwaFBA1BA_5_0"/>
      <w:bookmarkStart w:id="905" w:name="Tc_t_q_NzIYSEeyuCmh_xfURg_4_8"/>
      <w:bookmarkStart w:id="906" w:name="Tc_uHZEHMYO2UekwbUFyqmpUw_4_5"/>
      <w:bookmarkStart w:id="907" w:name="Tc_Q5Eg6MboYk6n5vL9JIHUdg_4_2"/>
      <w:bookmarkStart w:id="908" w:name="Tc_a0VRWBIcLkmTWeGJBXiwHQ_4_0"/>
      <w:bookmarkStart w:id="909" w:name="Tc_6jda50drXESgrZnAmQBXjw_3_0"/>
      <w:bookmarkStart w:id="910" w:name="Tc_XFyyBoAsM0e4fllDA-hg1g_2_8"/>
      <w:bookmarkStart w:id="911" w:name="Tc_j-jXtVkf-kK-0XYEclwsmg_2_5"/>
      <w:bookmarkStart w:id="912" w:name="Tc_xfOVTP1_JEi3UHytLX8lqQ_2_2"/>
      <w:bookmarkStart w:id="913" w:name="Tc_QXiSSnUsekOd0i9Ts7P1zg_1_5"/>
      <w:bookmarkStart w:id="914" w:name="Tc_zk9yHZ4oSke4n50mZYgFdg_1_2"/>
      <w:bookmarkStart w:id="915" w:name="_5e5cc62b_6ba5_453a_a67c_962afb4fbfc2"/>
      <w:bookmarkStart w:id="916" w:name="Tc_qULDhzKDx0S1FnXtBK-xbg_8_8"/>
      <w:bookmarkStart w:id="917" w:name="Tc_NvFf-XNQykC4ZNg7KLOFPw_8_5"/>
      <w:bookmarkStart w:id="918" w:name="Tc_0burnHb5vUKMC2dsZbxMOA_8_2"/>
      <w:bookmarkStart w:id="919" w:name="Tc_FIpTfTM-VECbsL37-OSW7w_8_0"/>
      <w:bookmarkStart w:id="920" w:name="Tc_PyKwKct3jkWwYzmsn3ZQ4g_7_0"/>
      <w:bookmarkStart w:id="921" w:name="Tc_WTG86y4-GUuPvYL9WkZybw_6_0"/>
      <w:bookmarkStart w:id="922" w:name="Tc_3h5MR3VxJUqAIjLe83N5Iw_5_0"/>
      <w:bookmarkStart w:id="923" w:name="Tc_RLJ3Aa4cSkKvLODzpgLv6A_4_8"/>
      <w:bookmarkStart w:id="924" w:name="Tc_zDrib3xgGkSieMfs0EjIng_4_5"/>
      <w:bookmarkStart w:id="925" w:name="Tc_ykBsNfxqpE-8QQMwSytuBQ_4_2"/>
      <w:bookmarkStart w:id="926" w:name="Tc_stA_qS1_P0OaU6A3XmFtpg_4_0"/>
      <w:bookmarkStart w:id="927" w:name="Tc_r0h-bl1io0KkmGmS5BldSw_3_0"/>
      <w:bookmarkStart w:id="928" w:name="Tc_iYCMr4nP0kWW6yQy_iRFcg_2_8"/>
      <w:bookmarkStart w:id="929" w:name="Tc__Gmfujn3OUunJlzp8dX_XQ_2_5"/>
      <w:bookmarkStart w:id="930" w:name="Tc_Wlk_7hZck0ewEW3YmkMLmw_2_2"/>
      <w:bookmarkStart w:id="931" w:name="Tc_ST19Jg3TQUyM3vVHdvXt8A_1_5"/>
      <w:bookmarkStart w:id="932" w:name="Tc_5mBLefXCdkmk3aqkSxw0-A_1_2"/>
      <w:bookmarkStart w:id="933" w:name="_74a0e76f_5276_4a57_96ff_f02535000264"/>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r>
        <w:rPr>
          <w:rFonts w:ascii="Times New Roman;Times;serif" w:hAnsi="Times New Roman;Times;serif"/>
          <w:sz w:val="20"/>
        </w:rPr>
        <w:t xml:space="preserve">The following table presents a rollforward of the Company’s net investment in sales-type leases and Ground Lease receivables for the six months ended June 30, 2026 and 2025 ($ in thousands): </w:t>
      </w:r>
    </w:p>
    <w:p>
      <w:pPr>
        <w:pStyle w:val="TextBody"/>
        <w:bidi w:val="0"/>
        <w:spacing w:before="0" w:after="0"/>
        <w:ind w:left="0" w:right="0" w:hanging="0"/>
        <w:jc w:val="left"/>
        <w:rPr/>
      </w:pPr>
      <w:r>
        <w:rPr/>
        <w:t>​</w:t>
      </w:r>
    </w:p>
    <w:tbl>
      <w:tblPr>
        <w:tblW w:w="7851" w:type="dxa"/>
        <w:jc w:val="left"/>
        <w:tblInd w:w="0" w:type="dxa"/>
        <w:tblLayout w:type="fixed"/>
        <w:tblCellMar>
          <w:top w:w="0" w:type="dxa"/>
          <w:left w:w="0" w:type="dxa"/>
          <w:bottom w:w="0" w:type="dxa"/>
          <w:right w:w="0" w:type="dxa"/>
        </w:tblCellMar>
      </w:tblPr>
      <w:tblGrid>
        <w:gridCol w:w="3001"/>
        <w:gridCol w:w="346"/>
        <w:gridCol w:w="284"/>
        <w:gridCol w:w="1201"/>
        <w:gridCol w:w="346"/>
        <w:gridCol w:w="230"/>
        <w:gridCol w:w="970"/>
        <w:gridCol w:w="346"/>
        <w:gridCol w:w="196"/>
        <w:gridCol w:w="931"/>
      </w:tblGrid>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80340" cy="175260"/>
                      <wp:effectExtent l="0" t="0" r="0" b="0"/>
                      <wp:wrapNone/>
                      <wp:docPr id="109" name="Frame10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762635" cy="175260"/>
                      <wp:effectExtent l="0" t="0" r="0" b="0"/>
                      <wp:wrapNone/>
                      <wp:docPr id="110" name="Frame11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6050" cy="175260"/>
                      <wp:effectExtent l="0" t="0" r="0" b="0"/>
                      <wp:wrapNone/>
                      <wp:docPr id="112" name="Frame11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15950" cy="175260"/>
                      <wp:effectExtent l="0" t="0" r="0" b="0"/>
                      <wp:wrapNone/>
                      <wp:docPr id="113" name="Frame113"/>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24460" cy="175260"/>
                      <wp:effectExtent l="0" t="0" r="0" b="0"/>
                      <wp:wrapNone/>
                      <wp:docPr id="115" name="Frame1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91185" cy="175260"/>
                      <wp:effectExtent l="0" t="0" r="0" b="0"/>
                      <wp:wrapNone/>
                      <wp:docPr id="116" name="Frame1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Net Investment in</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Ground Lease</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Sales-type Leases</w:t>
            </w:r>
          </w:p>
        </w:tc>
        <w:tc>
          <w:tcPr>
            <w:tcW w:w="346" w:type="dxa"/>
            <w:tcBorders/>
            <w:vAlign w:val="center"/>
          </w:tcPr>
          <w:p>
            <w:pPr>
              <w:pStyle w:val="TableContents"/>
              <w:bidi w:val="0"/>
              <w:spacing w:before="0" w:after="0"/>
              <w:ind w:left="0" w:right="0" w:hanging="0"/>
              <w:jc w:val="center"/>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Receivables</w:t>
            </w:r>
          </w:p>
        </w:tc>
        <w:tc>
          <w:tcPr>
            <w:tcW w:w="346" w:type="dxa"/>
            <w:tcBorders/>
            <w:vAlign w:val="center"/>
          </w:tcPr>
          <w:p>
            <w:pPr>
              <w:pStyle w:val="TableContents"/>
              <w:bidi w:val="0"/>
              <w:spacing w:before="0" w:after="0"/>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Six Months Ended June 30, 2026</w:t>
            </w:r>
          </w:p>
        </w:tc>
        <w:tc>
          <w:tcPr>
            <w:tcW w:w="3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3,563,675</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2,003,931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5,567,606</w:t>
            </w:r>
          </w:p>
        </w:tc>
      </w:tr>
      <w:tr>
        <w:trPr/>
        <w:tc>
          <w:tcPr>
            <w:tcW w:w="300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Origination/acquisition/fundings</w:t>
            </w: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77,182</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107,725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184,907</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34,097</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53,702</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(Provision for) recovery of credit losses </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w:t>
            </w:r>
          </w:p>
        </w:tc>
      </w:tr>
      <w:tr>
        <w:trPr/>
        <w:tc>
          <w:tcPr>
            <w:tcW w:w="30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Ending balance</w:t>
            </w: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3,674,566</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2,130,999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5,805,565</w:t>
            </w:r>
          </w:p>
        </w:tc>
      </w:tr>
    </w:tbl>
    <w:p>
      <w:pPr>
        <w:pStyle w:val="TextBody"/>
        <w:bidi w:val="0"/>
        <w:spacing w:before="0" w:after="0"/>
        <w:ind w:left="0" w:right="0" w:hanging="0"/>
        <w:jc w:val="left"/>
        <w:rPr/>
      </w:pPr>
      <w:r>
        <w:rPr/>
        <w:t>​</w:t>
      </w:r>
    </w:p>
    <w:tbl>
      <w:tblPr>
        <w:tblW w:w="7851" w:type="dxa"/>
        <w:jc w:val="left"/>
        <w:tblInd w:w="0" w:type="dxa"/>
        <w:tblLayout w:type="fixed"/>
        <w:tblCellMar>
          <w:top w:w="0" w:type="dxa"/>
          <w:left w:w="0" w:type="dxa"/>
          <w:bottom w:w="0" w:type="dxa"/>
          <w:right w:w="0" w:type="dxa"/>
        </w:tblCellMar>
      </w:tblPr>
      <w:tblGrid>
        <w:gridCol w:w="3001"/>
        <w:gridCol w:w="346"/>
        <w:gridCol w:w="284"/>
        <w:gridCol w:w="1201"/>
        <w:gridCol w:w="346"/>
        <w:gridCol w:w="230"/>
        <w:gridCol w:w="970"/>
        <w:gridCol w:w="346"/>
        <w:gridCol w:w="196"/>
        <w:gridCol w:w="931"/>
      </w:tblGrid>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80340" cy="175260"/>
                      <wp:effectExtent l="0" t="0" r="0" b="0"/>
                      <wp:wrapNone/>
                      <wp:docPr id="118" name="Frame11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62635" cy="175260"/>
                      <wp:effectExtent l="0" t="0" r="0" b="0"/>
                      <wp:wrapNone/>
                      <wp:docPr id="119" name="Frame11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46050" cy="175260"/>
                      <wp:effectExtent l="0" t="0" r="0" b="0"/>
                      <wp:wrapNone/>
                      <wp:docPr id="121" name="Frame12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15950" cy="175260"/>
                      <wp:effectExtent l="0" t="0" r="0" b="0"/>
                      <wp:wrapNone/>
                      <wp:docPr id="122" name="Frame122"/>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24460" cy="175260"/>
                      <wp:effectExtent l="0" t="0" r="0" b="0"/>
                      <wp:wrapNone/>
                      <wp:docPr id="124" name="Frame1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91185" cy="175260"/>
                      <wp:effectExtent l="0" t="0" r="0" b="0"/>
                      <wp:wrapNone/>
                      <wp:docPr id="125" name="Frame1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8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Net Investment in</w:t>
            </w:r>
          </w:p>
        </w:tc>
        <w:tc>
          <w:tcPr>
            <w:tcW w:w="346" w:type="dxa"/>
            <w:tcBorders/>
            <w:vAlign w:val="center"/>
          </w:tcPr>
          <w:p>
            <w:pPr>
              <w:pStyle w:val="TableContents"/>
              <w:bidi w:val="0"/>
              <w:spacing w:before="0" w:after="1"/>
              <w:ind w:left="0" w:right="0" w:hanging="0"/>
              <w:jc w:val="center"/>
              <w:rPr/>
            </w:pPr>
            <w:r>
              <w:rPr/>
              <w:t>​</w:t>
            </w:r>
          </w:p>
        </w:tc>
        <w:tc>
          <w:tcPr>
            <w:tcW w:w="120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Ground Lease</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Sales-type Leases</w:t>
            </w:r>
          </w:p>
        </w:tc>
        <w:tc>
          <w:tcPr>
            <w:tcW w:w="346" w:type="dxa"/>
            <w:tcBorders/>
            <w:vAlign w:val="center"/>
          </w:tcPr>
          <w:p>
            <w:pPr>
              <w:pStyle w:val="TableContents"/>
              <w:bidi w:val="0"/>
              <w:spacing w:before="0" w:after="1"/>
              <w:ind w:left="0" w:right="0" w:hanging="0"/>
              <w:jc w:val="center"/>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Receivables</w:t>
            </w:r>
          </w:p>
        </w:tc>
        <w:tc>
          <w:tcPr>
            <w:tcW w:w="346" w:type="dxa"/>
            <w:tcBorders/>
            <w:vAlign w:val="center"/>
          </w:tcPr>
          <w:p>
            <w:pPr>
              <w:pStyle w:val="TableContents"/>
              <w:bidi w:val="0"/>
              <w:spacing w:before="0" w:after="1"/>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0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Six Months Ended June 30, 2025</w:t>
            </w:r>
          </w:p>
        </w:tc>
        <w:tc>
          <w:tcPr>
            <w:tcW w:w="346" w:type="dxa"/>
            <w:tcBorders/>
            <w:vAlign w:val="center"/>
          </w:tcPr>
          <w:p>
            <w:pPr>
              <w:pStyle w:val="TableContents"/>
              <w:bidi w:val="0"/>
              <w:spacing w:before="0" w:after="1"/>
              <w:ind w:left="0" w:right="0" w:hanging="0"/>
              <w:jc w:val="left"/>
              <w:rPr/>
            </w:pPr>
            <w:r>
              <w:rPr/>
              <w:t> </w:t>
            </w:r>
          </w:p>
        </w:tc>
        <w:tc>
          <w:tcPr>
            <w:tcW w:w="284"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Beginning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3,454,953</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1,833,398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5,288,351</w:t>
            </w:r>
          </w:p>
        </w:tc>
      </w:tr>
      <w:tr>
        <w:trPr/>
        <w:tc>
          <w:tcPr>
            <w:tcW w:w="3001"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Origination/acquisition/fundings</w:t>
            </w: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25,770</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54,948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80,718</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32,043</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49,506</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(Provision for) recovery of credit losses </w:t>
            </w:r>
          </w:p>
        </w:tc>
        <w:tc>
          <w:tcPr>
            <w:tcW w:w="34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(1,509)</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(3,435)</w:t>
            </w:r>
          </w:p>
        </w:tc>
      </w:tr>
      <w:tr>
        <w:trPr/>
        <w:tc>
          <w:tcPr>
            <w:tcW w:w="300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Ending balance</w:t>
            </w: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3,511,257</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1,903,883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5,415,140</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net investment in sales-type leases is initially measured at the present value of the fixed and determinable lease payments, including any guaranteed or unguaranteed estimated residual value of the asset at the end of the lease, discounted at the rate implicit in the lease. For newly originated or acquired Ground Leases, the Company’s estimate of residual value equals the fair value of the land at lease commencement.</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and December 31, 2025, all of the Company’s net investment in sales-type leases and Ground Lease receivables were current in their payment status. As of June 30, 2026, the Company’s weighted average accrual rate for its net investment in sales-type leases and Ground Lease receivables was 5.3%</w:t>
            </w:r>
            <w:r>
              <w:rPr>
                <w:caps w:val="false"/>
                <w:smallCaps w:val="false"/>
              </w:rPr>
              <w:t xml:space="preserve"> </w:t>
            </w:r>
            <w:r>
              <w:rPr>
                <w:rFonts w:ascii="Times New Roman;Times;serif" w:hAnsi="Times New Roman;Times;serif"/>
                <w:b w:val="false"/>
                <w:i w:val="false"/>
                <w:caps w:val="false"/>
                <w:smallCaps w:val="false"/>
                <w:sz w:val="16"/>
              </w:rPr>
              <w:t>and 5.8%, respectively. As of June 30, 2026, the weighted average remaining life of the Company’s 61</w:t>
            </w:r>
            <w:r>
              <w:rPr>
                <w:caps w:val="false"/>
                <w:smallCaps w:val="false"/>
              </w:rPr>
              <w:t xml:space="preserve"> </w:t>
            </w:r>
            <w:r>
              <w:rPr>
                <w:rFonts w:ascii="Times New Roman;Times;serif" w:hAnsi="Times New Roman;Times;serif"/>
                <w:b w:val="false"/>
                <w:i w:val="false"/>
                <w:caps w:val="false"/>
                <w:smallCaps w:val="false"/>
                <w:sz w:val="16"/>
              </w:rPr>
              <w:t>Ground Lease receivables was 96.0</w:t>
            </w:r>
            <w:r>
              <w:rPr>
                <w:caps w:val="false"/>
                <w:smallCaps w:val="false"/>
              </w:rPr>
              <w:t> </w:t>
            </w:r>
            <w:r>
              <w:rPr>
                <w:rFonts w:ascii="Times New Roman;Times;serif" w:hAnsi="Times New Roman;Times;serif"/>
                <w:b w:val="false"/>
                <w:i w:val="false"/>
                <w:caps w:val="false"/>
                <w:smallCaps w:val="false"/>
                <w:sz w:val="16"/>
              </w:rPr>
              <w:t>years.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934" w:name="Tc_JDul2tlcH0-RVSBsDrPX8Q_21_11"/>
      <w:bookmarkStart w:id="935" w:name="Tc_cYyilM35LEa5xRHhV6iEPQ_21_8"/>
      <w:bookmarkStart w:id="936" w:name="Tc_9IHhCarlf0eJU47fEFnO2A_21_5"/>
      <w:bookmarkStart w:id="937" w:name="Tc_0005BtctQ0axViLhn73mfA_21_2"/>
      <w:bookmarkStart w:id="938" w:name="Tc_T7CC29SuiUmL4XfO0W_IkA_21_0"/>
      <w:bookmarkStart w:id="939" w:name="Tc_CY9LqrTm7UumLi3KF9xc6A_20_0"/>
      <w:bookmarkStart w:id="940" w:name="Tc_8EPPBdk6n0ibKTP3s4apDw_19_11"/>
      <w:bookmarkStart w:id="941" w:name="Tc_fJ_hFKTKQkWZZViPDNXc0g_19_9"/>
      <w:bookmarkStart w:id="942" w:name="Tc_DrTwSmX-7U-dyUNZrDe2qg_19_8"/>
      <w:bookmarkStart w:id="943" w:name="Tc_fQdFyJhZvEyEvoAEC2Y9eg_19_5"/>
      <w:bookmarkStart w:id="944" w:name="Tc_G24f2LStz02Dr97FO-vn3w_19_2"/>
      <w:bookmarkStart w:id="945" w:name="Tc_Wh7aIIicJ0Wg8ndRKwzcKw_19_0"/>
      <w:bookmarkStart w:id="946" w:name="Tc_unzfJ68TL0-KEZM0hs6CFw_18_0"/>
      <w:bookmarkStart w:id="947" w:name="Tc_gOSfzyJwo06Dt-2k-G3Bqg_16_11"/>
      <w:bookmarkStart w:id="948" w:name="Tc_P_IFU8290UqVpui_x6JdqA_16_8"/>
      <w:bookmarkStart w:id="949" w:name="Tc_munPDKjvWESuFpP4bFD-Mw_16_5"/>
      <w:bookmarkStart w:id="950" w:name="Tc_ts9a1nDNq0yEnQ2_van5CQ_16_2"/>
      <w:bookmarkStart w:id="951" w:name="Tc_gD8sn0CWrkm87YFaVPSTIg_16_0"/>
      <w:bookmarkStart w:id="952" w:name="Tc_rm1mCwsNGkejeaTpeXbNeg_15_0"/>
      <w:bookmarkStart w:id="953" w:name="Tc_l6nfF6r5T0uQlE20kulUIA_14_11"/>
      <w:bookmarkStart w:id="954" w:name="Tc_6P4R0rYBl0ymO2-z2MuUTQ_14_8"/>
      <w:bookmarkStart w:id="955" w:name="Tc_J3dd_zIOlki0QELBnwoeyg_14_5"/>
      <w:bookmarkStart w:id="956" w:name="Tc_IyLLDjx8f0KOr9e7iOaedg_14_2"/>
      <w:bookmarkStart w:id="957" w:name="Tc_HDamGdsKhEuP3bmyqvR-lw_14_0"/>
      <w:bookmarkStart w:id="958" w:name="Tc_Q_8SiVY03ky9TTXYDucRvQ_13_0"/>
      <w:bookmarkStart w:id="959" w:name="Tc_N9fI0Hlt30yuWm14cLu7hA_11_11"/>
      <w:bookmarkStart w:id="960" w:name="Tc_ZDc-nyN0u0mU0QzMdptEaw_11_8"/>
      <w:bookmarkStart w:id="961" w:name="Tc_ySJaNwgO7ECqRDlHcRWy0A_11_5"/>
      <w:bookmarkStart w:id="962" w:name="Tc_yM-ksnx4x0aKCjTYAXDRmg_11_2"/>
      <w:bookmarkStart w:id="963" w:name="Tc_up6CCqBxPkuChXpaxzFzgg_11_0"/>
      <w:bookmarkStart w:id="964" w:name="Tc_CTRexW5EjEqybmpVQe1z9A_10_0"/>
      <w:bookmarkStart w:id="965" w:name="Tc_MgogoTZLMki1Z2EgQ8TiPw_9_11"/>
      <w:bookmarkStart w:id="966" w:name="Tc_XAuTMZK1oU6X6CkeEWUaLA_9_9"/>
      <w:bookmarkStart w:id="967" w:name="Tc_8eMX8KdhWkib3Vq-sWHPUA_9_8"/>
      <w:bookmarkStart w:id="968" w:name="Tc_4LY0QoItK0mY85gcbOIz0w_9_5"/>
      <w:bookmarkStart w:id="969" w:name="Tc_jJHKyEfiN0qKGcM0OUdmYw_9_2"/>
      <w:bookmarkStart w:id="970" w:name="Tc_t_rhi9ko-0Omhr93007_bA_9_0"/>
      <w:bookmarkStart w:id="971" w:name="Tc_Ur1P0UOjdUGVOp2HRI3PVQ_8_0"/>
      <w:bookmarkStart w:id="972" w:name="Tc_uYR1xD73J0ShBwVNlkexWQ_6_11"/>
      <w:bookmarkStart w:id="973" w:name="Tc_CsWNJNOr6kOgJCTrOc_boA_6_8"/>
      <w:bookmarkStart w:id="974" w:name="Tc_IpLi5tRZ1EeC5wIOlKsVhw_6_5"/>
      <w:bookmarkStart w:id="975" w:name="Tc_VWR4Q85tk0az4aoJog5OLQ_6_2"/>
      <w:bookmarkStart w:id="976" w:name="Tc_h5FtmiM4ekGjaL0iXk_xWQ_6_0"/>
      <w:bookmarkStart w:id="977" w:name="Tc_Nwpks3b1tU29rEVXS_JBqA_5_0"/>
      <w:bookmarkStart w:id="978" w:name="Tc_1A6nnc1YV02XRrPbiFF2TQ_4_11"/>
      <w:bookmarkStart w:id="979" w:name="Tc_o-ZNDOILXUKTXyrxAdN8gA_4_8"/>
      <w:bookmarkStart w:id="980" w:name="Tc_EzZiXzSr7EGEru4qWBg1Vw_4_5"/>
      <w:bookmarkStart w:id="981" w:name="Tc_XJJ2PBaC50WOpckL5iJFlA_4_2"/>
      <w:bookmarkStart w:id="982" w:name="Tc_qcTxOBk6Sk-EvEDxPPSxPw_4_0"/>
      <w:bookmarkStart w:id="983" w:name="Tc_nfdqKGKlBkmChbbs2a1h2w_3_11"/>
      <w:bookmarkStart w:id="984" w:name="Tc_HfI_F3QqCE-SVoWgeiHU2Q_3_8"/>
      <w:bookmarkStart w:id="985" w:name="Tc_5XgOlGEu7UaV9b2ia_MOug_3_5"/>
      <w:bookmarkStart w:id="986" w:name="Tc_fCfRC4EgS0GmYn5mGkv87g_3_2"/>
      <w:bookmarkStart w:id="987" w:name="Tc_HF-j4DyiK0eFXqnSLlnaAA_3_0"/>
      <w:bookmarkStart w:id="988" w:name="Tc_uagjID9nzkaoRYYaN7kVRA_2_8"/>
      <w:bookmarkStart w:id="989" w:name="Tc_nsKvPg49xUCJzDmgnMOFtQ_2_5"/>
      <w:bookmarkStart w:id="990" w:name="Tc_GsRbuNsuqUq5pBefWe4Vhw_2_2"/>
      <w:bookmarkStart w:id="991" w:name="Tc_RXxJg9gbvku-Yljal0nyEA_1_2"/>
      <w:bookmarkStart w:id="992" w:name="_64d1bc3f_87fd_4d34_a964_2a492f6a97e5"/>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r>
        <w:rPr>
          <w:rFonts w:ascii="Times New Roman;Times;serif" w:hAnsi="Times New Roman;Times;serif"/>
          <w:i/>
          <w:sz w:val="20"/>
        </w:rPr>
        <w:t>Allowance for Credit Losses</w:t>
      </w:r>
      <w:r>
        <w:rPr>
          <w:rFonts w:ascii="Times New Roman;Times;serif" w:hAnsi="Times New Roman;Times;serif"/>
          <w:sz w:val="20"/>
        </w:rPr>
        <w:t>—Changes in the Company’s allowance for credit losses on net investment in sales-type leases for the three and six months ended June 30, 2026 and 2025 were as follows ($ in thousands):</w:t>
      </w:r>
    </w:p>
    <w:p>
      <w:pPr>
        <w:pStyle w:val="TextBody"/>
        <w:bidi w:val="0"/>
        <w:spacing w:before="0" w:after="240"/>
        <w:ind w:left="0" w:right="0" w:firstLine="720"/>
        <w:jc w:val="both"/>
        <w:rPr/>
      </w:pPr>
      <w:r>
        <w:rPr/>
        <w:t>​</w:t>
      </w:r>
    </w:p>
    <w:tbl>
      <w:tblPr>
        <w:tblW w:w="8930" w:type="dxa"/>
        <w:jc w:val="left"/>
        <w:tblInd w:w="0" w:type="dxa"/>
        <w:tblLayout w:type="fixed"/>
        <w:tblCellMar>
          <w:top w:w="0" w:type="dxa"/>
          <w:left w:w="0" w:type="dxa"/>
          <w:bottom w:w="0" w:type="dxa"/>
          <w:right w:w="0" w:type="dxa"/>
        </w:tblCellMar>
      </w:tblPr>
      <w:tblGrid>
        <w:gridCol w:w="4276"/>
        <w:gridCol w:w="346"/>
        <w:gridCol w:w="211"/>
        <w:gridCol w:w="676"/>
        <w:gridCol w:w="109"/>
        <w:gridCol w:w="350"/>
        <w:gridCol w:w="701"/>
        <w:gridCol w:w="109"/>
        <w:gridCol w:w="420"/>
        <w:gridCol w:w="691"/>
        <w:gridCol w:w="109"/>
        <w:gridCol w:w="211"/>
        <w:gridCol w:w="721"/>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715260" cy="175260"/>
                      <wp:effectExtent l="0" t="0" r="0" b="0"/>
                      <wp:wrapNone/>
                      <wp:docPr id="126" name="Frame126"/>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29260" cy="175260"/>
                      <wp:effectExtent l="0" t="0" r="0" b="0"/>
                      <wp:wrapNone/>
                      <wp:docPr id="129" name="Frame1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22250" cy="175260"/>
                      <wp:effectExtent l="0" t="0" r="0" b="0"/>
                      <wp:wrapNone/>
                      <wp:docPr id="131" name="Frame13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45135" cy="175260"/>
                      <wp:effectExtent l="0" t="0" r="0" b="0"/>
                      <wp:wrapNone/>
                      <wp:docPr id="132" name="Frame132"/>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66700" cy="175260"/>
                      <wp:effectExtent l="0" t="0" r="0" b="0"/>
                      <wp:wrapNone/>
                      <wp:docPr id="134" name="Frame134"/>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38785" cy="175260"/>
                      <wp:effectExtent l="0" t="0" r="0" b="0"/>
                      <wp:wrapNone/>
                      <wp:docPr id="135" name="Frame1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57835" cy="175260"/>
                      <wp:effectExtent l="0" t="0" r="0" b="0"/>
                      <wp:wrapNone/>
                      <wp:docPr id="138" name="Frame13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30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investment in sales-type leases</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Stabilized</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Unfunded</w:t>
            </w:r>
          </w:p>
        </w:tc>
        <w:tc>
          <w:tcPr>
            <w:tcW w:w="109" w:type="dxa"/>
            <w:tcBorders/>
            <w:vAlign w:val="center"/>
          </w:tcPr>
          <w:p>
            <w:pPr>
              <w:pStyle w:val="TableContents"/>
              <w:bidi w:val="0"/>
              <w:spacing w:before="0" w:after="1"/>
              <w:ind w:left="0" w:right="0" w:hanging="0"/>
              <w:jc w:val="center"/>
              <w:rPr/>
            </w:pPr>
            <w:r>
              <w:rPr/>
              <w:t>​</w:t>
            </w:r>
          </w:p>
        </w:tc>
        <w:tc>
          <w:tcPr>
            <w:tcW w:w="932" w:type="dxa"/>
            <w:gridSpan w:val="2"/>
            <w:tcBorders/>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June 30, 2026</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109" w:type="dxa"/>
            <w:tcBorders/>
            <w:vAlign w:val="center"/>
          </w:tcPr>
          <w:p>
            <w:pPr>
              <w:pStyle w:val="TableContents"/>
              <w:bidi w:val="0"/>
              <w:spacing w:before="0" w:after="1"/>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10,346</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10,977</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vAlign w:val="center"/>
          </w:tcPr>
          <w:p>
            <w:pPr>
              <w:pStyle w:val="TableContents"/>
              <w:bidi w:val="0"/>
              <w:spacing w:before="0" w:after="1"/>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10,490</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11,188</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50" w:type="dxa"/>
            <w:tcBorders/>
            <w:vAlign w:val="center"/>
          </w:tcPr>
          <w:p>
            <w:pPr>
              <w:pStyle w:val="TableContents"/>
              <w:bidi w:val="0"/>
              <w:spacing w:before="0" w:after="1"/>
              <w:ind w:left="0" w:right="0" w:hanging="0"/>
              <w:jc w:val="center"/>
              <w:rPr/>
            </w:pPr>
            <w:r>
              <w:rPr/>
              <w:t>​</w:t>
            </w:r>
          </w:p>
        </w:tc>
        <w:tc>
          <w:tcPr>
            <w:tcW w:w="70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20"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June 30, 2025</w:t>
            </w:r>
          </w:p>
        </w:tc>
        <w:tc>
          <w:tcPr>
            <w:tcW w:w="346" w:type="dxa"/>
            <w:tcBorders/>
            <w:shd w:fill="CCEEFF" w:val="clear"/>
            <w:vAlign w:val="center"/>
          </w:tcPr>
          <w:p>
            <w:pPr>
              <w:pStyle w:val="TableContents"/>
              <w:bidi w:val="0"/>
              <w:spacing w:before="0" w:after="1"/>
              <w:ind w:left="0" w:right="0" w:hanging="0"/>
              <w:jc w:val="center"/>
              <w:rPr/>
            </w:pPr>
            <w:r>
              <w:rPr/>
              <w:t>​</w:t>
            </w:r>
          </w:p>
        </w:tc>
        <w:tc>
          <w:tcPr>
            <w:tcW w:w="887"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5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11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932" w:type="dxa"/>
            <w:gridSpan w:val="2"/>
            <w:tcBorders/>
            <w:shd w:fill="CCEEFF" w:val="clear"/>
            <w:vAlign w:val="center"/>
          </w:tcPr>
          <w:p>
            <w:pPr>
              <w:pStyle w:val="TableContents"/>
              <w:bidi w:val="0"/>
              <w:spacing w:before="0" w:after="1"/>
              <w:ind w:left="0" w:right="0" w:hanging="0"/>
              <w:jc w:val="center"/>
              <w:rPr/>
            </w:pPr>
            <w:r>
              <w:rPr/>
              <w:t>​</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7,228</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109"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7,697</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losses(1)</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7,833</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c>
          <w:tcPr>
            <w:tcW w:w="109" w:type="dxa"/>
            <w:tcBorders/>
            <w:vAlign w:val="center"/>
          </w:tcPr>
          <w:p>
            <w:pPr>
              <w:pStyle w:val="TableContents"/>
              <w:bidi w:val="0"/>
              <w:spacing w:before="0" w:after="1"/>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8,360</w:t>
            </w:r>
          </w:p>
        </w:tc>
      </w:tr>
      <w:tr>
        <w:trPr/>
        <w:tc>
          <w:tcPr>
            <w:tcW w:w="42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350" w:type="dxa"/>
            <w:tcBorders/>
            <w:shd w:fill="CCEEFF" w:val="clear"/>
            <w:vAlign w:val="center"/>
          </w:tcPr>
          <w:p>
            <w:pPr>
              <w:pStyle w:val="TableContents"/>
              <w:bidi w:val="0"/>
              <w:spacing w:before="0" w:after="1"/>
              <w:ind w:left="0" w:right="0" w:hanging="0"/>
              <w:jc w:val="center"/>
              <w:rPr/>
            </w:pPr>
            <w:r>
              <w:rPr/>
              <w:t>​</w:t>
            </w:r>
          </w:p>
        </w:tc>
        <w:tc>
          <w:tcPr>
            <w:tcW w:w="70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420"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21" w:type="dxa"/>
            <w:tcBorders/>
            <w:shd w:fill="CCEEFF" w:val="clear"/>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Six Months Ended June 30, 2026</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32" w:type="dxa"/>
            <w:gridSpan w:val="2"/>
            <w:tcBorders/>
            <w:vAlign w:val="center"/>
          </w:tcPr>
          <w:p>
            <w:pPr>
              <w:pStyle w:val="TableContents"/>
              <w:bidi w:val="0"/>
              <w:spacing w:before="0" w:after="1"/>
              <w:ind w:left="0" w:right="0" w:hanging="0"/>
              <w:jc w:val="center"/>
              <w:rPr/>
            </w:pPr>
            <w:r>
              <w:rPr/>
              <w:t>​</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10,214</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10,782</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109" w:type="dxa"/>
            <w:tcBorders/>
            <w:vAlign w:val="center"/>
          </w:tcPr>
          <w:p>
            <w:pPr>
              <w:pStyle w:val="TableContents"/>
              <w:bidi w:val="0"/>
              <w:spacing w:before="0" w:after="1"/>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10,490</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11,188</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4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Six Months Ended June 30, 2025</w:t>
            </w:r>
          </w:p>
        </w:tc>
        <w:tc>
          <w:tcPr>
            <w:tcW w:w="346" w:type="dxa"/>
            <w:tcBorders/>
            <w:shd w:fill="CCEEFF" w:val="clear"/>
            <w:vAlign w:val="center"/>
          </w:tcPr>
          <w:p>
            <w:pPr>
              <w:pStyle w:val="TableContents"/>
              <w:bidi w:val="0"/>
              <w:spacing w:before="0" w:after="1"/>
              <w:ind w:left="0" w:right="0" w:hanging="0"/>
              <w:jc w:val="center"/>
              <w:rPr/>
            </w:pPr>
            <w:r>
              <w:rPr/>
              <w:t>​</w:t>
            </w:r>
          </w:p>
        </w:tc>
        <w:tc>
          <w:tcPr>
            <w:tcW w:w="887"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5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11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932" w:type="dxa"/>
            <w:gridSpan w:val="2"/>
            <w:tcBorders/>
            <w:shd w:fill="CCEEFF" w:val="clear"/>
            <w:vAlign w:val="center"/>
          </w:tcPr>
          <w:p>
            <w:pPr>
              <w:pStyle w:val="TableContents"/>
              <w:bidi w:val="0"/>
              <w:spacing w:before="0" w:after="1"/>
              <w:ind w:left="0" w:right="0" w:hanging="0"/>
              <w:jc w:val="center"/>
              <w:rPr/>
            </w:pPr>
            <w:r>
              <w:rPr/>
              <w:t>​</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6,385</w:t>
            </w:r>
          </w:p>
        </w:tc>
        <w:tc>
          <w:tcPr>
            <w:tcW w:w="109"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w:t>
            </w:r>
          </w:p>
        </w:tc>
        <w:tc>
          <w:tcPr>
            <w:tcW w:w="109"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6,821</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w:t>
            </w:r>
          </w:p>
        </w:tc>
        <w:tc>
          <w:tcPr>
            <w:tcW w:w="109" w:type="dxa"/>
            <w:tcBorders/>
            <w:shd w:fill="CCEEFF" w:val="clear"/>
            <w:vAlign w:val="center"/>
          </w:tcPr>
          <w:p>
            <w:pPr>
              <w:pStyle w:val="TableContents"/>
              <w:bidi w:val="0"/>
              <w:spacing w:before="0" w:after="1"/>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109" w:type="dxa"/>
            <w:tcBorders/>
            <w:shd w:fill="CCEEFF" w:val="clear"/>
            <w:vAlign w:val="center"/>
          </w:tcPr>
          <w:p>
            <w:pPr>
              <w:pStyle w:val="TableContents"/>
              <w:bidi w:val="0"/>
              <w:spacing w:before="0" w:after="1"/>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1,539</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vAlign w:val="center"/>
          </w:tcPr>
          <w:p>
            <w:pPr>
              <w:pStyle w:val="TableContents"/>
              <w:bidi w:val="0"/>
              <w:spacing w:before="0" w:after="1"/>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7,833</w:t>
            </w:r>
          </w:p>
        </w:tc>
        <w:tc>
          <w:tcPr>
            <w:tcW w:w="109" w:type="dxa"/>
            <w:tcBorders/>
            <w:vAlign w:val="center"/>
          </w:tcPr>
          <w:p>
            <w:pPr>
              <w:pStyle w:val="TableContents"/>
              <w:bidi w:val="0"/>
              <w:spacing w:before="0" w:after="1"/>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c>
          <w:tcPr>
            <w:tcW w:w="109" w:type="dxa"/>
            <w:tcBorders/>
            <w:vAlign w:val="center"/>
          </w:tcPr>
          <w:p>
            <w:pPr>
              <w:pStyle w:val="TableContents"/>
              <w:bidi w:val="0"/>
              <w:spacing w:before="0" w:after="1"/>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8,360</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3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three months ended June 30, 2026 and 2025, the Company recorded provisions for credit losses on net investment in sales-type leases of $0.2</w:t>
            </w:r>
            <w:r>
              <w:rPr>
                <w:caps w:val="false"/>
                <w:smallCaps w:val="false"/>
              </w:rPr>
              <w:t xml:space="preserve"> </w:t>
            </w:r>
            <w:r>
              <w:rPr>
                <w:rFonts w:ascii="Times New Roman;Times;serif" w:hAnsi="Times New Roman;Times;serif"/>
                <w:b w:val="false"/>
                <w:i w:val="false"/>
                <w:caps w:val="false"/>
                <w:smallCaps w:val="false"/>
                <w:sz w:val="16"/>
              </w:rPr>
              <w:t>million and $0.7</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The provision for credit losses for the three months ended June 30, 2026 was due primarily to growth in the carrying value of the portfolio during the period, </w:t>
            </w:r>
            <w:r>
              <w:rPr>
                <w:rFonts w:ascii="Times New Roman;Times;serif" w:hAnsi="Times New Roman;Times;serif"/>
                <w:b w:val="false"/>
                <w:i w:val="false"/>
                <w:caps w:val="false"/>
                <w:smallCaps w:val="false"/>
                <w:color w:val="212529"/>
                <w:sz w:val="16"/>
              </w:rPr>
              <w:t>which was partially offset by an improving macroeconomic forecast since March 31, 2026</w:t>
            </w:r>
            <w:r>
              <w:rPr>
                <w:rFonts w:ascii="Times New Roman;Times;serif" w:hAnsi="Times New Roman;Times;serif"/>
                <w:b w:val="false"/>
                <w:i w:val="false"/>
                <w:caps w:val="false"/>
                <w:smallCaps w:val="false"/>
                <w:sz w:val="16"/>
              </w:rPr>
              <w:t>. The provision for credit losses for the three months ended June 30, 2025 was due primarily to then current market conditions, </w:t>
            </w:r>
            <w:r>
              <w:rPr>
                <w:rFonts w:ascii="Times New Roman;Times;serif" w:hAnsi="Times New Roman;Times;serif"/>
                <w:b w:val="false"/>
                <w:i w:val="false"/>
                <w:caps w:val="false"/>
                <w:smallCaps w:val="false"/>
                <w:color w:val="212529"/>
                <w:sz w:val="16"/>
              </w:rPr>
              <w:t>including an increase in the Ground Lease cost to value ratio on the Company’s portfolio of Ground Leases since March 31, 2025, </w:t>
            </w:r>
            <w:r>
              <w:rPr>
                <w:rFonts w:ascii="Times New Roman;Times;serif" w:hAnsi="Times New Roman;Times;serif"/>
                <w:b w:val="false"/>
                <w:i w:val="false"/>
                <w:caps w:val="false"/>
                <w:smallCaps w:val="false"/>
                <w:sz w:val="16"/>
              </w:rPr>
              <w:t>and growth in the carrying value of the portfolio during the period.</w:t>
            </w:r>
            <w:r>
              <w:rPr>
                <w:caps w:val="false"/>
                <w:smallCaps w:val="false"/>
                <w:color w:val="212529"/>
              </w:rPr>
              <w:t xml:space="preserve"> </w:t>
            </w:r>
            <w:r>
              <w:rPr>
                <w:rFonts w:ascii="Times New Roman;Times;serif" w:hAnsi="Times New Roman;Times;serif"/>
                <w:b w:val="false"/>
                <w:i w:val="false"/>
                <w:caps w:val="false"/>
                <w:smallCaps w:val="false"/>
                <w:sz w:val="16"/>
              </w:rPr>
              <w:t>During the six months ended June 30, 2026 and 2025, the Company recorded provisions for credit losses on net investment in sales-type leases of $0.4</w:t>
            </w:r>
            <w:r>
              <w:rPr>
                <w:caps w:val="false"/>
                <w:smallCaps w:val="false"/>
              </w:rPr>
              <w:t xml:space="preserve"> </w:t>
            </w:r>
            <w:r>
              <w:rPr>
                <w:rFonts w:ascii="Times New Roman;Times;serif" w:hAnsi="Times New Roman;Times;serif"/>
                <w:b w:val="false"/>
                <w:i w:val="false"/>
                <w:caps w:val="false"/>
                <w:smallCaps w:val="false"/>
                <w:sz w:val="16"/>
              </w:rPr>
              <w:t>million and $1.5</w:t>
            </w:r>
            <w:r>
              <w:rPr>
                <w:caps w:val="false"/>
                <w:smallCaps w:val="false"/>
              </w:rPr>
              <w:t xml:space="preserve"> </w:t>
            </w:r>
            <w:r>
              <w:rPr>
                <w:rFonts w:ascii="Times New Roman;Times;serif" w:hAnsi="Times New Roman;Times;serif"/>
                <w:b w:val="false"/>
                <w:i w:val="false"/>
                <w:caps w:val="false"/>
                <w:smallCaps w:val="false"/>
                <w:sz w:val="16"/>
              </w:rPr>
              <w:t>million, respectively. The provision for credit losses for the six months ended June 30, 2026 was due primarily to growth in the carrying value of the portfolio during the period, w</w:t>
            </w:r>
            <w:r>
              <w:rPr>
                <w:rFonts w:ascii="Times New Roman;Times;serif" w:hAnsi="Times New Roman;Times;serif"/>
                <w:b w:val="false"/>
                <w:i w:val="false"/>
                <w:caps w:val="false"/>
                <w:smallCaps w:val="false"/>
                <w:color w:val="212529"/>
                <w:sz w:val="16"/>
              </w:rPr>
              <w:t>hich was partially offset by a decrease in the Ground Lease cost to value ratio on the Company’s portfolio of Ground Leases since December 31, 2025 and an improving macroeconomic forecast since December 31, 2025</w:t>
            </w:r>
            <w:r>
              <w:rPr>
                <w:rFonts w:ascii="Times New Roman;Times;serif" w:hAnsi="Times New Roman;Times;serif"/>
                <w:b w:val="false"/>
                <w:i w:val="false"/>
                <w:caps w:val="false"/>
                <w:smallCaps w:val="false"/>
                <w:sz w:val="16"/>
              </w:rPr>
              <w:t xml:space="preserve">. </w:t>
            </w:r>
            <w:r>
              <w:rPr>
                <w:rFonts w:ascii="Times New Roman;Times;serif" w:hAnsi="Times New Roman;Times;serif"/>
                <w:b w:val="false"/>
                <w:i w:val="false"/>
                <w:caps w:val="false"/>
                <w:smallCaps w:val="false"/>
                <w:color w:val="212529"/>
                <w:sz w:val="16"/>
              </w:rPr>
              <w:t>The provision for credit losses for the six months ended June 30, 2025 was due primarily to then current market conditions, including an increase in the Ground Lease cost to value ratio on the Company’s portfolio of Ground Leases since December 31, 2024.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Allowance for credit losses on unfunded commitments is recorded in “Accounts payable and accrued expenses” on the Company’s consolidated balance sheets.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720"/>
        <w:jc w:val="both"/>
        <w:rPr/>
      </w:pPr>
      <w:bookmarkStart w:id="993" w:name="Tc_nx_EJXCymESs6sbXBCP5WQ_21_11"/>
      <w:bookmarkStart w:id="994" w:name="Tc_YDFZ46wJ7k-lqN4bmDBwaw_21_8"/>
      <w:bookmarkStart w:id="995" w:name="Tc_rEQiHRr3Ck21sEcyLhuunA_21_5"/>
      <w:bookmarkStart w:id="996" w:name="Tc_yig4hwP_1UmdnT45QMkpBA_21_2"/>
      <w:bookmarkStart w:id="997" w:name="Tc_HLO0M5lk6Ue1b2uN0FXcUQ_21_0"/>
      <w:bookmarkStart w:id="998" w:name="Tc_tn4tnbuQKkGQf5_epAHPPw_20_0"/>
      <w:bookmarkStart w:id="999" w:name="Tc_qmfTz7BdckWjlNtePKmKnw_19_11"/>
      <w:bookmarkStart w:id="1000" w:name="Tc_LfV0rWHLN02P6Xv5OiO5qQ_19_8"/>
      <w:bookmarkStart w:id="1001" w:name="Tc_4bggrgXexUiiQth7-39TjA_19_5"/>
      <w:bookmarkStart w:id="1002" w:name="Tc_OuHN1VmcbEKmm4YA1feRxw_19_2"/>
      <w:bookmarkStart w:id="1003" w:name="Tc_NSIR7OpoRUifLSfbkSqYCA_19_0"/>
      <w:bookmarkStart w:id="1004" w:name="Tc_ztyQAhFz9kCE_odrtLp1nw_18_0"/>
      <w:bookmarkStart w:id="1005" w:name="Tc_eE3FEDnIjUyP5OMHCMPvrA_16_11"/>
      <w:bookmarkStart w:id="1006" w:name="Tc_MoBwv2XOzUifE3E6XA0rsg_16_8"/>
      <w:bookmarkStart w:id="1007" w:name="Tc_8IKCdU0YrUq6Mcd4Tl9rJA_16_5"/>
      <w:bookmarkStart w:id="1008" w:name="Tc_nZ7EHdi2SEiu5gURsYtEKQ_16_2"/>
      <w:bookmarkStart w:id="1009" w:name="Tc_1HJiT9nhY0-Wv2kJXbZwUQ_16_0"/>
      <w:bookmarkStart w:id="1010" w:name="Tc_yl4mBm7URE-rsuHID5dhBQ_15_0"/>
      <w:bookmarkStart w:id="1011" w:name="Tc_nPJBSwacDUu1Xen989qCPA_14_11"/>
      <w:bookmarkStart w:id="1012" w:name="Tc_JnV5CufrJEe7J-mtnACpQQ_14_8"/>
      <w:bookmarkStart w:id="1013" w:name="Tc_5zqLf3t5DUimTMLn193hag_14_5"/>
      <w:bookmarkStart w:id="1014" w:name="Tc_JWkxW7zOTUS_Fy6L7Hp4oQ_14_2"/>
      <w:bookmarkStart w:id="1015" w:name="Tc_kvgpQBr1mUS0aIBek_BzbA_14_0"/>
      <w:bookmarkStart w:id="1016" w:name="Tc_Qfn5-Nq7HESjnRZ8k_oe5w_13_0"/>
      <w:bookmarkStart w:id="1017" w:name="Tc_jc84dqLjlUefU6MHK6MR6g_11_11"/>
      <w:bookmarkStart w:id="1018" w:name="Tc_qCEZc_TijESTrFQ6VRI6hQ_11_8"/>
      <w:bookmarkStart w:id="1019" w:name="Tc_ELHxPHjD5EmveP0MU8v-JQ_11_5"/>
      <w:bookmarkStart w:id="1020" w:name="Tc_qrZBYmzrUUKB_x9Mel89Bw_11_2"/>
      <w:bookmarkStart w:id="1021" w:name="Tc_DG3Z0dN_REujPoAv-D_4tQ_11_0"/>
      <w:bookmarkStart w:id="1022" w:name="Tc_0cVcHoT1Sk2Y7aiAVbwhDA_10_0"/>
      <w:bookmarkStart w:id="1023" w:name="Tc_9o9nVO3VZ0uVF8SQK2FJhw_9_11"/>
      <w:bookmarkStart w:id="1024" w:name="Tc_cXmqGu64k0W4XExPae25Eg_9_8"/>
      <w:bookmarkStart w:id="1025" w:name="Tc_VNsuFa-vxE2njeurOxHK5Q_9_5"/>
      <w:bookmarkStart w:id="1026" w:name="Tc_eX0unUFcr0K3iQprjmq3Mw_9_2"/>
      <w:bookmarkStart w:id="1027" w:name="Tc_UxLCaSLrmkOWH5M5vYD1dw_9_0"/>
      <w:bookmarkStart w:id="1028" w:name="Tc_4Frti9FB4kCie9JIM9TpTQ_8_0"/>
      <w:bookmarkStart w:id="1029" w:name="Tc_xuZKeP4vsEShKvsPAm09mQ_6_11"/>
      <w:bookmarkStart w:id="1030" w:name="Tc_xBxjQ5gmQU-g_R-fx6qspg_6_8"/>
      <w:bookmarkStart w:id="1031" w:name="Tc_1eMnSsvY6EWL6VOuM7MfXA_6_5"/>
      <w:bookmarkStart w:id="1032" w:name="Tc_062GRtSR4kGFtijTNXhxtQ_6_2"/>
      <w:bookmarkStart w:id="1033" w:name="Tc_34uR1RCOUUCpJH0x7sDJPQ_6_0"/>
      <w:bookmarkStart w:id="1034" w:name="Tc_yIM7-USYQEW6aJf939TKSA_5_0"/>
      <w:bookmarkStart w:id="1035" w:name="Tc_pSoeVSmDEUapyDIXRZf16g_4_11"/>
      <w:bookmarkStart w:id="1036" w:name="Tc_jYqcDUQqBE6AiWnehiSC9A_4_8"/>
      <w:bookmarkStart w:id="1037" w:name="Tc_rhjKAjO6AEObLjzaJ43vHA_4_5"/>
      <w:bookmarkStart w:id="1038" w:name="Tc_N8wbW6EZHkSL2x4fRxyONg_4_2"/>
      <w:bookmarkStart w:id="1039" w:name="Tc_KmX0cI8M90KiIaADVtoM6g_4_0"/>
      <w:bookmarkStart w:id="1040" w:name="Tc__bF8xPygbU6rfduHOaGoSg_3_11"/>
      <w:bookmarkStart w:id="1041" w:name="Tc_LWk3nS8h7UyUqrwoF_K65w_3_8"/>
      <w:bookmarkStart w:id="1042" w:name="Tc_1wwtZiuIXE2HE2abU-nVjA_3_5"/>
      <w:bookmarkStart w:id="1043" w:name="Tc_QDTUEl7Z9k-GmEbDGbOWgQ_3_2"/>
      <w:bookmarkStart w:id="1044" w:name="Tc_jIJqAcy3cEu5s-8eE4Z50w_3_0"/>
      <w:bookmarkStart w:id="1045" w:name="Tc_8ntjQqJ2Jk2nfSwEBkxspA_2_8"/>
      <w:bookmarkStart w:id="1046" w:name="Tc_5tUqHRI0FUaPD0ZvwrmC2w_2_5"/>
      <w:bookmarkStart w:id="1047" w:name="Tc_tijTuoKTWE6SSjTb-RdU3Q_2_2"/>
      <w:bookmarkStart w:id="1048" w:name="Tc_7Yn6vlmpEEGeTbk0rfPTJQ_1_2"/>
      <w:bookmarkStart w:id="1049" w:name="_3c272f75_5f60_4146_87de_9f62bd7005a9"/>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Changes in the Company’s allowance for credit losses on Ground Lease receivables for the three and six months ended June 30, 2026 and 2025 were as follows ($ in thousands): </w:t>
      </w:r>
    </w:p>
    <w:p>
      <w:pPr>
        <w:pStyle w:val="TextBody"/>
        <w:bidi w:val="0"/>
        <w:spacing w:before="0" w:after="240"/>
        <w:ind w:left="0" w:right="0" w:hanging="0"/>
        <w:jc w:val="both"/>
        <w:rPr/>
      </w:pPr>
      <w:r>
        <w:rPr/>
        <w:t>​</w:t>
      </w:r>
    </w:p>
    <w:tbl>
      <w:tblPr>
        <w:tblW w:w="8854" w:type="dxa"/>
        <w:jc w:val="left"/>
        <w:tblInd w:w="0" w:type="dxa"/>
        <w:tblLayout w:type="fixed"/>
        <w:tblCellMar>
          <w:top w:w="0" w:type="dxa"/>
          <w:left w:w="0" w:type="dxa"/>
          <w:bottom w:w="0" w:type="dxa"/>
          <w:right w:w="0" w:type="dxa"/>
        </w:tblCellMar>
      </w:tblPr>
      <w:tblGrid>
        <w:gridCol w:w="4276"/>
        <w:gridCol w:w="346"/>
        <w:gridCol w:w="230"/>
        <w:gridCol w:w="626"/>
        <w:gridCol w:w="109"/>
        <w:gridCol w:w="283"/>
        <w:gridCol w:w="768"/>
        <w:gridCol w:w="109"/>
        <w:gridCol w:w="369"/>
        <w:gridCol w:w="742"/>
        <w:gridCol w:w="109"/>
        <w:gridCol w:w="211"/>
        <w:gridCol w:w="67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715260" cy="175260"/>
                      <wp:effectExtent l="0" t="0" r="0" b="0"/>
                      <wp:wrapNone/>
                      <wp:docPr id="139" name="Frame139"/>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46050" cy="175260"/>
                      <wp:effectExtent l="0" t="0" r="0" b="0"/>
                      <wp:wrapNone/>
                      <wp:docPr id="141" name="Frame14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97510" cy="175260"/>
                      <wp:effectExtent l="0" t="0" r="0" b="0"/>
                      <wp:wrapNone/>
                      <wp:docPr id="142" name="Frame142"/>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79705" cy="175260"/>
                      <wp:effectExtent l="0" t="0" r="0" b="0"/>
                      <wp:wrapNone/>
                      <wp:docPr id="144" name="Frame144"/>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87680" cy="175260"/>
                      <wp:effectExtent l="0" t="0" r="0" b="0"/>
                      <wp:wrapNone/>
                      <wp:docPr id="145" name="Frame145"/>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34315" cy="175260"/>
                      <wp:effectExtent l="0" t="0" r="0" b="0"/>
                      <wp:wrapNone/>
                      <wp:docPr id="147" name="Frame147"/>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71170" cy="175260"/>
                      <wp:effectExtent l="0" t="0" r="0" b="0"/>
                      <wp:wrapNone/>
                      <wp:docPr id="148" name="Frame148"/>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29260" cy="175260"/>
                      <wp:effectExtent l="0" t="0" r="0" b="0"/>
                      <wp:wrapNone/>
                      <wp:docPr id="151" name="Frame1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232"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Ground Lease receivables</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Stabilized</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Unfunded</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June 30, 2026</w:t>
            </w:r>
          </w:p>
        </w:tc>
        <w:tc>
          <w:tcPr>
            <w:tcW w:w="346" w:type="dxa"/>
            <w:tcBorders/>
            <w:vAlign w:val="center"/>
          </w:tcPr>
          <w:p>
            <w:pPr>
              <w:pStyle w:val="TableContents"/>
              <w:bidi w:val="0"/>
              <w:spacing w:before="0" w:after="1"/>
              <w:ind w:left="0" w:right="0" w:hanging="0"/>
              <w:jc w:val="center"/>
              <w:rPr/>
            </w:pPr>
            <w:r>
              <w:rPr/>
              <w:t>​</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Properties</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Commitments</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3,646</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1,378</w:t>
            </w:r>
          </w:p>
        </w:tc>
        <w:tc>
          <w:tcPr>
            <w:tcW w:w="109" w:type="dxa"/>
            <w:tcBorders/>
            <w:shd w:fill="CCEEFF" w:val="clear"/>
            <w:vAlign w:val="center"/>
          </w:tcPr>
          <w:p>
            <w:pPr>
              <w:pStyle w:val="TableContents"/>
              <w:bidi w:val="0"/>
              <w:spacing w:before="0" w:after="1"/>
              <w:ind w:left="0" w:right="0" w:hanging="0"/>
              <w:jc w:val="left"/>
              <w:rPr/>
            </w:pPr>
            <w:r>
              <w:rPr/>
              <w:t>​</w:t>
            </w:r>
          </w:p>
        </w:tc>
        <w:tc>
          <w:tcPr>
            <w:tcW w:w="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5,106</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center"/>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109"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vAlign w:val="center"/>
          </w:tcPr>
          <w:p>
            <w:pPr>
              <w:pStyle w:val="TableContents"/>
              <w:bidi w:val="0"/>
              <w:spacing w:before="0" w:after="1"/>
              <w:ind w:left="0" w:right="0" w:hanging="0"/>
              <w:jc w:val="left"/>
              <w:rPr/>
            </w:pPr>
            <w:r>
              <w:rPr/>
              <w:t>​</w:t>
            </w:r>
          </w:p>
        </w:tc>
        <w:tc>
          <w:tcPr>
            <w:tcW w:w="36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shd w:fill="CCEEFF" w:val="clear"/>
            <w:vAlign w:val="center"/>
          </w:tcPr>
          <w:p>
            <w:pPr>
              <w:pStyle w:val="TableContents"/>
              <w:bidi w:val="0"/>
              <w:spacing w:before="0" w:after="1"/>
              <w:ind w:left="0" w:right="0" w:hanging="0"/>
              <w:jc w:val="center"/>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3,704</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w:t>
            </w:r>
          </w:p>
        </w:tc>
        <w:tc>
          <w:tcPr>
            <w:tcW w:w="109" w:type="dxa"/>
            <w:tcBorders/>
            <w:shd w:fill="CCEEFF" w:val="clear"/>
            <w:vAlign w:val="center"/>
          </w:tcPr>
          <w:p>
            <w:pPr>
              <w:pStyle w:val="TableContents"/>
              <w:bidi w:val="0"/>
              <w:spacing w:before="0" w:after="1"/>
              <w:ind w:left="0" w:right="0" w:hanging="0"/>
              <w:jc w:val="left"/>
              <w:rPr/>
            </w:pPr>
            <w:r>
              <w:rPr/>
              <w:t>​</w:t>
            </w:r>
          </w:p>
        </w:tc>
        <w:tc>
          <w:tcPr>
            <w:tcW w:w="36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5,235</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6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83" w:type="dxa"/>
            <w:tcBorders/>
            <w:vAlign w:val="center"/>
          </w:tcPr>
          <w:p>
            <w:pPr>
              <w:pStyle w:val="TableContents"/>
              <w:bidi w:val="0"/>
              <w:spacing w:before="0" w:after="1"/>
              <w:ind w:left="0" w:right="0" w:hanging="0"/>
              <w:jc w:val="center"/>
              <w:rPr/>
            </w:pPr>
            <w:r>
              <w:rPr/>
              <w:t>​</w:t>
            </w:r>
          </w:p>
        </w:tc>
        <w:tc>
          <w:tcPr>
            <w:tcW w:w="76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69" w:type="dxa"/>
            <w:tcBorders/>
            <w:vAlign w:val="center"/>
          </w:tcPr>
          <w:p>
            <w:pPr>
              <w:pStyle w:val="TableContents"/>
              <w:bidi w:val="0"/>
              <w:spacing w:before="0" w:after="1"/>
              <w:ind w:left="0" w:right="0" w:hanging="0"/>
              <w:jc w:val="center"/>
              <w:rPr/>
            </w:pPr>
            <w:r>
              <w:rPr/>
              <w:t>​</w:t>
            </w:r>
          </w:p>
        </w:tc>
        <w:tc>
          <w:tcPr>
            <w:tcW w:w="74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Three Months Ended June 30, 2025</w:t>
            </w:r>
          </w:p>
        </w:tc>
        <w:tc>
          <w:tcPr>
            <w:tcW w:w="346" w:type="dxa"/>
            <w:tcBorders/>
            <w:shd w:fill="CCEEFF" w:val="clear"/>
            <w:vAlign w:val="center"/>
          </w:tcPr>
          <w:p>
            <w:pPr>
              <w:pStyle w:val="TableContents"/>
              <w:bidi w:val="0"/>
              <w:spacing w:before="0" w:after="1"/>
              <w:ind w:left="0" w:right="0" w:hanging="0"/>
              <w:jc w:val="center"/>
              <w:rPr/>
            </w:pPr>
            <w:r>
              <w:rPr/>
              <w:t>​</w:t>
            </w:r>
          </w:p>
        </w:tc>
        <w:tc>
          <w:tcPr>
            <w:tcW w:w="856"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5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11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887" w:type="dxa"/>
            <w:gridSpan w:val="2"/>
            <w:tcBorders/>
            <w:shd w:fill="CCEEFF" w:val="clear"/>
            <w:vAlign w:val="center"/>
          </w:tcPr>
          <w:p>
            <w:pPr>
              <w:pStyle w:val="TableContents"/>
              <w:bidi w:val="0"/>
              <w:spacing w:before="0" w:after="1"/>
              <w:ind w:left="0" w:right="0" w:hanging="0"/>
              <w:jc w:val="center"/>
              <w:rPr/>
            </w:pPr>
            <w:r>
              <w:rPr/>
              <w:t>​</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4,116</w:t>
            </w:r>
          </w:p>
        </w:tc>
        <w:tc>
          <w:tcPr>
            <w:tcW w:w="109"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109"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5,239</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center"/>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109" w:type="dxa"/>
            <w:tcBorders/>
            <w:shd w:fill="CCEEFF" w:val="clear"/>
            <w:vAlign w:val="center"/>
          </w:tcPr>
          <w:p>
            <w:pPr>
              <w:pStyle w:val="TableContents"/>
              <w:bidi w:val="0"/>
              <w:spacing w:before="0" w:after="1"/>
              <w:ind w:left="0" w:right="0" w:hanging="0"/>
              <w:jc w:val="left"/>
              <w:rPr/>
            </w:pPr>
            <w:r>
              <w:rPr/>
              <w:t>​</w:t>
            </w:r>
          </w:p>
        </w:tc>
        <w:tc>
          <w:tcPr>
            <w:tcW w:w="3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vAlign w:val="center"/>
          </w:tcPr>
          <w:p>
            <w:pPr>
              <w:pStyle w:val="TableContents"/>
              <w:bidi w:val="0"/>
              <w:spacing w:before="0" w:after="1"/>
              <w:ind w:left="0" w:right="0" w:hanging="0"/>
              <w:jc w:val="center"/>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4,423</w:t>
            </w:r>
          </w:p>
        </w:tc>
        <w:tc>
          <w:tcPr>
            <w:tcW w:w="109"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w:t>
            </w:r>
          </w:p>
        </w:tc>
        <w:tc>
          <w:tcPr>
            <w:tcW w:w="109" w:type="dxa"/>
            <w:tcBorders/>
            <w:vAlign w:val="center"/>
          </w:tcPr>
          <w:p>
            <w:pPr>
              <w:pStyle w:val="TableContents"/>
              <w:bidi w:val="0"/>
              <w:spacing w:before="0" w:after="1"/>
              <w:ind w:left="0" w:right="0" w:hanging="0"/>
              <w:jc w:val="left"/>
              <w:rPr/>
            </w:pPr>
            <w:r>
              <w:rPr/>
              <w:t>​</w:t>
            </w:r>
          </w:p>
        </w:tc>
        <w:tc>
          <w:tcPr>
            <w:tcW w:w="36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5,634</w:t>
            </w:r>
          </w:p>
        </w:tc>
      </w:tr>
      <w:tr>
        <w:trPr/>
        <w:tc>
          <w:tcPr>
            <w:tcW w:w="885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  ​ ​ ​</w:t>
            </w:r>
          </w:p>
        </w:tc>
        <w:tc>
          <w:tcPr>
            <w:tcW w:w="4232" w:type="dxa"/>
            <w:gridSpan w:val="11"/>
            <w:tcBorders/>
            <w:shd w:fill="CCEEFF" w:val="clear"/>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Six Months Ended June 30, 2026</w:t>
            </w:r>
          </w:p>
        </w:tc>
        <w:tc>
          <w:tcPr>
            <w:tcW w:w="34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pPr>
            <w:r>
              <w:rPr/>
              <w:t>​</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3,587</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1,285</w:t>
            </w:r>
          </w:p>
        </w:tc>
        <w:tc>
          <w:tcPr>
            <w:tcW w:w="109" w:type="dxa"/>
            <w:tcBorders/>
            <w:shd w:fill="CCEEFF" w:val="clear"/>
            <w:vAlign w:val="center"/>
          </w:tcPr>
          <w:p>
            <w:pPr>
              <w:pStyle w:val="TableContents"/>
              <w:bidi w:val="0"/>
              <w:spacing w:before="0" w:after="1"/>
              <w:ind w:left="0" w:right="0" w:hanging="0"/>
              <w:jc w:val="left"/>
              <w:rPr/>
            </w:pPr>
            <w:r>
              <w:rPr/>
              <w:t>​</w:t>
            </w:r>
          </w:p>
        </w:tc>
        <w:tc>
          <w:tcPr>
            <w:tcW w:w="3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4,956</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center"/>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109"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109" w:type="dxa"/>
            <w:tcBorders/>
            <w:vAlign w:val="center"/>
          </w:tcPr>
          <w:p>
            <w:pPr>
              <w:pStyle w:val="TableContents"/>
              <w:bidi w:val="0"/>
              <w:spacing w:before="0" w:after="1"/>
              <w:ind w:left="0" w:right="0" w:hanging="0"/>
              <w:jc w:val="left"/>
              <w:rPr/>
            </w:pPr>
            <w:r>
              <w:rPr/>
              <w:t>​</w:t>
            </w:r>
          </w:p>
        </w:tc>
        <w:tc>
          <w:tcPr>
            <w:tcW w:w="36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shd w:fill="CCEEFF" w:val="clear"/>
            <w:vAlign w:val="center"/>
          </w:tcPr>
          <w:p>
            <w:pPr>
              <w:pStyle w:val="TableContents"/>
              <w:bidi w:val="0"/>
              <w:spacing w:before="0" w:after="1"/>
              <w:ind w:left="0" w:right="0" w:hanging="0"/>
              <w:jc w:val="center"/>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3,704</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w:t>
            </w:r>
          </w:p>
        </w:tc>
        <w:tc>
          <w:tcPr>
            <w:tcW w:w="109" w:type="dxa"/>
            <w:tcBorders/>
            <w:shd w:fill="CCEEFF" w:val="clear"/>
            <w:vAlign w:val="center"/>
          </w:tcPr>
          <w:p>
            <w:pPr>
              <w:pStyle w:val="TableContents"/>
              <w:bidi w:val="0"/>
              <w:spacing w:before="0" w:after="1"/>
              <w:ind w:left="0" w:right="0" w:hanging="0"/>
              <w:jc w:val="left"/>
              <w:rPr/>
            </w:pPr>
            <w:r>
              <w:rPr/>
              <w:t>​</w:t>
            </w:r>
          </w:p>
        </w:tc>
        <w:tc>
          <w:tcPr>
            <w:tcW w:w="36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5,235</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6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83" w:type="dxa"/>
            <w:tcBorders/>
            <w:vAlign w:val="center"/>
          </w:tcPr>
          <w:p>
            <w:pPr>
              <w:pStyle w:val="TableContents"/>
              <w:bidi w:val="0"/>
              <w:spacing w:before="0" w:after="1"/>
              <w:ind w:left="0" w:right="0" w:hanging="0"/>
              <w:jc w:val="center"/>
              <w:rPr/>
            </w:pPr>
            <w:r>
              <w:rPr/>
              <w:t>​</w:t>
            </w:r>
          </w:p>
        </w:tc>
        <w:tc>
          <w:tcPr>
            <w:tcW w:w="76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69" w:type="dxa"/>
            <w:tcBorders/>
            <w:vAlign w:val="center"/>
          </w:tcPr>
          <w:p>
            <w:pPr>
              <w:pStyle w:val="TableContents"/>
              <w:bidi w:val="0"/>
              <w:spacing w:before="0" w:after="1"/>
              <w:ind w:left="0" w:right="0" w:hanging="0"/>
              <w:jc w:val="center"/>
              <w:rPr/>
            </w:pPr>
            <w:r>
              <w:rPr/>
              <w:t>​</w:t>
            </w:r>
          </w:p>
        </w:tc>
        <w:tc>
          <w:tcPr>
            <w:tcW w:w="74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42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Six Months Ended June 30, 2025</w:t>
            </w:r>
          </w:p>
        </w:tc>
        <w:tc>
          <w:tcPr>
            <w:tcW w:w="346" w:type="dxa"/>
            <w:tcBorders/>
            <w:shd w:fill="CCEEFF" w:val="clear"/>
            <w:vAlign w:val="center"/>
          </w:tcPr>
          <w:p>
            <w:pPr>
              <w:pStyle w:val="TableContents"/>
              <w:bidi w:val="0"/>
              <w:spacing w:before="0" w:after="1"/>
              <w:ind w:left="0" w:right="0" w:hanging="0"/>
              <w:jc w:val="center"/>
              <w:rPr/>
            </w:pPr>
            <w:r>
              <w:rPr/>
              <w:t>​</w:t>
            </w:r>
          </w:p>
        </w:tc>
        <w:tc>
          <w:tcPr>
            <w:tcW w:w="856"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05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111"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887" w:type="dxa"/>
            <w:gridSpan w:val="2"/>
            <w:tcBorders/>
            <w:shd w:fill="CCEEFF" w:val="clear"/>
            <w:vAlign w:val="center"/>
          </w:tcPr>
          <w:p>
            <w:pPr>
              <w:pStyle w:val="TableContents"/>
              <w:bidi w:val="0"/>
              <w:spacing w:before="0" w:after="1"/>
              <w:ind w:left="0" w:right="0" w:hanging="0"/>
              <w:jc w:val="center"/>
              <w:rPr/>
            </w:pPr>
            <w:r>
              <w:rPr/>
              <w:t>​</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Allowance for credit losses at beginning of period</w:t>
            </w:r>
          </w:p>
        </w:tc>
        <w:tc>
          <w:tcPr>
            <w:tcW w:w="34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2,652</w:t>
            </w:r>
          </w:p>
        </w:tc>
        <w:tc>
          <w:tcPr>
            <w:tcW w:w="109"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1"/>
              <w:ind w:left="0" w:right="0" w:hanging="0"/>
              <w:jc w:val="left"/>
              <w:rPr/>
            </w:pPr>
            <w:r>
              <w:rPr/>
              <w:t>​</w:t>
            </w:r>
          </w:p>
        </w:tc>
        <w:tc>
          <w:tcPr>
            <w:tcW w:w="3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3,701</w:t>
            </w:r>
          </w:p>
        </w:tc>
      </w:tr>
      <w:tr>
        <w:trPr/>
        <w:tc>
          <w:tcPr>
            <w:tcW w:w="42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center"/>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1,771</w:t>
            </w:r>
          </w:p>
        </w:tc>
        <w:tc>
          <w:tcPr>
            <w:tcW w:w="109"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109" w:type="dxa"/>
            <w:tcBorders/>
            <w:shd w:fill="CCEEFF" w:val="clear"/>
            <w:vAlign w:val="center"/>
          </w:tcPr>
          <w:p>
            <w:pPr>
              <w:pStyle w:val="TableContents"/>
              <w:bidi w:val="0"/>
              <w:spacing w:before="0" w:after="1"/>
              <w:ind w:left="0" w:right="0" w:hanging="0"/>
              <w:jc w:val="left"/>
              <w:rPr/>
            </w:pPr>
            <w:r>
              <w:rPr/>
              <w:t>​</w:t>
            </w:r>
          </w:p>
        </w:tc>
        <w:tc>
          <w:tcPr>
            <w:tcW w:w="3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1,933</w:t>
            </w:r>
          </w:p>
        </w:tc>
      </w:tr>
      <w:tr>
        <w:trPr/>
        <w:tc>
          <w:tcPr>
            <w:tcW w:w="42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Allowance for credit losses at end of period</w:t>
            </w:r>
            <w:r>
              <w:rPr>
                <w:rFonts w:ascii="Times New Roman;Times;serif" w:hAnsi="Times New Roman;Times;serif"/>
                <w:b/>
                <w:sz w:val="15"/>
              </w:rPr>
              <w:t>(2)</w:t>
            </w:r>
          </w:p>
        </w:tc>
        <w:tc>
          <w:tcPr>
            <w:tcW w:w="346" w:type="dxa"/>
            <w:tcBorders/>
            <w:vAlign w:val="center"/>
          </w:tcPr>
          <w:p>
            <w:pPr>
              <w:pStyle w:val="TableContents"/>
              <w:bidi w:val="0"/>
              <w:spacing w:before="0" w:after="1"/>
              <w:ind w:left="0" w:right="0" w:hanging="0"/>
              <w:jc w:val="center"/>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4,423</w:t>
            </w:r>
          </w:p>
        </w:tc>
        <w:tc>
          <w:tcPr>
            <w:tcW w:w="109"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w:t>
            </w:r>
          </w:p>
        </w:tc>
        <w:tc>
          <w:tcPr>
            <w:tcW w:w="109" w:type="dxa"/>
            <w:tcBorders/>
            <w:vAlign w:val="center"/>
          </w:tcPr>
          <w:p>
            <w:pPr>
              <w:pStyle w:val="TableContents"/>
              <w:bidi w:val="0"/>
              <w:spacing w:before="0" w:after="1"/>
              <w:ind w:left="0" w:right="0" w:hanging="0"/>
              <w:jc w:val="left"/>
              <w:rPr/>
            </w:pPr>
            <w:r>
              <w:rPr/>
              <w:t>​</w:t>
            </w:r>
          </w:p>
        </w:tc>
        <w:tc>
          <w:tcPr>
            <w:tcW w:w="36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5,634</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3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three months ended June 30, 2026 and 2025, the Company recorded provisions for credit losses on Ground Lease receivables of $0.1</w:t>
            </w:r>
            <w:r>
              <w:rPr>
                <w:caps w:val="false"/>
                <w:smallCaps w:val="false"/>
              </w:rPr>
              <w:t xml:space="preserve"> </w:t>
            </w:r>
            <w:r>
              <w:rPr>
                <w:rFonts w:ascii="Times New Roman;Times;serif" w:hAnsi="Times New Roman;Times;serif"/>
                <w:b w:val="false"/>
                <w:i w:val="false"/>
                <w:caps w:val="false"/>
                <w:smallCaps w:val="false"/>
                <w:sz w:val="16"/>
              </w:rPr>
              <w:t>million and $0.4</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The provision for credit losses for the three months ended June 30, 2026 was due primarily to growth in the carrying value of the portfolio during the period, </w:t>
            </w:r>
            <w:r>
              <w:rPr>
                <w:rFonts w:ascii="Times New Roman;Times;serif" w:hAnsi="Times New Roman;Times;serif"/>
                <w:b w:val="false"/>
                <w:i w:val="false"/>
                <w:caps w:val="false"/>
                <w:smallCaps w:val="false"/>
                <w:color w:val="212529"/>
                <w:sz w:val="16"/>
              </w:rPr>
              <w:t>which was partially offset by an improving macroeconomic forecast since March 31, 2026</w:t>
            </w:r>
            <w:r>
              <w:rPr>
                <w:rFonts w:ascii="Times New Roman;Times;serif" w:hAnsi="Times New Roman;Times;serif"/>
                <w:b w:val="false"/>
                <w:i w:val="false"/>
                <w:caps w:val="false"/>
                <w:smallCaps w:val="false"/>
                <w:sz w:val="16"/>
              </w:rPr>
              <w:t>. The provision for credit losses for the three months ended June 30, 2025 was due primarily to then current market conditions, </w:t>
            </w:r>
            <w:r>
              <w:rPr>
                <w:rFonts w:ascii="Times New Roman;Times;serif" w:hAnsi="Times New Roman;Times;serif"/>
                <w:b w:val="false"/>
                <w:i w:val="false"/>
                <w:caps w:val="false"/>
                <w:smallCaps w:val="false"/>
                <w:color w:val="212529"/>
                <w:sz w:val="16"/>
              </w:rPr>
              <w:t>including an increase in the Ground Lease cost to value ratio on the Company’s portfolio of Ground Leases since March 31, 2025,</w:t>
            </w:r>
            <w:r>
              <w:rPr>
                <w:caps w:val="false"/>
                <w:smallCaps w:val="false"/>
              </w:rPr>
              <w:t> </w:t>
            </w:r>
            <w:r>
              <w:rPr>
                <w:rFonts w:ascii="Times New Roman;Times;serif" w:hAnsi="Times New Roman;Times;serif"/>
                <w:b w:val="false"/>
                <w:i w:val="false"/>
                <w:caps w:val="false"/>
                <w:smallCaps w:val="false"/>
                <w:sz w:val="16"/>
              </w:rPr>
              <w:t>and growth in the carrying value of the portfolio during the period. During the six months ended June 30, 2026 and 2025, the Company recorded provisions for credit losses on Ground Lease receivables of $0.3</w:t>
            </w:r>
            <w:r>
              <w:rPr>
                <w:caps w:val="false"/>
                <w:smallCaps w:val="false"/>
              </w:rPr>
              <w:t xml:space="preserve"> </w:t>
            </w:r>
            <w:r>
              <w:rPr>
                <w:rFonts w:ascii="Times New Roman;Times;serif" w:hAnsi="Times New Roman;Times;serif"/>
                <w:b w:val="false"/>
                <w:i w:val="false"/>
                <w:caps w:val="false"/>
                <w:smallCaps w:val="false"/>
                <w:sz w:val="16"/>
              </w:rPr>
              <w:t>million and $1.9</w:t>
            </w:r>
            <w:r>
              <w:rPr>
                <w:caps w:val="false"/>
                <w:smallCaps w:val="false"/>
              </w:rPr>
              <w:t xml:space="preserve"> </w:t>
            </w:r>
            <w:r>
              <w:rPr>
                <w:rFonts w:ascii="Times New Roman;Times;serif" w:hAnsi="Times New Roman;Times;serif"/>
                <w:b w:val="false"/>
                <w:i w:val="false"/>
                <w:caps w:val="false"/>
                <w:smallCaps w:val="false"/>
                <w:sz w:val="16"/>
              </w:rPr>
              <w:t>million, respectively. The provision for credit losses for the six months ended June 30, 2026 was due primarily to growth in the carrying value of the portfolio during the period, w</w:t>
            </w:r>
            <w:r>
              <w:rPr>
                <w:rFonts w:ascii="Times New Roman;Times;serif" w:hAnsi="Times New Roman;Times;serif"/>
                <w:b w:val="false"/>
                <w:i w:val="false"/>
                <w:caps w:val="false"/>
                <w:smallCaps w:val="false"/>
                <w:color w:val="212529"/>
                <w:sz w:val="16"/>
              </w:rPr>
              <w:t>hich was partially offset by a decrease in the Ground Lease cost to value ratio on the Company’s portfolio of Ground Leases since December 31, 2025 and an improving macroeconomic forecast since December 31, 2025</w:t>
            </w:r>
            <w:r>
              <w:rPr>
                <w:rFonts w:ascii="Times New Roman;Times;serif" w:hAnsi="Times New Roman;Times;serif"/>
                <w:b w:val="false"/>
                <w:i w:val="false"/>
                <w:caps w:val="false"/>
                <w:smallCaps w:val="false"/>
                <w:sz w:val="16"/>
              </w:rPr>
              <w:t xml:space="preserve">. </w:t>
            </w:r>
            <w:r>
              <w:rPr>
                <w:rFonts w:ascii="Times New Roman;Times;serif" w:hAnsi="Times New Roman;Times;serif"/>
                <w:b w:val="false"/>
                <w:i w:val="false"/>
                <w:caps w:val="false"/>
                <w:smallCaps w:val="false"/>
                <w:color w:val="212529"/>
                <w:sz w:val="16"/>
              </w:rPr>
              <w:t>The provision for credit losses for the six months ended June 30, 2025 was due primarily to then current market conditions, including an increase in the Ground Lease cost to value ratio on the Company’s portfolio of Ground Leases since December 31, 2024.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Allowance for credit losses on unfunded commitments is recorded in “Accounts payable and accrued expenses” on the Company’s consolidated balance sheets.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bookmarkStart w:id="1050" w:name="Tc_8bVYuLqMc0K9SuGcCGo1oA_11_11"/>
      <w:bookmarkStart w:id="1051" w:name="Tc_SyuT-SdvA0GV4NHalFsBrQ_11_8"/>
      <w:bookmarkStart w:id="1052" w:name="Tc_pK7MkgJgpkuSn_na5tBXmw_11_5"/>
      <w:bookmarkStart w:id="1053" w:name="Tc_KABlKPuVZUeK1NWih9CWtA_11_2"/>
      <w:bookmarkStart w:id="1054" w:name="Tc_BCGqLGHiJkK9FO9XQpZNKQ_11_0"/>
      <w:bookmarkStart w:id="1055" w:name="Tc_X-r8tZ2uTEuODtxQau-3Gg_10_0"/>
      <w:bookmarkStart w:id="1056" w:name="Tc_rVUau2Pp70Sqm_Vqc7Wqpw_9_0"/>
      <w:bookmarkStart w:id="1057" w:name="Tc_roPk8ZXspUqajW0kY-KySA_8_0"/>
      <w:bookmarkStart w:id="1058" w:name="Tc_KFDnDyStmEWZSRvxVHYgig_7_0"/>
      <w:bookmarkStart w:id="1059" w:name="Tc_5KHOPWovNEyAvqEe5R-5Kg_6_0"/>
      <w:bookmarkStart w:id="1060" w:name="Tc_d74MYhdiX0G4e6WfJmlgLQ_5_11"/>
      <w:bookmarkStart w:id="1061" w:name="Tc_GyujOirzF0q6gMtPNs_znA_5_8"/>
      <w:bookmarkStart w:id="1062" w:name="Tc_DnWY2yFF-0mS0_dtE7vU-w_5_5"/>
      <w:bookmarkStart w:id="1063" w:name="Tc__Ot1s6T1Zk2M6lfOjQZAFw_5_2"/>
      <w:bookmarkStart w:id="1064" w:name="Tc_obkyTUybvEyLurOXhgFgYg_5_0"/>
      <w:bookmarkStart w:id="1065" w:name="Tc_c9dMQE95WkG_xUQ3YJJ1Ew_4_11"/>
      <w:bookmarkStart w:id="1066" w:name="Tc_VwEt9hcrJk2HUgpTO_YHnQ_4_8"/>
      <w:bookmarkStart w:id="1067" w:name="Tc_laQmEJ2OV0WK7F1o4PhVQw_4_5"/>
      <w:bookmarkStart w:id="1068" w:name="Tc_gI74LKndUEScRd4sBB28LQ_4_2"/>
      <w:bookmarkStart w:id="1069" w:name="Tc_Bvg3IzhxxE2wZ10hd_Fn2A_3_8"/>
      <w:bookmarkStart w:id="1070" w:name="Tc_tnUpAR-SGEq92iriLxiMJw_3_5"/>
      <w:bookmarkStart w:id="1071" w:name="Tc_e2kb5j1mDU6bOpuqq970eA_3_2"/>
      <w:bookmarkStart w:id="1072" w:name="Tc_nA3i99-w8kqlbRMshA4HrA_2_8"/>
      <w:bookmarkStart w:id="1073" w:name="Tc_HfGaqTHagEaBaytPJ1nTLA_2_2"/>
      <w:bookmarkStart w:id="1074" w:name="Tc_uzfYKtkmREODNNfaRY6K_w_1_8"/>
      <w:bookmarkStart w:id="1075" w:name="_c6abb936_ba54_46e5_8e40_495c6e67ffc2"/>
      <w:bookmarkStart w:id="1076" w:name="Tc_h9szXKH6rUOPP-KdUVGUDA_6_20"/>
      <w:bookmarkStart w:id="1077" w:name="Tc_XvqG1uSYuECjiwbbWDyJrg_6_17"/>
      <w:bookmarkStart w:id="1078" w:name="Tc_nf0Z4GRHiUiGN-zNPG1U9w_6_14"/>
      <w:bookmarkStart w:id="1079" w:name="Tc_YgZ_o90fpEGks_qPkujhtQ_6_11"/>
      <w:bookmarkStart w:id="1080" w:name="Tc_yeOenKakbEqeODqlyEPY9g_6_8"/>
      <w:bookmarkStart w:id="1081" w:name="Tc_0ogBmRQSgEOira94AiKVTw_6_5"/>
      <w:bookmarkStart w:id="1082" w:name="Tc_FvZ_otBauEuC1zWVVfMHTA_6_2"/>
      <w:bookmarkStart w:id="1083" w:name="Tc_i6kKcStIvEegni294u7h8w_6_0"/>
      <w:bookmarkStart w:id="1084" w:name="Tc__SdTqIA_SUyc0IDRHNExrQ_5_18"/>
      <w:bookmarkStart w:id="1085" w:name="Tc_8CXxiXhnDkihiYtWNdbx3g_5_0"/>
      <w:bookmarkStart w:id="1086" w:name="Tc_kv2QddDhjUGrHHVhHBrqfw_4_20"/>
      <w:bookmarkStart w:id="1087" w:name="Tc_G4DNtZvlU0SnKTYxwRDL3Q_4_17"/>
      <w:bookmarkStart w:id="1088" w:name="Tc_AFQk7zEFskuib9jPgtD4kA_4_14"/>
      <w:bookmarkStart w:id="1089" w:name="Tc_klQuybhMtE2zVr_xpNaLtg_4_11"/>
      <w:bookmarkStart w:id="1090" w:name="Tc_EXa-l1cIn0a6FDMQUg64IA_4_8"/>
      <w:bookmarkStart w:id="1091" w:name="Tc_Oe0gpnt9SUSKFtmc1NFbdg_4_6"/>
      <w:bookmarkStart w:id="1092" w:name="Tc_OX3N5BTyT0WLWtrQxV05lw_4_5"/>
      <w:bookmarkStart w:id="1093" w:name="Tc_G4kTJlqqpUGsxBwMMXlxBg_4_2"/>
      <w:bookmarkStart w:id="1094" w:name="Tc_H4OtcVIYJEuVA4Amdb9kug_4_0"/>
      <w:bookmarkStart w:id="1095" w:name="Tc_pAMSPc49GUefZenTlFOZsQ_3_0"/>
      <w:bookmarkStart w:id="1096" w:name="Tc_nY1UPdFLckipF47TLGMJEw_2_20"/>
      <w:bookmarkStart w:id="1097" w:name="Tc_Yk1HQo0qckGPr83W5621sg_2_17"/>
      <w:bookmarkStart w:id="1098" w:name="Tc_OBH-weY0aEiBXuzbi1A4yQ_2_14"/>
      <w:bookmarkStart w:id="1099" w:name="Tc_ksIfCiY7HUO7aCAi27v1Tw_2_11"/>
      <w:bookmarkStart w:id="1100" w:name="Tc_BUHyVTx3NkaJiTeogxVYTg_2_8"/>
      <w:bookmarkStart w:id="1101" w:name="Tc_NRosvkUs2kCjlsMZWfOTzg_2_5"/>
      <w:bookmarkStart w:id="1102" w:name="Tc_3CyP5irSCU6ji2GXeNce2w_2_2"/>
      <w:bookmarkStart w:id="1103" w:name="Tc_csZxUS1Vj0u8m_1a1mUwPw_1_2"/>
      <w:bookmarkStart w:id="1104" w:name="_7f729e31_8bb6_498f_85ee_0d4fc7f26903"/>
      <w:bookmarkStart w:id="1105" w:name="Tc_sQAyvZpVAEq72v7xB9I29A_6_20"/>
      <w:bookmarkStart w:id="1106" w:name="Tc_dEWEtkx2h0-nIVGTDxfedQ_6_17"/>
      <w:bookmarkStart w:id="1107" w:name="Tc_-S6GjN_0cU2NADMwa0m_eQ_6_14"/>
      <w:bookmarkStart w:id="1108" w:name="Tc_9fxDsJQvxUix3_cpa6aP3A_6_11"/>
      <w:bookmarkStart w:id="1109" w:name="Tc_tkg9GF_7G0aEDH5RWu_KzA_6_8"/>
      <w:bookmarkStart w:id="1110" w:name="Tc_ikiLvQfSJ0a0xLPT2T5Fug_6_5"/>
      <w:bookmarkStart w:id="1111" w:name="Tc_sGY2IEGgh0y3vKccmc1KDQ_6_2"/>
      <w:bookmarkStart w:id="1112" w:name="Tc_2pr0qVLYPkSrDAjryoD8zQ_6_0"/>
      <w:bookmarkStart w:id="1113" w:name="Tc_18gr3d72LES2Yrw8gsoKDg_5_0"/>
      <w:bookmarkStart w:id="1114" w:name="Tc_Rktd6anJAk6nMOphiFSOZg_4_20"/>
      <w:bookmarkStart w:id="1115" w:name="Tc_G32UAg_wqkCVzHkA5CoYGQ_4_17"/>
      <w:bookmarkStart w:id="1116" w:name="Tc_dvMCKseIb0Sn-v6EN1Gm2A_4_14"/>
      <w:bookmarkStart w:id="1117" w:name="Tc_pxbiVpbFZk6SuxchKvPcsw_4_11"/>
      <w:bookmarkStart w:id="1118" w:name="Tc_2Ftxyl28OkypkcgVZB0aVg_4_8"/>
      <w:bookmarkStart w:id="1119" w:name="Tc_GkkoSm1TQ0mAa5EbMaXOGA_4_5"/>
      <w:bookmarkStart w:id="1120" w:name="Tc_2aYXGelmK0yPmkrFccIM4g_4_2"/>
      <w:bookmarkStart w:id="1121" w:name="Tc_z7PbOwvc30arAeIyodXzrQ_4_0"/>
      <w:bookmarkStart w:id="1122" w:name="Tc_gPLu3A7KYEyXhLDdngd0Sg_3_0"/>
      <w:bookmarkStart w:id="1123" w:name="Tc_hoZSQh2L_ES2lwznnOTgMQ_2_20"/>
      <w:bookmarkStart w:id="1124" w:name="Tc_R0i8bdtvG0CBdEo7qobxZw_2_17"/>
      <w:bookmarkStart w:id="1125" w:name="Tc_fuG0hYAcU0W1fd9tHfwI4Q_2_14"/>
      <w:bookmarkStart w:id="1126" w:name="Tc_tF93ts_R5ka417tPd14Q2g_2_11"/>
      <w:bookmarkStart w:id="1127" w:name="Tc_FTBtP-8pREGWgMENgU-O2g_2_8"/>
      <w:bookmarkStart w:id="1128" w:name="Tc_M96Rjj_pFEm7JMngtnKVeA_2_5"/>
      <w:bookmarkStart w:id="1129" w:name="Tc_mSmFpZlbXEStZjUuzvmecQ_2_2"/>
      <w:bookmarkStart w:id="1130" w:name="Tc_Ct-aXQ5Ey02LWv2V9VPHDA_1_2"/>
      <w:bookmarkStart w:id="1131" w:name="_e7cfab51_0e41_4f51_bf5d_14ed5b9f6a21"/>
      <w:bookmarkStart w:id="1132" w:name="Tc_J35qSQLK0UC8UhMtz1zKNw_6_20"/>
      <w:bookmarkStart w:id="1133" w:name="Tc_-zxo1keSrEWZ41n5OuUOIg_6_17"/>
      <w:bookmarkStart w:id="1134" w:name="Tc_z0A8T7Sde0-hwxneyUdEMA_6_14"/>
      <w:bookmarkStart w:id="1135" w:name="Tc_rmUazLkISEea2i0N-hnK_Q_6_11"/>
      <w:bookmarkStart w:id="1136" w:name="Tc_ZtfSt5_w70iYvT92y0GT4g_6_8"/>
      <w:bookmarkStart w:id="1137" w:name="Tc_ubnK4A7YTkGilcTRiOJAOA_6_5"/>
      <w:bookmarkStart w:id="1138" w:name="Tc_PyflfKlvi0e-6y8eJuwisw_6_2"/>
      <w:bookmarkStart w:id="1139" w:name="Tc_wHboCTDyxEizjYLX4heT4g_6_0"/>
      <w:bookmarkStart w:id="1140" w:name="Tc_k4fI1Dpuyk2C7fPTWrP1Rw_5_0"/>
      <w:bookmarkStart w:id="1141" w:name="Tc_f9Z8z0xDQ0q4lstMgT3dCQ_4_20"/>
      <w:bookmarkStart w:id="1142" w:name="Tc_rWuP-3nucUSsRhk9bwuy2Q_4_17"/>
      <w:bookmarkStart w:id="1143" w:name="Tc_a8LXSpVHSkqUk-_5YwOwcA_4_14"/>
      <w:bookmarkStart w:id="1144" w:name="Tc_p-sPDIJQeES8Xj_rBPocTA_4_11"/>
      <w:bookmarkStart w:id="1145" w:name="Tc_8_98WeZdl0SA25V9CzSDvA_4_9"/>
      <w:bookmarkStart w:id="1146" w:name="Tc_AV0SmAooZ0OUSiuKCPbHKg_4_8"/>
      <w:bookmarkStart w:id="1147" w:name="Tc_GFihjQvoIUumjLaqjZS3Kg_4_5"/>
      <w:bookmarkStart w:id="1148" w:name="Tc_Zk8wzak44UKz35B91dhsow_4_2"/>
      <w:bookmarkStart w:id="1149" w:name="Tc_vIsD3miDh0GJ666lc0YXig_4_0"/>
      <w:bookmarkStart w:id="1150" w:name="Tc_2gFXaFmjFk-J1vx-KWzosQ_3_0"/>
      <w:bookmarkStart w:id="1151" w:name="Tc_Z6UVGbMDd0CJavhIej0hjg_2_20"/>
      <w:bookmarkStart w:id="1152" w:name="Tc_X46UX6JXEk-UY2MTPJs_ow_2_17"/>
      <w:bookmarkStart w:id="1153" w:name="Tc_nw8xOVKeOkmEcB3gCb5GPg_2_14"/>
      <w:bookmarkStart w:id="1154" w:name="Tc_GJ4WKOQJLUG2nvhryX3BEQ_2_11"/>
      <w:bookmarkStart w:id="1155" w:name="Tc_EVrN_OZSb0qJbNbZsl03HQ_2_8"/>
      <w:bookmarkStart w:id="1156" w:name="Tc_t4gIgYUgAEe9uCQsfwexFg_2_5"/>
      <w:bookmarkStart w:id="1157" w:name="Tc_Xc23iHYkMUKY39pl8e_ZrQ_2_2"/>
      <w:bookmarkStart w:id="1158" w:name="Tc_n5q3TWGra0GQKCO-xGei6w_1_2"/>
      <w:bookmarkStart w:id="1159" w:name="_5b842d69_3cf9_4d6c_ba00_465baa12588b"/>
      <w:bookmarkStart w:id="1160" w:name="Tc_DWTxC36S00252CaGJG2WFQ_6_20"/>
      <w:bookmarkStart w:id="1161" w:name="Tc_QFs1gvIlgUi2-yGQhwXx8g_6_17"/>
      <w:bookmarkStart w:id="1162" w:name="Tc_M40Fm9qwlUyy2RyMVzhwXA_6_14"/>
      <w:bookmarkStart w:id="1163" w:name="Tc_VJ1qkRsy6kS35tA6gyTjLQ_6_11"/>
      <w:bookmarkStart w:id="1164" w:name="Tc_cMlxsbn4ak25wQsGXnq-VQ_6_8"/>
      <w:bookmarkStart w:id="1165" w:name="Tc_ddwMWwF04kuFB1QLDZcP-A_6_5"/>
      <w:bookmarkStart w:id="1166" w:name="Tc_UvhAbPy42kOZtndPjM06PA_6_2"/>
      <w:bookmarkStart w:id="1167" w:name="Tc_AWCUGMMHFkOY203R53e-jw_6_0"/>
      <w:bookmarkStart w:id="1168" w:name="Tc_adn0YlKSmUOL9bSh62hATQ_5_0"/>
      <w:bookmarkStart w:id="1169" w:name="Tc_4pLvpZC3a0ut4HIGtGCQzQ_4_20"/>
      <w:bookmarkStart w:id="1170" w:name="Tc_j8ZQOOjyrEaruU9yP0kNTw_4_17"/>
      <w:bookmarkStart w:id="1171" w:name="Tc_6_MsdPT8iEGinv7H7udBOA_4_14"/>
      <w:bookmarkStart w:id="1172" w:name="Tc_L5kZe4UCSEaAbIARZCAeLw_4_11"/>
      <w:bookmarkStart w:id="1173" w:name="Tc_GhbLlibCeUiknXKj7Pd3_g_4_8"/>
      <w:bookmarkStart w:id="1174" w:name="Tc_q6k7KwP20UyKENMgF0BK0g_4_5"/>
      <w:bookmarkStart w:id="1175" w:name="Tc_WXAt8gVqKkaKAVcbj27e7g_4_3"/>
      <w:bookmarkStart w:id="1176" w:name="Tc_N-XOEtpVdEGK77kCX2Uqaw_4_2"/>
      <w:bookmarkStart w:id="1177" w:name="Tc_4nbaqA7H0k2YgNdprmsbsQ_4_0"/>
      <w:bookmarkStart w:id="1178" w:name="Tc_XYCfYBPjYkuWv6KkjKshSw_3_0"/>
      <w:bookmarkStart w:id="1179" w:name="Tc_y65xcuTp406ri_-2Sp5pgQ_2_20"/>
      <w:bookmarkStart w:id="1180" w:name="Tc_NtJFeSRBn0mg-dfTr7MhEA_2_17"/>
      <w:bookmarkStart w:id="1181" w:name="Tc_ksi6OkNuDk-osV_shVGzYg_2_14"/>
      <w:bookmarkStart w:id="1182" w:name="Tc_f8HuiF1tk0GMUri4V_AxTQ_2_11"/>
      <w:bookmarkStart w:id="1183" w:name="Tc_KoZL3FjYdE2D-7GeF907KA_2_8"/>
      <w:bookmarkStart w:id="1184" w:name="Tc_g9CFKjmIpkidrMyFWQpKUg_2_5"/>
      <w:bookmarkStart w:id="1185" w:name="Tc_-xe7Ozy-8kWAguvkI76mLw_2_2"/>
      <w:bookmarkStart w:id="1186" w:name="Tc_krA9GtDff0mKc04qmFWhVA_1_2"/>
      <w:bookmarkStart w:id="1187" w:name="_8aeab8a7_50e2_4e0a_8bc7_b02ed19c14da"/>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r>
        <w:rPr>
          <w:rFonts w:ascii="Times New Roman;Times;serif" w:hAnsi="Times New Roman;Times;serif"/>
          <w:sz w:val="20"/>
        </w:rPr>
        <w:t xml:space="preserve">The Company’s amortized cost basis in net investment in sales-type leases and Ground Lease receivables, presented by year of origination and by stabilized or development status, was as follows as of June 30, 2026 ($ in thousands): </w:t>
      </w:r>
    </w:p>
    <w:tbl>
      <w:tblPr>
        <w:tblW w:w="10205" w:type="dxa"/>
        <w:jc w:val="left"/>
        <w:tblInd w:w="0" w:type="dxa"/>
        <w:tblLayout w:type="fixed"/>
        <w:tblCellMar>
          <w:top w:w="0" w:type="dxa"/>
          <w:left w:w="0" w:type="dxa"/>
          <w:bottom w:w="0" w:type="dxa"/>
          <w:right w:w="0" w:type="dxa"/>
        </w:tblCellMar>
      </w:tblPr>
      <w:tblGrid>
        <w:gridCol w:w="1245"/>
        <w:gridCol w:w="346"/>
        <w:gridCol w:w="196"/>
        <w:gridCol w:w="601"/>
        <w:gridCol w:w="346"/>
        <w:gridCol w:w="196"/>
        <w:gridCol w:w="601"/>
        <w:gridCol w:w="346"/>
        <w:gridCol w:w="196"/>
        <w:gridCol w:w="691"/>
        <w:gridCol w:w="346"/>
        <w:gridCol w:w="196"/>
        <w:gridCol w:w="601"/>
        <w:gridCol w:w="346"/>
        <w:gridCol w:w="196"/>
        <w:gridCol w:w="691"/>
        <w:gridCol w:w="346"/>
        <w:gridCol w:w="210"/>
        <w:gridCol w:w="886"/>
        <w:gridCol w:w="346"/>
        <w:gridCol w:w="346"/>
        <w:gridCol w:w="931"/>
      </w:tblGrid>
      <w:tr>
        <w:trPr/>
        <w:tc>
          <w:tcPr>
            <w:tcW w:w="1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790575" cy="175260"/>
                      <wp:effectExtent l="0" t="0" r="0" b="0"/>
                      <wp:wrapNone/>
                      <wp:docPr id="152" name="Frame152"/>
                      <a:graphic xmlns:a="http://schemas.openxmlformats.org/drawingml/2006/main">
                        <a:graphicData uri="http://schemas.microsoft.com/office/word/2010/wordprocessingShape">
                          <wps:wsp>
                            <wps:cNvSpPr txBox="1"/>
                            <wps:spPr>
                              <a:xfrm>
                                <a:off x="0" y="0"/>
                                <a:ext cx="790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4460" cy="175260"/>
                      <wp:effectExtent l="0" t="0" r="0" b="0"/>
                      <wp:wrapNone/>
                      <wp:docPr id="154" name="Frame1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81635" cy="175260"/>
                      <wp:effectExtent l="0" t="0" r="0" b="0"/>
                      <wp:wrapNone/>
                      <wp:docPr id="155" name="Frame15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4460" cy="175260"/>
                      <wp:effectExtent l="0" t="0" r="0" b="0"/>
                      <wp:wrapNone/>
                      <wp:docPr id="157" name="Frame1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81635" cy="175260"/>
                      <wp:effectExtent l="0" t="0" r="0" b="0"/>
                      <wp:wrapNone/>
                      <wp:docPr id="158" name="Frame15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4460" cy="175260"/>
                      <wp:effectExtent l="0" t="0" r="0" b="0"/>
                      <wp:wrapNone/>
                      <wp:docPr id="160" name="Frame1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38785" cy="175260"/>
                      <wp:effectExtent l="0" t="0" r="0" b="0"/>
                      <wp:wrapNone/>
                      <wp:docPr id="161" name="Frame1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63" name="Frame1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81635" cy="175260"/>
                      <wp:effectExtent l="0" t="0" r="0" b="0"/>
                      <wp:wrapNone/>
                      <wp:docPr id="164" name="Frame16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24460" cy="175260"/>
                      <wp:effectExtent l="0" t="0" r="0" b="0"/>
                      <wp:wrapNone/>
                      <wp:docPr id="166" name="Frame1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38785" cy="175260"/>
                      <wp:effectExtent l="0" t="0" r="0" b="0"/>
                      <wp:wrapNone/>
                      <wp:docPr id="167" name="Frame1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350" cy="175260"/>
                      <wp:effectExtent l="0" t="0" r="0" b="0"/>
                      <wp:wrapNone/>
                      <wp:docPr id="169" name="Frame169"/>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62610" cy="175260"/>
                      <wp:effectExtent l="0" t="0" r="0" b="0"/>
                      <wp:wrapNone/>
                      <wp:docPr id="170" name="Frame17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91185" cy="175260"/>
                      <wp:effectExtent l="0" t="0" r="0" b="0"/>
                      <wp:wrapNone/>
                      <wp:docPr id="173" name="Frame1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991"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pPr>
            <w:r>
              <w:rPr/>
              <w:t>​</w:t>
            </w:r>
          </w:p>
        </w:tc>
      </w:tr>
      <w:tr>
        <w:trPr/>
        <w:tc>
          <w:tcPr>
            <w:tcW w:w="124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2022</w:t>
            </w:r>
          </w:p>
        </w:tc>
        <w:tc>
          <w:tcPr>
            <w:tcW w:w="346" w:type="dxa"/>
            <w:tcBorders/>
            <w:vAlign w:val="center"/>
          </w:tcPr>
          <w:p>
            <w:pPr>
              <w:pStyle w:val="TableContents"/>
              <w:bidi w:val="0"/>
              <w:spacing w:before="0" w:after="1"/>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investment in sales-type leases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1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51,792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670,879</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2,471,669</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3,254,423</w:t>
            </w:r>
          </w:p>
        </w:tc>
      </w:tr>
      <w:tr>
        <w:trPr/>
        <w:tc>
          <w:tcPr>
            <w:tcW w:w="12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54,369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44,960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116,101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39,549</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153,585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431,281</w:t>
            </w:r>
          </w:p>
        </w:tc>
      </w:tr>
      <w:tr>
        <w:trPr/>
        <w:tc>
          <w:tcPr>
            <w:tcW w:w="124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54,369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68,169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152,975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74,509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710,428</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2,625,254</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3,685,704</w:t>
            </w:r>
          </w:p>
        </w:tc>
      </w:tr>
    </w:tbl>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1155"/>
        <w:gridCol w:w="346"/>
        <w:gridCol w:w="196"/>
        <w:gridCol w:w="601"/>
        <w:gridCol w:w="346"/>
        <w:gridCol w:w="196"/>
        <w:gridCol w:w="691"/>
        <w:gridCol w:w="346"/>
        <w:gridCol w:w="196"/>
        <w:gridCol w:w="691"/>
        <w:gridCol w:w="346"/>
        <w:gridCol w:w="196"/>
        <w:gridCol w:w="601"/>
        <w:gridCol w:w="346"/>
        <w:gridCol w:w="196"/>
        <w:gridCol w:w="691"/>
        <w:gridCol w:w="346"/>
        <w:gridCol w:w="242"/>
        <w:gridCol w:w="854"/>
        <w:gridCol w:w="346"/>
        <w:gridCol w:w="346"/>
        <w:gridCol w:w="931"/>
      </w:tblGrid>
      <w:tr>
        <w:trPr/>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733425" cy="175260"/>
                      <wp:effectExtent l="0" t="0" r="0" b="0"/>
                      <wp:wrapNone/>
                      <wp:docPr id="174" name="Frame174"/>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24460" cy="175260"/>
                      <wp:effectExtent l="0" t="0" r="0" b="0"/>
                      <wp:wrapNone/>
                      <wp:docPr id="176" name="Frame1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81635" cy="175260"/>
                      <wp:effectExtent l="0" t="0" r="0" b="0"/>
                      <wp:wrapNone/>
                      <wp:docPr id="177" name="Frame17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4460" cy="175260"/>
                      <wp:effectExtent l="0" t="0" r="0" b="0"/>
                      <wp:wrapNone/>
                      <wp:docPr id="179" name="Frame1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38785" cy="175260"/>
                      <wp:effectExtent l="0" t="0" r="0" b="0"/>
                      <wp:wrapNone/>
                      <wp:docPr id="180" name="Frame1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24460" cy="175260"/>
                      <wp:effectExtent l="0" t="0" r="0" b="0"/>
                      <wp:wrapNone/>
                      <wp:docPr id="182" name="Frame1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38785" cy="175260"/>
                      <wp:effectExtent l="0" t="0" r="0" b="0"/>
                      <wp:wrapNone/>
                      <wp:docPr id="183" name="Frame18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24460" cy="175260"/>
                      <wp:effectExtent l="0" t="0" r="0" b="0"/>
                      <wp:wrapNone/>
                      <wp:docPr id="185" name="Frame1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81635" cy="175260"/>
                      <wp:effectExtent l="0" t="0" r="0" b="0"/>
                      <wp:wrapNone/>
                      <wp:docPr id="186" name="Frame18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24460" cy="175260"/>
                      <wp:effectExtent l="0" t="0" r="0" b="0"/>
                      <wp:wrapNone/>
                      <wp:docPr id="188" name="Frame1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38785" cy="175260"/>
                      <wp:effectExtent l="0" t="0" r="0" b="0"/>
                      <wp:wrapNone/>
                      <wp:docPr id="189" name="Frame1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53670" cy="175260"/>
                      <wp:effectExtent l="0" t="0" r="0" b="0"/>
                      <wp:wrapNone/>
                      <wp:docPr id="191" name="Frame19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42290" cy="175260"/>
                      <wp:effectExtent l="0" t="0" r="0" b="0"/>
                      <wp:wrapNone/>
                      <wp:docPr id="192" name="Frame192"/>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91185" cy="175260"/>
                      <wp:effectExtent l="0" t="0" r="0" b="0"/>
                      <wp:wrapNone/>
                      <wp:docPr id="195" name="Frame1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081"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pPr>
            <w:r>
              <w:rPr/>
              <w:t>​</w:t>
            </w:r>
          </w:p>
        </w:tc>
      </w:tr>
      <w:tr>
        <w:trPr/>
        <w:tc>
          <w:tcPr>
            <w:tcW w:w="11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2022</w:t>
            </w:r>
          </w:p>
        </w:tc>
        <w:tc>
          <w:tcPr>
            <w:tcW w:w="346" w:type="dxa"/>
            <w:tcBorders/>
            <w:vAlign w:val="center"/>
          </w:tcPr>
          <w:p>
            <w:pPr>
              <w:pStyle w:val="TableContents"/>
              <w:bidi w:val="0"/>
              <w:spacing w:before="0" w:after="1"/>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Ground Lease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115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29,462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38,453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20,167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160,460</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896,052</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1,144,594</w:t>
            </w:r>
          </w:p>
        </w:tc>
      </w:tr>
      <w:tr>
        <w:trPr/>
        <w:tc>
          <w:tcPr>
            <w:tcW w:w="115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37,996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71,959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130,212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645,392</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80,847</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991,539</w:t>
            </w:r>
          </w:p>
        </w:tc>
      </w:tr>
      <w:tr>
        <w:trPr/>
        <w:tc>
          <w:tcPr>
            <w:tcW w:w="115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67,458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110,412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130,212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45,300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805,852</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976,899</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2,136,133</w:t>
            </w:r>
          </w:p>
        </w:tc>
      </w:tr>
    </w:tbl>
    <w:p>
      <w:pPr>
        <w:pStyle w:val="TextBody"/>
        <w:bidi w:val="0"/>
        <w:spacing w:before="0" w:after="240"/>
        <w:ind w:left="0" w:right="0" w:firstLine="72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Company’s amortized cost basis in net investment in sales-type leases and Ground Lease receivables, presented by year of origination and by stabilized or development status, was as follows as of December 31, 2025 ($ in thousands): </w:t>
      </w:r>
    </w:p>
    <w:tbl>
      <w:tblPr>
        <w:tblW w:w="10236" w:type="dxa"/>
        <w:jc w:val="left"/>
        <w:tblInd w:w="0" w:type="dxa"/>
        <w:tblLayout w:type="fixed"/>
        <w:tblCellMar>
          <w:top w:w="0" w:type="dxa"/>
          <w:left w:w="0" w:type="dxa"/>
          <w:bottom w:w="0" w:type="dxa"/>
          <w:right w:w="0" w:type="dxa"/>
        </w:tblCellMar>
      </w:tblPr>
      <w:tblGrid>
        <w:gridCol w:w="1051"/>
        <w:gridCol w:w="346"/>
        <w:gridCol w:w="196"/>
        <w:gridCol w:w="601"/>
        <w:gridCol w:w="346"/>
        <w:gridCol w:w="196"/>
        <w:gridCol w:w="691"/>
        <w:gridCol w:w="346"/>
        <w:gridCol w:w="196"/>
        <w:gridCol w:w="601"/>
        <w:gridCol w:w="346"/>
        <w:gridCol w:w="196"/>
        <w:gridCol w:w="691"/>
        <w:gridCol w:w="346"/>
        <w:gridCol w:w="196"/>
        <w:gridCol w:w="826"/>
        <w:gridCol w:w="346"/>
        <w:gridCol w:w="210"/>
        <w:gridCol w:w="886"/>
        <w:gridCol w:w="346"/>
        <w:gridCol w:w="346"/>
        <w:gridCol w:w="931"/>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67385" cy="175260"/>
                      <wp:effectExtent l="0" t="0" r="0" b="0"/>
                      <wp:wrapNone/>
                      <wp:docPr id="196" name="Frame19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24460" cy="175260"/>
                      <wp:effectExtent l="0" t="0" r="0" b="0"/>
                      <wp:wrapNone/>
                      <wp:docPr id="198" name="Frame1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81635" cy="175260"/>
                      <wp:effectExtent l="0" t="0" r="0" b="0"/>
                      <wp:wrapNone/>
                      <wp:docPr id="199" name="Frame19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24460" cy="175260"/>
                      <wp:effectExtent l="0" t="0" r="0" b="0"/>
                      <wp:wrapNone/>
                      <wp:docPr id="201" name="Frame2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38785" cy="175260"/>
                      <wp:effectExtent l="0" t="0" r="0" b="0"/>
                      <wp:wrapNone/>
                      <wp:docPr id="202" name="Frame2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24460" cy="175260"/>
                      <wp:effectExtent l="0" t="0" r="0" b="0"/>
                      <wp:wrapNone/>
                      <wp:docPr id="204" name="Frame2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81635" cy="175260"/>
                      <wp:effectExtent l="0" t="0" r="0" b="0"/>
                      <wp:wrapNone/>
                      <wp:docPr id="205" name="Frame20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24460" cy="175260"/>
                      <wp:effectExtent l="0" t="0" r="0" b="0"/>
                      <wp:wrapNone/>
                      <wp:docPr id="207" name="Frame2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38785" cy="175260"/>
                      <wp:effectExtent l="0" t="0" r="0" b="0"/>
                      <wp:wrapNone/>
                      <wp:docPr id="208" name="Frame20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24460" cy="175260"/>
                      <wp:effectExtent l="0" t="0" r="0" b="0"/>
                      <wp:wrapNone/>
                      <wp:docPr id="210" name="Frame2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24510" cy="175260"/>
                      <wp:effectExtent l="0" t="0" r="0" b="0"/>
                      <wp:wrapNone/>
                      <wp:docPr id="211" name="Frame21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350" cy="175260"/>
                      <wp:effectExtent l="0" t="0" r="0" b="0"/>
                      <wp:wrapNone/>
                      <wp:docPr id="213" name="Frame213"/>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62610" cy="175260"/>
                      <wp:effectExtent l="0" t="0" r="0" b="0"/>
                      <wp:wrapNone/>
                      <wp:docPr id="214" name="Frame21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91185" cy="175260"/>
                      <wp:effectExtent l="0" t="0" r="0" b="0"/>
                      <wp:wrapNone/>
                      <wp:docPr id="217" name="Frame2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216"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pPr>
            <w:r>
              <w:rPr/>
              <w:t>​</w:t>
            </w:r>
          </w:p>
        </w:tc>
      </w:tr>
      <w:tr>
        <w:trPr/>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2021</w:t>
            </w:r>
          </w:p>
        </w:tc>
        <w:tc>
          <w:tcPr>
            <w:tcW w:w="346" w:type="dxa"/>
            <w:tcBorders/>
            <w:vAlign w:val="center"/>
          </w:tcPr>
          <w:p>
            <w:pPr>
              <w:pStyle w:val="TableContents"/>
              <w:bidi w:val="0"/>
              <w:spacing w:before="0" w:after="1"/>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investment in sales-type leases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36,488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51,253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665,105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1,119,446</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1,329,290</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3,224,537</w:t>
            </w:r>
          </w:p>
        </w:tc>
      </w:tr>
      <w:tr>
        <w:trPr/>
        <w:tc>
          <w:tcPr>
            <w:tcW w:w="10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114,401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22,498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39,194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123,669</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28,520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349,888</w:t>
            </w:r>
          </w:p>
        </w:tc>
      </w:tr>
      <w:tr>
        <w:trPr/>
        <w:tc>
          <w:tcPr>
            <w:tcW w:w="105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44,561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150,889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73,751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704,299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1,243,115</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1,357,810</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3,574,425</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155"/>
        <w:gridCol w:w="346"/>
        <w:gridCol w:w="196"/>
        <w:gridCol w:w="601"/>
        <w:gridCol w:w="346"/>
        <w:gridCol w:w="196"/>
        <w:gridCol w:w="691"/>
        <w:gridCol w:w="346"/>
        <w:gridCol w:w="196"/>
        <w:gridCol w:w="601"/>
        <w:gridCol w:w="346"/>
        <w:gridCol w:w="196"/>
        <w:gridCol w:w="691"/>
        <w:gridCol w:w="346"/>
        <w:gridCol w:w="196"/>
        <w:gridCol w:w="691"/>
        <w:gridCol w:w="346"/>
        <w:gridCol w:w="242"/>
        <w:gridCol w:w="854"/>
        <w:gridCol w:w="346"/>
        <w:gridCol w:w="346"/>
        <w:gridCol w:w="931"/>
      </w:tblGrid>
      <w:tr>
        <w:trPr/>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733425" cy="175260"/>
                      <wp:effectExtent l="0" t="0" r="0" b="0"/>
                      <wp:wrapNone/>
                      <wp:docPr id="218" name="Frame218"/>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24460" cy="175260"/>
                      <wp:effectExtent l="0" t="0" r="0" b="0"/>
                      <wp:wrapNone/>
                      <wp:docPr id="220" name="Frame2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81635" cy="175260"/>
                      <wp:effectExtent l="0" t="0" r="0" b="0"/>
                      <wp:wrapNone/>
                      <wp:docPr id="221" name="Frame22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24460" cy="175260"/>
                      <wp:effectExtent l="0" t="0" r="0" b="0"/>
                      <wp:wrapNone/>
                      <wp:docPr id="223" name="Frame2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38785" cy="175260"/>
                      <wp:effectExtent l="0" t="0" r="0" b="0"/>
                      <wp:wrapNone/>
                      <wp:docPr id="224" name="Frame2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24460" cy="175260"/>
                      <wp:effectExtent l="0" t="0" r="0" b="0"/>
                      <wp:wrapNone/>
                      <wp:docPr id="226" name="Frame2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81635" cy="175260"/>
                      <wp:effectExtent l="0" t="0" r="0" b="0"/>
                      <wp:wrapNone/>
                      <wp:docPr id="227" name="Frame22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24460" cy="175260"/>
                      <wp:effectExtent l="0" t="0" r="0" b="0"/>
                      <wp:wrapNone/>
                      <wp:docPr id="229" name="Frame2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38785" cy="175260"/>
                      <wp:effectExtent l="0" t="0" r="0" b="0"/>
                      <wp:wrapNone/>
                      <wp:docPr id="230" name="Frame2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24460" cy="175260"/>
                      <wp:effectExtent l="0" t="0" r="0" b="0"/>
                      <wp:wrapNone/>
                      <wp:docPr id="232" name="Frame2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38785" cy="175260"/>
                      <wp:effectExtent l="0" t="0" r="0" b="0"/>
                      <wp:wrapNone/>
                      <wp:docPr id="233" name="Frame2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53670" cy="175260"/>
                      <wp:effectExtent l="0" t="0" r="0" b="0"/>
                      <wp:wrapNone/>
                      <wp:docPr id="235" name="Frame23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42290" cy="175260"/>
                      <wp:effectExtent l="0" t="0" r="0" b="0"/>
                      <wp:wrapNone/>
                      <wp:docPr id="236" name="Frame236"/>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91185" cy="175260"/>
                      <wp:effectExtent l="0" t="0" r="0" b="0"/>
                      <wp:wrapNone/>
                      <wp:docPr id="239" name="Frame2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081"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of Origination</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931" w:type="dxa"/>
            <w:tcBorders/>
            <w:vAlign w:val="center"/>
          </w:tcPr>
          <w:p>
            <w:pPr>
              <w:pStyle w:val="TableContents"/>
              <w:bidi w:val="0"/>
              <w:spacing w:before="0" w:after="1"/>
              <w:ind w:left="0" w:right="0" w:hanging="0"/>
              <w:jc w:val="center"/>
              <w:rPr/>
            </w:pPr>
            <w:r>
              <w:rPr/>
              <w:t>​</w:t>
            </w:r>
          </w:p>
        </w:tc>
      </w:tr>
      <w:tr>
        <w:trPr/>
        <w:tc>
          <w:tcPr>
            <w:tcW w:w="115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Prior to 2021</w:t>
            </w:r>
          </w:p>
        </w:tc>
        <w:tc>
          <w:tcPr>
            <w:tcW w:w="346" w:type="dxa"/>
            <w:tcBorders/>
            <w:vAlign w:val="center"/>
          </w:tcPr>
          <w:p>
            <w:pPr>
              <w:pStyle w:val="TableContents"/>
              <w:bidi w:val="0"/>
              <w:spacing w:before="0" w:after="1"/>
              <w:ind w:left="0" w:right="0" w:hanging="0"/>
              <w:jc w:val="center"/>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Ground Lease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115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Stabilized properties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158,930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204,531</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655,451</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1,076,938</w:t>
            </w:r>
          </w:p>
        </w:tc>
      </w:tr>
      <w:tr>
        <w:trPr/>
        <w:tc>
          <w:tcPr>
            <w:tcW w:w="115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Development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128,497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639,514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80,103</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931,865</w:t>
            </w:r>
          </w:p>
        </w:tc>
      </w:tr>
      <w:tr>
        <w:trPr/>
        <w:tc>
          <w:tcPr>
            <w:tcW w:w="115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96,937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128,497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44,840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798,444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284,634</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655,451</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2,008,803</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Future Minimum Lease Payments under Sales-type Leases</w:t>
      </w:r>
      <w:r>
        <w:rPr>
          <w:rFonts w:ascii="Times New Roman;Times;serif" w:hAnsi="Times New Roman;Times;serif"/>
          <w:sz w:val="20"/>
        </w:rPr>
        <w:t>—Future minimum lease payments to be collected under sales-type leases accounted for under ASC 842 - Leases, excluding lease payments that are not fixed and determinable, in effect as of June 30, 2026, are as follows by year ($ in thousands):</w:t>
      </w:r>
    </w:p>
    <w:p>
      <w:pPr>
        <w:pStyle w:val="TextBody"/>
        <w:bidi w:val="0"/>
        <w:spacing w:before="0" w:after="240"/>
        <w:ind w:left="0" w:right="0" w:firstLine="720"/>
        <w:jc w:val="both"/>
        <w:rPr/>
      </w:pPr>
      <w:r>
        <w:rPr/>
        <w:t>​</w:t>
      </w:r>
    </w:p>
    <w:tbl>
      <w:tblPr>
        <w:tblW w:w="8812" w:type="dxa"/>
        <w:jc w:val="left"/>
        <w:tblInd w:w="0" w:type="dxa"/>
        <w:tblLayout w:type="fixed"/>
        <w:tblCellMar>
          <w:top w:w="0" w:type="dxa"/>
          <w:left w:w="0" w:type="dxa"/>
          <w:bottom w:w="0" w:type="dxa"/>
          <w:right w:w="0" w:type="dxa"/>
        </w:tblCellMar>
      </w:tblPr>
      <w:tblGrid>
        <w:gridCol w:w="2596"/>
        <w:gridCol w:w="346"/>
        <w:gridCol w:w="211"/>
        <w:gridCol w:w="1036"/>
        <w:gridCol w:w="346"/>
        <w:gridCol w:w="211"/>
        <w:gridCol w:w="931"/>
        <w:gridCol w:w="346"/>
        <w:gridCol w:w="229"/>
        <w:gridCol w:w="852"/>
        <w:gridCol w:w="346"/>
        <w:gridCol w:w="211"/>
        <w:gridCol w:w="115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648460" cy="175260"/>
                      <wp:effectExtent l="0" t="0" r="0" b="0"/>
                      <wp:wrapNone/>
                      <wp:docPr id="240" name="Frame24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57860" cy="175260"/>
                      <wp:effectExtent l="0" t="0" r="0" b="0"/>
                      <wp:wrapNone/>
                      <wp:docPr id="243" name="Frame24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91185" cy="175260"/>
                      <wp:effectExtent l="0" t="0" r="0" b="0"/>
                      <wp:wrapNone/>
                      <wp:docPr id="246" name="Frame24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45415" cy="175260"/>
                      <wp:effectExtent l="0" t="0" r="0" b="0"/>
                      <wp:wrapNone/>
                      <wp:docPr id="248" name="Frame248"/>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41020" cy="175260"/>
                      <wp:effectExtent l="0" t="0" r="0" b="0"/>
                      <wp:wrapNone/>
                      <wp:docPr id="249" name="Frame249"/>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730885" cy="175260"/>
                      <wp:effectExtent l="0" t="0" r="0" b="0"/>
                      <wp:wrapNone/>
                      <wp:docPr id="252" name="Frame252"/>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Bumps </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1151" w:type="dxa"/>
            <w:tcBorders/>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Bumps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51" w:type="dxa"/>
            <w:tcBorders/>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Inflation </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51" w:type="dxa"/>
            <w:tcBorders/>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Bumps</w:t>
            </w:r>
          </w:p>
        </w:tc>
        <w:tc>
          <w:tcPr>
            <w:tcW w:w="346" w:type="dxa"/>
            <w:tcBorders/>
            <w:vAlign w:val="center"/>
          </w:tcPr>
          <w:p>
            <w:pPr>
              <w:pStyle w:val="TableContents"/>
              <w:bidi w:val="0"/>
              <w:spacing w:before="0" w:after="1"/>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Rent</w:t>
            </w:r>
          </w:p>
        </w:tc>
        <w:tc>
          <w:tcPr>
            <w:tcW w:w="346" w:type="dxa"/>
            <w:tcBorders/>
            <w:vAlign w:val="center"/>
          </w:tcPr>
          <w:p>
            <w:pPr>
              <w:pStyle w:val="TableContents"/>
              <w:bidi w:val="0"/>
              <w:spacing w:before="0" w:after="1"/>
              <w:ind w:left="0" w:right="0" w:hanging="0"/>
              <w:jc w:val="center"/>
              <w:rPr/>
            </w:pPr>
            <w:r>
              <w:rPr/>
              <w:t>  ​ ​ ​</w:t>
            </w:r>
          </w:p>
        </w:tc>
        <w:tc>
          <w:tcPr>
            <w:tcW w:w="13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4,507</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62,792</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9,320</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128,787</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9,595</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132,395</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123,745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9,785</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135,283</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11,005</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139,779</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31,448,633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3,513,757</w:t>
            </w:r>
          </w:p>
        </w:tc>
        <w:tc>
          <w:tcPr>
            <w:tcW w:w="34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35,246,550</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undiscounted cash flows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31,995,663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3,557,969</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291,954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35,845,586</w:t>
            </w:r>
          </w:p>
        </w:tc>
      </w:tr>
    </w:tbl>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188" w:name="Tc_FgqJIrR-aUOwYjob3D3pBg_6_8"/>
      <w:bookmarkStart w:id="1189" w:name="Tc_F5Mk8TsPikKbqjJs0YKw3w_6_5"/>
      <w:bookmarkStart w:id="1190" w:name="Tc_slFFdZ9DjkyLiCWkJTcwow_6_2"/>
      <w:bookmarkStart w:id="1191" w:name="Tc_4FPZqappHkumlqhqrjaamg_6_0"/>
      <w:bookmarkStart w:id="1192" w:name="Tc_4HZjHoC3_kGnJL6wfmLeKA_5_0"/>
      <w:bookmarkStart w:id="1193" w:name="Tc_r4euUVXxuUedcbZ927ECZw_4_8"/>
      <w:bookmarkStart w:id="1194" w:name="Tc_MY4wb8g1DkKTmJeKRp_6jg_4_5"/>
      <w:bookmarkStart w:id="1195" w:name="Tc_jAnn4Y_6u0iwdNsfeVn45g_4_2"/>
      <w:bookmarkStart w:id="1196" w:name="Tc_F1feKHYXiUOSWzUkHltXUQ_4_0"/>
      <w:bookmarkStart w:id="1197" w:name="Tc_Pq9jLFsDEk2EoDPALVlcAg_3_8"/>
      <w:bookmarkStart w:id="1198" w:name="Tc_AqxOuuV0xEWaX0VVAM-C1w_3_5"/>
      <w:bookmarkStart w:id="1199" w:name="Tc_AdWkmxBct0uNQqPjDWDZAw_3_2"/>
      <w:bookmarkStart w:id="1200" w:name="Tc_PPMbY-ljDkarYtrzuaXg9w_3_0"/>
      <w:bookmarkStart w:id="1201" w:name="Tc_Oxv5PMRC_0iHpD-QapXCdw_2_5"/>
      <w:bookmarkStart w:id="1202" w:name="Tc_S-1cQdUAWUSVFGyEHryR8g_2_2"/>
      <w:bookmarkStart w:id="1203" w:name="Tc_uQ7iAnEWlU6AeMDzNojmtg_1_5"/>
      <w:bookmarkStart w:id="1204" w:name="Tc_xVkN2wcyr0aGL1R5w3T7Zw_1_2"/>
      <w:bookmarkStart w:id="1205" w:name="_2f9ddf50_d1d7_43cc_921e_724427990904"/>
      <w:bookmarkStart w:id="1206" w:name="Tc_M19eoqFmiEC4KUEWdtwPsA_6_8"/>
      <w:bookmarkStart w:id="1207" w:name="Tc_ZK1i_j-EfkWTtEkuCqC2uQ_6_5"/>
      <w:bookmarkStart w:id="1208" w:name="Tc_j2YVEVQVDUStiXbpPmk5Yw_6_2"/>
      <w:bookmarkStart w:id="1209" w:name="Tc_QGD7kEK4G0WJOLXlyvfQJw_6_0"/>
      <w:bookmarkStart w:id="1210" w:name="Tc_9P2S8MabZEKSDfEypbgIiQ_5_0"/>
      <w:bookmarkStart w:id="1211" w:name="Tc_mSWWQ_N-jk6PbNub6oX-_A_4_8"/>
      <w:bookmarkStart w:id="1212" w:name="Tc_9YRoVQlYPE-549BoRRYM4g_4_5"/>
      <w:bookmarkStart w:id="1213" w:name="Tc_kwnjywE7UEmlNZk48XxZ7Q_4_2"/>
      <w:bookmarkStart w:id="1214" w:name="Tc_jqSQ0jmE5UGiNb5Ok2luDg_4_0"/>
      <w:bookmarkStart w:id="1215" w:name="Tc_72QJcFiyuEmW7AUfozUnNQ_3_8"/>
      <w:bookmarkStart w:id="1216" w:name="Tc_hYgHsFh2cUWb5RdpICkbFA_3_5"/>
      <w:bookmarkStart w:id="1217" w:name="Tc_oxAuYxf5S0-4KN1J3VsoVw_3_2"/>
      <w:bookmarkStart w:id="1218" w:name="Tc_7exik2KflkCPjR06O3uyAg_3_0"/>
      <w:bookmarkStart w:id="1219" w:name="Tc_XRBbjHHC70OUpIC4Xvk8LQ_2_5"/>
      <w:bookmarkStart w:id="1220" w:name="Tc_YeQrXLerCEiUjerRCaej4w_2_2"/>
      <w:bookmarkStart w:id="1221" w:name="Tc_HK1hrloGv0-IjAuXgn24mQ_1_5"/>
      <w:bookmarkStart w:id="1222" w:name="Tc_EFffiU-kvUGRaswEueklhQ_1_2"/>
      <w:bookmarkStart w:id="1223" w:name="_17eb720f_bac2_4d44_8f5f_2fc4e8a7fd86"/>
      <w:bookmarkStart w:id="1224" w:name="Tc_32j9xUJjX0aqTUpW38ytJg_6_8"/>
      <w:bookmarkStart w:id="1225" w:name="Tc_psGzBvNrcEmiYtFER3Cr0w_6_5"/>
      <w:bookmarkStart w:id="1226" w:name="Tc_PTCf82k4N0O9L9XiwigO7g_6_2"/>
      <w:bookmarkStart w:id="1227" w:name="Tc_z7FD3YphMUeeZHVShh14Sg_6_0"/>
      <w:bookmarkStart w:id="1228" w:name="Tc_stMJ6s9TQkWSA5N62eIHzQ_5_0"/>
      <w:bookmarkStart w:id="1229" w:name="Tc_SEvNRhRKB0u3_fihObuctw_4_8"/>
      <w:bookmarkStart w:id="1230" w:name="Tc_xeh9sNlP5UOwhSvWZzSG9A_4_5"/>
      <w:bookmarkStart w:id="1231" w:name="Tc_CiX8XrJVRkWK4oar3hUvJg_4_2"/>
      <w:bookmarkStart w:id="1232" w:name="Tc_NczVa--QP0e_37eeUle7Tg_4_0"/>
      <w:bookmarkStart w:id="1233" w:name="Tc_Hi-36es5UUuISJEcIBR_4Q_3_8"/>
      <w:bookmarkStart w:id="1234" w:name="Tc_2V0h4EJnPECFBmkwEGPxFw_3_5"/>
      <w:bookmarkStart w:id="1235" w:name="Tc_m2n9w3PI20mp-AUN3rQxgg_3_2"/>
      <w:bookmarkStart w:id="1236" w:name="Tc_VWiPvnem8kOu2XJ9Gi6T3w_3_0"/>
      <w:bookmarkStart w:id="1237" w:name="Tc_XGrBdUrwXE-hCSw41z5yDw_2_5"/>
      <w:bookmarkStart w:id="1238" w:name="Tc_5VBj_Svec0Sg62tBEvp7Qg_2_2"/>
      <w:bookmarkStart w:id="1239" w:name="Tc_DMmjeJnXtEm5nuifYAx9Xw_1_5"/>
      <w:bookmarkStart w:id="1240" w:name="Tc_1hN1PxzEtkqU4xnWLzP75w_1_2"/>
      <w:bookmarkStart w:id="1241" w:name="_0d964c48_8012_4c2f_b655_f9ed4b705b8c"/>
      <w:bookmarkStart w:id="1242" w:name="Tc_2Z_hYAJXxEG-qfKC_RWetg_6_8"/>
      <w:bookmarkStart w:id="1243" w:name="Tc_uaJGd2G_60C8GUnLfzjDnA_6_5"/>
      <w:bookmarkStart w:id="1244" w:name="Tc_RZ_SAZtmqUGDP_eZwopRWA_6_2"/>
      <w:bookmarkStart w:id="1245" w:name="Tc_8gj1AKCgd0myaHJwkMxOiQ_6_0"/>
      <w:bookmarkStart w:id="1246" w:name="Tc_jRyqq-VhokC7Im9dzNBbDQ_5_0"/>
      <w:bookmarkStart w:id="1247" w:name="Tc_YNRP1TzWSE-Yd_3xYHFfUA_4_8"/>
      <w:bookmarkStart w:id="1248" w:name="Tc_w0vmO7iP_Eq5EulSs-JDaA_4_5"/>
      <w:bookmarkStart w:id="1249" w:name="Tc_RkKV7ILikUu0mj7MVlUVXg_4_2"/>
      <w:bookmarkStart w:id="1250" w:name="Tc_dq5mOFTAIUOMGLmBEmSB8w_4_0"/>
      <w:bookmarkStart w:id="1251" w:name="Tc_8PWAgZaVNky2qpoS6w6xBg_3_8"/>
      <w:bookmarkStart w:id="1252" w:name="Tc_CH7pmPjZ-Ui_JVVjkj2ExA_3_5"/>
      <w:bookmarkStart w:id="1253" w:name="Tc_7zCGwnBBEEaqGCCPv6L-Cw_3_2"/>
      <w:bookmarkStart w:id="1254" w:name="Tc_W0bz9avwAU-T2AHtFak-zg_3_0"/>
      <w:bookmarkStart w:id="1255" w:name="Tc_kEKY0ineuECieZAd6JrpoA_2_5"/>
      <w:bookmarkStart w:id="1256" w:name="Tc_0b-lr-C4OkyMV2q8wT0qXQ_2_2"/>
      <w:bookmarkStart w:id="1257" w:name="Tc_PXDhlQqQrUWL1kdmm7bx3A_1_5"/>
      <w:bookmarkStart w:id="1258" w:name="Tc_pX452sQDIEaTf79M7P0wFQ_1_2"/>
      <w:bookmarkStart w:id="1259" w:name="_e60667c5_45a2_4f67_9535_6dfcc9b3c928"/>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r>
        <w:rPr>
          <w:rFonts w:ascii="Times New Roman;Times;serif" w:hAnsi="Times New Roman;Times;serif"/>
          <w:sz w:val="20"/>
        </w:rPr>
        <w:t xml:space="preserve">During the three and six months ended June 30, 2026 and 2025, the Company recognized interest income from sales-type leases in its consolidated statements of operations as follows ($ in thousands): </w:t>
      </w:r>
    </w:p>
    <w:p>
      <w:pPr>
        <w:pStyle w:val="TextBody"/>
        <w:bidi w:val="0"/>
        <w:spacing w:before="0" w:after="0"/>
        <w:ind w:left="0" w:right="0" w:hanging="0"/>
        <w:jc w:val="left"/>
        <w:rPr/>
      </w:pPr>
      <w:r>
        <w:rPr/>
        <w:t>​</w:t>
      </w:r>
    </w:p>
    <w:tbl>
      <w:tblPr>
        <w:tblW w:w="7822" w:type="dxa"/>
        <w:jc w:val="left"/>
        <w:tblInd w:w="0" w:type="dxa"/>
        <w:tblLayout w:type="fixed"/>
        <w:tblCellMar>
          <w:top w:w="0" w:type="dxa"/>
          <w:left w:w="0" w:type="dxa"/>
          <w:bottom w:w="0" w:type="dxa"/>
          <w:right w:w="0" w:type="dxa"/>
        </w:tblCellMar>
      </w:tblPr>
      <w:tblGrid>
        <w:gridCol w:w="3646"/>
        <w:gridCol w:w="346"/>
        <w:gridCol w:w="285"/>
        <w:gridCol w:w="915"/>
        <w:gridCol w:w="346"/>
        <w:gridCol w:w="225"/>
        <w:gridCol w:w="721"/>
        <w:gridCol w:w="346"/>
        <w:gridCol w:w="211"/>
        <w:gridCol w:w="781"/>
      </w:tblGrid>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80975" cy="175260"/>
                      <wp:effectExtent l="0" t="0" r="0" b="0"/>
                      <wp:wrapNone/>
                      <wp:docPr id="254" name="Frame254"/>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81025" cy="175260"/>
                      <wp:effectExtent l="0" t="0" r="0" b="0"/>
                      <wp:wrapNone/>
                      <wp:docPr id="255" name="Frame255"/>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2875" cy="175260"/>
                      <wp:effectExtent l="0" t="0" r="0" b="0"/>
                      <wp:wrapNone/>
                      <wp:docPr id="257" name="Frame25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57835" cy="175260"/>
                      <wp:effectExtent l="0" t="0" r="0" b="0"/>
                      <wp:wrapNone/>
                      <wp:docPr id="258" name="Frame25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95935" cy="175260"/>
                      <wp:effectExtent l="0" t="0" r="0" b="0"/>
                      <wp:wrapNone/>
                      <wp:docPr id="261" name="Frame2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Investment</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Ground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Sales-type</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June 30, 2026</w:t>
            </w:r>
          </w:p>
        </w:tc>
        <w:tc>
          <w:tcPr>
            <w:tcW w:w="346" w:type="dxa"/>
            <w:tcBorders/>
            <w:vAlign w:val="center"/>
          </w:tcPr>
          <w:p>
            <w:pPr>
              <w:pStyle w:val="TableContents"/>
              <w:bidi w:val="0"/>
              <w:spacing w:before="0" w:after="0"/>
              <w:ind w:left="0" w:right="0" w:hanging="0"/>
              <w:jc w:val="center"/>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center"/>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30,461</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49,764</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17,165</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27,138</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income from sales-type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47,626</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76,902</w:t>
            </w:r>
          </w:p>
        </w:tc>
      </w:tr>
    </w:tbl>
    <w:p>
      <w:pPr>
        <w:pStyle w:val="TextBody"/>
        <w:bidi w:val="0"/>
        <w:spacing w:before="0" w:after="0"/>
        <w:ind w:left="0" w:right="0" w:hanging="0"/>
        <w:jc w:val="left"/>
        <w:rPr/>
      </w:pPr>
      <w:r>
        <w:rPr/>
        <w:t>​</w:t>
      </w:r>
    </w:p>
    <w:tbl>
      <w:tblPr>
        <w:tblW w:w="7832" w:type="dxa"/>
        <w:jc w:val="left"/>
        <w:tblInd w:w="0" w:type="dxa"/>
        <w:tblLayout w:type="fixed"/>
        <w:tblCellMar>
          <w:top w:w="0" w:type="dxa"/>
          <w:left w:w="0" w:type="dxa"/>
          <w:bottom w:w="0" w:type="dxa"/>
          <w:right w:w="0" w:type="dxa"/>
        </w:tblCellMar>
      </w:tblPr>
      <w:tblGrid>
        <w:gridCol w:w="3646"/>
        <w:gridCol w:w="346"/>
        <w:gridCol w:w="285"/>
        <w:gridCol w:w="915"/>
        <w:gridCol w:w="346"/>
        <w:gridCol w:w="225"/>
        <w:gridCol w:w="721"/>
        <w:gridCol w:w="346"/>
        <w:gridCol w:w="211"/>
        <w:gridCol w:w="791"/>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315210" cy="175260"/>
                      <wp:effectExtent l="0" t="0" r="0" b="0"/>
                      <wp:wrapNone/>
                      <wp:docPr id="262" name="Frame262"/>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80975" cy="175260"/>
                      <wp:effectExtent l="0" t="0" r="0" b="0"/>
                      <wp:wrapNone/>
                      <wp:docPr id="264" name="Frame264"/>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81025" cy="175260"/>
                      <wp:effectExtent l="0" t="0" r="0" b="0"/>
                      <wp:wrapNone/>
                      <wp:docPr id="265" name="Frame265"/>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42875" cy="175260"/>
                      <wp:effectExtent l="0" t="0" r="0" b="0"/>
                      <wp:wrapNone/>
                      <wp:docPr id="267" name="Frame26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57835" cy="175260"/>
                      <wp:effectExtent l="0" t="0" r="0" b="0"/>
                      <wp:wrapNone/>
                      <wp:docPr id="268" name="Frame26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02285" cy="175260"/>
                      <wp:effectExtent l="0" t="0" r="0" b="0"/>
                      <wp:wrapNone/>
                      <wp:docPr id="271" name="Frame27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Investment</w:t>
            </w:r>
          </w:p>
        </w:tc>
        <w:tc>
          <w:tcPr>
            <w:tcW w:w="346" w:type="dxa"/>
            <w:tcBorders/>
            <w:vAlign w:val="center"/>
          </w:tcPr>
          <w:p>
            <w:pPr>
              <w:pStyle w:val="TableContents"/>
              <w:bidi w:val="0"/>
              <w:spacing w:before="0" w:after="0"/>
              <w:ind w:left="0" w:right="0" w:hanging="0"/>
              <w:jc w:val="center"/>
              <w:rPr/>
            </w:pPr>
            <w:r>
              <w:rPr/>
              <w:t>  ​ ​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Ground </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Sales-type</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June 30, 2025</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Receivables</w:t>
            </w:r>
          </w:p>
        </w:tc>
        <w:tc>
          <w:tcPr>
            <w:tcW w:w="346" w:type="dxa"/>
            <w:tcBorders/>
            <w:vAlign w:val="center"/>
          </w:tcPr>
          <w:p>
            <w:pPr>
              <w:pStyle w:val="TableContents"/>
              <w:bidi w:val="0"/>
              <w:spacing w:before="0" w:after="0"/>
              <w:ind w:left="0" w:right="0" w:hanging="0"/>
              <w:jc w:val="center"/>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28,724</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45,525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16,228</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25,117</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income from sales-type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44,952</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70,642</w:t>
            </w:r>
          </w:p>
        </w:tc>
      </w:tr>
    </w:tbl>
    <w:p>
      <w:pPr>
        <w:pStyle w:val="TextBody"/>
        <w:bidi w:val="0"/>
        <w:spacing w:before="0" w:after="0"/>
        <w:ind w:left="0" w:right="0" w:hanging="0"/>
        <w:jc w:val="left"/>
        <w:rPr/>
      </w:pPr>
      <w:r>
        <w:rPr/>
        <w:t>​</w:t>
      </w:r>
    </w:p>
    <w:tbl>
      <w:tblPr>
        <w:tblW w:w="7927" w:type="dxa"/>
        <w:jc w:val="left"/>
        <w:tblInd w:w="0" w:type="dxa"/>
        <w:tblLayout w:type="fixed"/>
        <w:tblCellMar>
          <w:top w:w="0" w:type="dxa"/>
          <w:left w:w="0" w:type="dxa"/>
          <w:bottom w:w="0" w:type="dxa"/>
          <w:right w:w="0" w:type="dxa"/>
        </w:tblCellMar>
      </w:tblPr>
      <w:tblGrid>
        <w:gridCol w:w="3646"/>
        <w:gridCol w:w="346"/>
        <w:gridCol w:w="285"/>
        <w:gridCol w:w="915"/>
        <w:gridCol w:w="346"/>
        <w:gridCol w:w="225"/>
        <w:gridCol w:w="721"/>
        <w:gridCol w:w="346"/>
        <w:gridCol w:w="211"/>
        <w:gridCol w:w="886"/>
      </w:tblGrid>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80975" cy="175260"/>
                      <wp:effectExtent l="0" t="0" r="0" b="0"/>
                      <wp:wrapNone/>
                      <wp:docPr id="273" name="Frame27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81025" cy="175260"/>
                      <wp:effectExtent l="0" t="0" r="0" b="0"/>
                      <wp:wrapNone/>
                      <wp:docPr id="274" name="Frame274"/>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42875" cy="175260"/>
                      <wp:effectExtent l="0" t="0" r="0" b="0"/>
                      <wp:wrapNone/>
                      <wp:docPr id="276" name="Frame27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57835" cy="175260"/>
                      <wp:effectExtent l="0" t="0" r="0" b="0"/>
                      <wp:wrapNone/>
                      <wp:docPr id="277" name="Frame27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62610" cy="175260"/>
                      <wp:effectExtent l="0" t="0" r="0" b="0"/>
                      <wp:wrapNone/>
                      <wp:docPr id="280" name="Frame28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Investment</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Ground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Sales-type</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June 30, 2026</w:t>
            </w:r>
          </w:p>
        </w:tc>
        <w:tc>
          <w:tcPr>
            <w:tcW w:w="346" w:type="dxa"/>
            <w:tcBorders/>
            <w:vAlign w:val="center"/>
          </w:tcPr>
          <w:p>
            <w:pPr>
              <w:pStyle w:val="TableContents"/>
              <w:bidi w:val="0"/>
              <w:spacing w:before="0" w:after="0"/>
              <w:ind w:left="0" w:right="0" w:hanging="0"/>
              <w:jc w:val="center"/>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center"/>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Receivables</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60,229</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98,234</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34,097</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53,702</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income from sales-type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94,326</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151,936</w:t>
            </w:r>
          </w:p>
        </w:tc>
      </w:tr>
    </w:tbl>
    <w:p>
      <w:pPr>
        <w:pStyle w:val="TextBody"/>
        <w:bidi w:val="0"/>
        <w:spacing w:before="0" w:after="0"/>
        <w:ind w:left="0" w:right="0" w:hanging="0"/>
        <w:jc w:val="left"/>
        <w:rPr/>
      </w:pPr>
      <w:r>
        <w:rPr/>
        <w:t>​</w:t>
      </w:r>
    </w:p>
    <w:tbl>
      <w:tblPr>
        <w:tblW w:w="7937" w:type="dxa"/>
        <w:jc w:val="left"/>
        <w:tblInd w:w="0" w:type="dxa"/>
        <w:tblLayout w:type="fixed"/>
        <w:tblCellMar>
          <w:top w:w="0" w:type="dxa"/>
          <w:left w:w="0" w:type="dxa"/>
          <w:bottom w:w="0" w:type="dxa"/>
          <w:right w:w="0" w:type="dxa"/>
        </w:tblCellMar>
      </w:tblPr>
      <w:tblGrid>
        <w:gridCol w:w="3646"/>
        <w:gridCol w:w="346"/>
        <w:gridCol w:w="285"/>
        <w:gridCol w:w="915"/>
        <w:gridCol w:w="346"/>
        <w:gridCol w:w="225"/>
        <w:gridCol w:w="721"/>
        <w:gridCol w:w="346"/>
        <w:gridCol w:w="211"/>
        <w:gridCol w:w="896"/>
      </w:tblGrid>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Investment</w:t>
            </w:r>
          </w:p>
        </w:tc>
        <w:tc>
          <w:tcPr>
            <w:tcW w:w="346" w:type="dxa"/>
            <w:tcBorders/>
            <w:vAlign w:val="center"/>
          </w:tcPr>
          <w:p>
            <w:pPr>
              <w:pStyle w:val="TableContents"/>
              <w:bidi w:val="0"/>
              <w:spacing w:before="0" w:after="0"/>
              <w:ind w:left="0" w:right="0" w:hanging="0"/>
              <w:jc w:val="center"/>
              <w:rPr/>
            </w:pPr>
            <w:r>
              <w:rPr/>
              <w:t>  ​ ​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Ground </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Sales-type</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364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June 30, 2025</w:t>
            </w:r>
          </w:p>
        </w:tc>
        <w:tc>
          <w:tcPr>
            <w:tcW w:w="346" w:type="dxa"/>
            <w:tcBorders/>
            <w:vAlign w:val="center"/>
          </w:tcPr>
          <w:p>
            <w:pPr>
              <w:pStyle w:val="TableContents"/>
              <w:bidi w:val="0"/>
              <w:spacing w:before="0" w:after="0"/>
              <w:ind w:left="0" w:right="0" w:hanging="0"/>
              <w:jc w:val="center"/>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Receivables</w:t>
            </w:r>
          </w:p>
        </w:tc>
        <w:tc>
          <w:tcPr>
            <w:tcW w:w="346" w:type="dxa"/>
            <w:tcBorders/>
            <w:vAlign w:val="center"/>
          </w:tcPr>
          <w:p>
            <w:pPr>
              <w:pStyle w:val="TableContents"/>
              <w:bidi w:val="0"/>
              <w:spacing w:before="0" w:after="0"/>
              <w:ind w:left="0" w:right="0" w:hanging="0"/>
              <w:jc w:val="center"/>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57,627</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90,800</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32,043</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49,506</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income from sales-type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89,670</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140,306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 ​</w:t>
      </w:r>
    </w:p>
    <w:p>
      <w:pPr>
        <w:pStyle w:val="TextBody"/>
        <w:bidi w:val="0"/>
        <w:spacing w:before="0" w:after="120"/>
        <w:ind w:left="0" w:right="0" w:hanging="0"/>
        <w:jc w:val="left"/>
        <w:rPr>
          <w:rFonts w:ascii="Times New Roman;Times;serif" w:hAnsi="Times New Roman;Times;serif"/>
          <w:b/>
          <w:sz w:val="20"/>
        </w:rPr>
      </w:pPr>
      <w:bookmarkStart w:id="1260" w:name="Tc_NY06R-oB1UqeehQEbLo4Pg_9_5"/>
      <w:bookmarkStart w:id="1261" w:name="Tc_zpvxq9IGSECxvCG8d8sVgA_9_2"/>
      <w:bookmarkStart w:id="1262" w:name="Tc_ttBLBd3pPUag7dsHvoRRLQ_9_0"/>
      <w:bookmarkStart w:id="1263" w:name="Tc_IYMcpEdElk-0S6RHnxg1eA_8_3"/>
      <w:bookmarkStart w:id="1264" w:name="Tc_3AZ9LXF9o0mM64UoS_t47Q_8_0"/>
      <w:bookmarkStart w:id="1265" w:name="Tc_w_aFQcQBkke8HRFn0MH_Zg_7_0"/>
      <w:bookmarkStart w:id="1266" w:name="Tc_PoXSOUOCUUmp9x-golAohA_6_5"/>
      <w:bookmarkStart w:id="1267" w:name="Tc_Ue9okxeaf02QvOuKhUGiaA_6_2"/>
      <w:bookmarkStart w:id="1268" w:name="Tc_X7bPCIH1c02MNPgmdy4yfQ_6_0"/>
      <w:bookmarkStart w:id="1269" w:name="Tc_qmLO53LyvEy4ENLIuTeTsQ_5_0"/>
      <w:bookmarkStart w:id="1270" w:name="Tc_mGAqriB_-EOQwZ1jyXBBPw_4_0"/>
      <w:bookmarkStart w:id="1271" w:name="Tc_O3l3iTE8zkiWcGsdkOKmaQ_3_5"/>
      <w:bookmarkStart w:id="1272" w:name="Tc_NSjzpJrS6US6lbmkydwyog_3_2"/>
      <w:bookmarkStart w:id="1273" w:name="Tc_zXr0fklLVU6fQPsQz8jZpw_3_0"/>
      <w:bookmarkStart w:id="1274" w:name="Tc_hAuAT5JiA0aWrLX7dcfwNg_2_5"/>
      <w:bookmarkStart w:id="1275" w:name="Tc_C-DoV3AuREmk43dwH56LvQ_2_2"/>
      <w:bookmarkStart w:id="1276" w:name="Tc_BAuherqTWkaJyQRV0u2eJA_1_2"/>
      <w:bookmarkStart w:id="1277" w:name="_3a938e74_fb65_4b66_9956_7fa78a1c87a6"/>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r>
        <w:rPr>
          <w:rFonts w:ascii="Times New Roman;Times;serif" w:hAnsi="Times New Roman;Times;serif"/>
          <w:b/>
          <w:sz w:val="20"/>
        </w:rPr>
        <w:t>Note 5—Real Estate, Real Estate-Related Intangibles and Real Estate Available and Held for Sale</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Company’s real estate assets consist of the following ($ in thousands): </w:t>
      </w:r>
    </w:p>
    <w:tbl>
      <w:tblPr>
        <w:tblW w:w="10205" w:type="dxa"/>
        <w:jc w:val="left"/>
        <w:tblInd w:w="0" w:type="dxa"/>
        <w:tblLayout w:type="fixed"/>
        <w:tblCellMar>
          <w:top w:w="0" w:type="dxa"/>
          <w:left w:w="0" w:type="dxa"/>
          <w:bottom w:w="0" w:type="dxa"/>
          <w:right w:w="0" w:type="dxa"/>
        </w:tblCellMar>
      </w:tblPr>
      <w:tblGrid>
        <w:gridCol w:w="6841"/>
        <w:gridCol w:w="346"/>
        <w:gridCol w:w="239"/>
        <w:gridCol w:w="887"/>
        <w:gridCol w:w="346"/>
        <w:gridCol w:w="297"/>
        <w:gridCol w:w="1249"/>
      </w:tblGrid>
      <w:tr>
        <w:trPr/>
        <w:tc>
          <w:tcPr>
            <w:tcW w:w="6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344035" cy="175260"/>
                      <wp:effectExtent l="0" t="0" r="0" b="0"/>
                      <wp:wrapNone/>
                      <wp:docPr id="281" name="Frame281"/>
                      <a:graphic xmlns:a="http://schemas.openxmlformats.org/drawingml/2006/main">
                        <a:graphicData uri="http://schemas.microsoft.com/office/word/2010/wordprocessingShape">
                          <wps:wsp>
                            <wps:cNvSpPr txBox="1"/>
                            <wps:spPr>
                              <a:xfrm>
                                <a:off x="0" y="0"/>
                                <a:ext cx="434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51765" cy="175260"/>
                      <wp:effectExtent l="0" t="0" r="0" b="0"/>
                      <wp:wrapNone/>
                      <wp:docPr id="283" name="Frame28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63245" cy="175260"/>
                      <wp:effectExtent l="0" t="0" r="0" b="0"/>
                      <wp:wrapNone/>
                      <wp:docPr id="284" name="Frame28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88595" cy="175260"/>
                      <wp:effectExtent l="0" t="0" r="0" b="0"/>
                      <wp:wrapNone/>
                      <wp:docPr id="286" name="Frame286"/>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93115" cy="175260"/>
                      <wp:effectExtent l="0" t="0" r="0" b="0"/>
                      <wp:wrapNone/>
                      <wp:docPr id="287" name="Frame287"/>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land improvements,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547,739</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547,739</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 at cost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196,083</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193,232</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(55,321)</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(52,222)</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net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688,501</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688,749</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estate-related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202,247</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204,016</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available and held for sale</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net and real estate-related intangible assets, net and real estate available and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890,748</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894,793</w:t>
            </w:r>
          </w:p>
        </w:tc>
      </w:tr>
    </w:tbl>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bookmarkStart w:id="1278" w:name="Tc_HYKPgXJjNk2ujS-vL-l97A_4_8"/>
      <w:bookmarkStart w:id="1279" w:name="Tc__JtuQMR9XkqmXokr9k1Stg_4_5"/>
      <w:bookmarkStart w:id="1280" w:name="Tc_ZhQq_WiVX0SYA8pzg8hVfA_4_2"/>
      <w:bookmarkStart w:id="1281" w:name="Tc_wxjRwkVbgE21gFya2RGnSQ_4_0"/>
      <w:bookmarkStart w:id="1282" w:name="Tc_gE5PCmY6Yk6rOHfhpnCotQ_3_8"/>
      <w:bookmarkStart w:id="1283" w:name="Tc_bnqT7HQGekqpciGAgEMH5A_3_5"/>
      <w:bookmarkStart w:id="1284" w:name="Tc_3yBQcruiy0aD9WxfwfVG_w_3_2"/>
      <w:bookmarkStart w:id="1285" w:name="Tc_ktRIxVbP-UifX5RF63S_BQ_2_8"/>
      <w:bookmarkStart w:id="1286" w:name="Tc_PtUSHapVgkaCmGNApcYd7g_2_5"/>
      <w:bookmarkStart w:id="1287" w:name="Tc_yVLrIRgfTECqEfWXIwdAJQ_2_2"/>
      <w:bookmarkStart w:id="1288" w:name="Tc_LDq7BnKuCESB4aV65k2KxQ_1_2"/>
      <w:bookmarkStart w:id="1289" w:name="_42f0d453_122e_4174_a2fb_2cbcc249e7f3"/>
      <w:bookmarkStart w:id="1290" w:name="Tc_QDaIM0OWPE2-fyzXnvwEmA_4_8"/>
      <w:bookmarkStart w:id="1291" w:name="Tc_f21H3gHy6k6Pf6HCmt7CSg_4_5"/>
      <w:bookmarkStart w:id="1292" w:name="Tc_pZZQ5LsCf06HYB7w5c8nuQ_4_2"/>
      <w:bookmarkStart w:id="1293" w:name="Tc_edTMlLJb2kGXVOTL_SW74w_4_0"/>
      <w:bookmarkStart w:id="1294" w:name="Tc_tuKq4JrfC0ewACrEWW35rQ_3_8"/>
      <w:bookmarkStart w:id="1295" w:name="Tc_kbQ2eKSk8U-qtJLjAx1BWQ_3_5"/>
      <w:bookmarkStart w:id="1296" w:name="Tc_OTTrVyv11UCGSG8jXkQVaQ_3_2"/>
      <w:bookmarkStart w:id="1297" w:name="Tc_Glydf7f8TEqQaVYX4MoXtg_2_8"/>
      <w:bookmarkStart w:id="1298" w:name="Tc_iR3BsrxwB0uXLbWcAFRj7g_2_5"/>
      <w:bookmarkStart w:id="1299" w:name="Tc_Ux-ect9GlUCxu9ubiNccoQ_2_2"/>
      <w:bookmarkStart w:id="1300" w:name="Tc_XAywumkXeUKrnX0uf4eMQw_1_2"/>
      <w:bookmarkStart w:id="1301" w:name="_500b4b76_510e_4815_b998_883e639a7f92"/>
      <w:bookmarkStart w:id="1302" w:name="Tc_xfDcU10aXU-OgFpVEJsh3w_7_8"/>
      <w:bookmarkStart w:id="1303" w:name="Tc_VacpvzMCNEq2yCyL0_4DzA_7_5"/>
      <w:bookmarkStart w:id="1304" w:name="Tc_QjWA3-3f7UGnjw2-z1Mf8w_7_2"/>
      <w:bookmarkStart w:id="1305" w:name="Tc_ZHrGxnoxk0aGgh_F0g1LXg_7_0"/>
      <w:bookmarkStart w:id="1306" w:name="Tc__GZr6kHoOEa5ffvzq-1cVA_6_0"/>
      <w:bookmarkStart w:id="1307" w:name="Tc_oyDZ5Pb2VkSix2sKSOqt9w_5_0"/>
      <w:bookmarkStart w:id="1308" w:name="Tc_7pazznBSEUiJLuwvcarVOA_4_8"/>
      <w:bookmarkStart w:id="1309" w:name="Tc_M8MwocJtak6_c57U57hLhg_4_5"/>
      <w:bookmarkStart w:id="1310" w:name="Tc_NZqR1mbmoU6DKfnWJLpbHw_4_2"/>
      <w:bookmarkStart w:id="1311" w:name="Tc_Cpk51rYCSUC9yEZPOkP2Ig_4_0"/>
      <w:bookmarkStart w:id="1312" w:name="Tc_kbezxD2LAki1jhBAMy3ylw_3_8"/>
      <w:bookmarkStart w:id="1313" w:name="Tc_osdrHVXzLEWRIjfFM8euCA_3_5"/>
      <w:bookmarkStart w:id="1314" w:name="Tc_iWF6Ugh_GUCZxXmExbuq3g_3_2"/>
      <w:bookmarkStart w:id="1315" w:name="Tc_K0bToxJgXEuFWtXjchwOoQ_2_8"/>
      <w:bookmarkStart w:id="1316" w:name="Tc_9Uj3vb3-5EawE9Sad54r7w_2_5"/>
      <w:bookmarkStart w:id="1317" w:name="Tc_50-_uZsa2UajVkfOYkBM-A_2_2"/>
      <w:bookmarkStart w:id="1318" w:name="Tc__Nrr1MKaSkSt6fPLJORbDw_1_2"/>
      <w:bookmarkStart w:id="1319" w:name="_d886e38b_8782_4a11_a54d_67830d7454bb"/>
      <w:bookmarkStart w:id="1320" w:name="Tc_2HexmvQ6Q0-X95q-eRtijQ_7_8"/>
      <w:bookmarkStart w:id="1321" w:name="Tc_FRCJfuFbHE-MdR-wgx_9yw_7_5"/>
      <w:bookmarkStart w:id="1322" w:name="Tc_Z8bgpWwBEkGOSml_hs_p2g_7_2"/>
      <w:bookmarkStart w:id="1323" w:name="Tc_5dMgXsYl80iV8-MkGSVcxw_7_0"/>
      <w:bookmarkStart w:id="1324" w:name="Tc_qCb19rTNEkOdHTfbcbi27g_6_0"/>
      <w:bookmarkStart w:id="1325" w:name="Tc_RL1GEV8v2Eua3QGo6hJj6A_5_0"/>
      <w:bookmarkStart w:id="1326" w:name="Tc_01YY5GMiYU6-p-3S6ri65g_4_8"/>
      <w:bookmarkStart w:id="1327" w:name="Tc_v91qyD3VxUKaszw6kpQJhw_4_5"/>
      <w:bookmarkStart w:id="1328" w:name="Tc_7lQSV0VuS0C-KMTFWP3woA_4_2"/>
      <w:bookmarkStart w:id="1329" w:name="Tc_jK66bXYE8kiv4VaDSzsu1Q_4_0"/>
      <w:bookmarkStart w:id="1330" w:name="Tc_PI_IXZuOn0mjrDQKMJvn1A_3_8"/>
      <w:bookmarkStart w:id="1331" w:name="Tc_yvxGTpuaa02aVTm33pF2RQ_3_5"/>
      <w:bookmarkStart w:id="1332" w:name="Tc_LYBftoiEzECIn5c5r9R0eQ_3_2"/>
      <w:bookmarkStart w:id="1333" w:name="Tc_Bj5k8tOoi06NfK4358jnpg_2_8"/>
      <w:bookmarkStart w:id="1334" w:name="Tc_GTif8WXjUk2q7O0DVl8ptg_2_5"/>
      <w:bookmarkStart w:id="1335" w:name="Tc_6QF0AjJvSk2WGI90EXN7vQ_2_2"/>
      <w:bookmarkStart w:id="1336" w:name="Tc_9rSqjJtWRkW6xoAwLVJN-Q_1_2"/>
      <w:bookmarkStart w:id="1337" w:name="_fdfccfb5_08eb_42e2_9e86_3c14e5bc4b34"/>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r>
        <w:rPr>
          <w:rFonts w:ascii="Times New Roman;Times;serif" w:hAnsi="Times New Roman;Times;serif"/>
          <w:sz w:val="20"/>
        </w:rPr>
        <w:t>Real estate-related intangible assets, net consist of the following items ($ in thousands):</w:t>
      </w:r>
    </w:p>
    <w:tbl>
      <w:tblPr>
        <w:tblW w:w="6495" w:type="dxa"/>
        <w:jc w:val="left"/>
        <w:tblInd w:w="0" w:type="dxa"/>
        <w:tblLayout w:type="fixed"/>
        <w:tblCellMar>
          <w:top w:w="0" w:type="dxa"/>
          <w:left w:w="0" w:type="dxa"/>
          <w:bottom w:w="0" w:type="dxa"/>
          <w:right w:w="0" w:type="dxa"/>
        </w:tblCellMar>
      </w:tblPr>
      <w:tblGrid>
        <w:gridCol w:w="2746"/>
        <w:gridCol w:w="346"/>
        <w:gridCol w:w="211"/>
        <w:gridCol w:w="781"/>
        <w:gridCol w:w="109"/>
        <w:gridCol w:w="244"/>
        <w:gridCol w:w="852"/>
        <w:gridCol w:w="109"/>
        <w:gridCol w:w="211"/>
        <w:gridCol w:w="88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743710" cy="175260"/>
                      <wp:effectExtent l="0" t="0" r="0" b="0"/>
                      <wp:wrapNone/>
                      <wp:docPr id="288" name="Frame288"/>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95935" cy="175260"/>
                      <wp:effectExtent l="0" t="0" r="0" b="0"/>
                      <wp:wrapNone/>
                      <wp:docPr id="291" name="Frame2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54940" cy="175260"/>
                      <wp:effectExtent l="0" t="0" r="0" b="0"/>
                      <wp:wrapNone/>
                      <wp:docPr id="293" name="Frame293"/>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41020" cy="175260"/>
                      <wp:effectExtent l="0" t="0" r="0" b="0"/>
                      <wp:wrapNone/>
                      <wp:docPr id="294" name="Frame294"/>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62610" cy="175260"/>
                      <wp:effectExtent l="0" t="0" r="0" b="0"/>
                      <wp:wrapNone/>
                      <wp:docPr id="297" name="Frame29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Above-market lease assets, net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186,002</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160,004</w:t>
            </w:r>
          </w:p>
        </w:tc>
      </w:tr>
      <w:tr>
        <w:trPr/>
        <w:tc>
          <w:tcPr>
            <w:tcW w:w="27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In-place lease assets, net</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70,445</w:t>
            </w:r>
          </w:p>
        </w:tc>
        <w:tc>
          <w:tcPr>
            <w:tcW w:w="109"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41,557</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257,197</w:t>
            </w:r>
          </w:p>
        </w:tc>
        <w:tc>
          <w:tcPr>
            <w:tcW w:w="109"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(54,950)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202,247</w:t>
            </w:r>
          </w:p>
        </w:tc>
      </w:tr>
    </w:tbl>
    <w:p>
      <w:pPr>
        <w:pStyle w:val="TextBody"/>
        <w:bidi w:val="0"/>
        <w:spacing w:before="0" w:after="0"/>
        <w:ind w:left="0" w:right="0" w:hanging="0"/>
        <w:jc w:val="left"/>
        <w:rPr/>
      </w:pPr>
      <w:r>
        <w:rPr/>
        <w:t>​</w:t>
      </w:r>
    </w:p>
    <w:tbl>
      <w:tblPr>
        <w:tblW w:w="6969" w:type="dxa"/>
        <w:jc w:val="left"/>
        <w:tblInd w:w="0" w:type="dxa"/>
        <w:tblLayout w:type="fixed"/>
        <w:tblCellMar>
          <w:top w:w="0" w:type="dxa"/>
          <w:left w:w="0" w:type="dxa"/>
          <w:bottom w:w="0" w:type="dxa"/>
          <w:right w:w="0" w:type="dxa"/>
        </w:tblCellMar>
      </w:tblPr>
      <w:tblGrid>
        <w:gridCol w:w="2746"/>
        <w:gridCol w:w="346"/>
        <w:gridCol w:w="211"/>
        <w:gridCol w:w="781"/>
        <w:gridCol w:w="346"/>
        <w:gridCol w:w="244"/>
        <w:gridCol w:w="852"/>
        <w:gridCol w:w="346"/>
        <w:gridCol w:w="211"/>
        <w:gridCol w:w="88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743710" cy="175260"/>
                      <wp:effectExtent l="0" t="0" r="0" b="0"/>
                      <wp:wrapNone/>
                      <wp:docPr id="298" name="Frame298"/>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00"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95935" cy="175260"/>
                      <wp:effectExtent l="0" t="0" r="0" b="0"/>
                      <wp:wrapNone/>
                      <wp:docPr id="301" name="Frame3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54940" cy="175260"/>
                      <wp:effectExtent l="0" t="0" r="0" b="0"/>
                      <wp:wrapNone/>
                      <wp:docPr id="303" name="Frame303"/>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41020" cy="175260"/>
                      <wp:effectExtent l="0" t="0" r="0" b="0"/>
                      <wp:wrapNone/>
                      <wp:docPr id="304" name="Frame304"/>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62610" cy="175260"/>
                      <wp:effectExtent l="0" t="0" r="0" b="0"/>
                      <wp:wrapNone/>
                      <wp:docPr id="307" name="Frame30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87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34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4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Above-market lease assets, net</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186,002</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161,344</w:t>
            </w:r>
          </w:p>
        </w:tc>
      </w:tr>
      <w:tr>
        <w:trPr/>
        <w:tc>
          <w:tcPr>
            <w:tcW w:w="27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In-place lease assets, net</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70,445</w:t>
            </w:r>
          </w:p>
        </w:tc>
        <w:tc>
          <w:tcPr>
            <w:tcW w:w="34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41,982</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257,197</w:t>
            </w:r>
          </w:p>
        </w:tc>
        <w:tc>
          <w:tcPr>
            <w:tcW w:w="346"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(53,181)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204,016</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Above-market lease assets are recognized during asset acquisitions when the present value of market rate rental cash flows over the term of a lease is less than the present value of the contractual in-place rental cash flows. Above-market lease assets are amortized over the non-cancelable term of the leases.</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In-place lease assets are recognized during asset acquisitions and are estimated based on the value associated with the costs avoided in originating leases comparable to the acquired in-place leases as well as the value associated with lost rental revenue during the assumed lease-up period. In-place lease assets are amortized over the non-cancelable term of the leases.</w:t>
            </w:r>
          </w:p>
        </w:tc>
      </w:tr>
    </w:tbl>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Real estate-related intangible liabilities, net consist of the following items ($ in thousands):</w:t>
      </w:r>
    </w:p>
    <w:tbl>
      <w:tblPr>
        <w:tblW w:w="6240" w:type="dxa"/>
        <w:jc w:val="left"/>
        <w:tblInd w:w="0" w:type="dxa"/>
        <w:tblLayout w:type="fixed"/>
        <w:tblCellMar>
          <w:top w:w="0" w:type="dxa"/>
          <w:left w:w="0" w:type="dxa"/>
          <w:bottom w:w="0" w:type="dxa"/>
          <w:right w:w="0" w:type="dxa"/>
        </w:tblCellMar>
      </w:tblPr>
      <w:tblGrid>
        <w:gridCol w:w="2701"/>
        <w:gridCol w:w="346"/>
        <w:gridCol w:w="211"/>
        <w:gridCol w:w="676"/>
        <w:gridCol w:w="109"/>
        <w:gridCol w:w="274"/>
        <w:gridCol w:w="822"/>
        <w:gridCol w:w="109"/>
        <w:gridCol w:w="211"/>
        <w:gridCol w:w="78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715135" cy="175260"/>
                      <wp:effectExtent l="0" t="0" r="0" b="0"/>
                      <wp:wrapNone/>
                      <wp:docPr id="308" name="Frame308"/>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10"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29260" cy="175260"/>
                      <wp:effectExtent l="0" t="0" r="0" b="0"/>
                      <wp:wrapNone/>
                      <wp:docPr id="311" name="Frame31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12" name="Frame3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73990" cy="175260"/>
                      <wp:effectExtent l="0" t="0" r="0" b="0"/>
                      <wp:wrapNone/>
                      <wp:docPr id="313" name="Frame31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21970" cy="175260"/>
                      <wp:effectExtent l="0" t="0" r="0" b="0"/>
                      <wp:wrapNone/>
                      <wp:docPr id="314" name="Frame314"/>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15"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95935" cy="175260"/>
                      <wp:effectExtent l="0" t="0" r="0" b="0"/>
                      <wp:wrapNone/>
                      <wp:docPr id="317" name="Frame3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1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Below-market lease liabilities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68,618</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61,673</w:t>
            </w:r>
          </w:p>
        </w:tc>
      </w:tr>
    </w:tbl>
    <w:p>
      <w:pPr>
        <w:pStyle w:val="TextBody"/>
        <w:bidi w:val="0"/>
        <w:spacing w:before="0" w:after="0"/>
        <w:ind w:left="0" w:right="0" w:hanging="0"/>
        <w:jc w:val="left"/>
        <w:rPr/>
      </w:pPr>
      <w:r>
        <w:rPr/>
        <w:t>​</w:t>
      </w:r>
    </w:p>
    <w:tbl>
      <w:tblPr>
        <w:tblW w:w="6240" w:type="dxa"/>
        <w:jc w:val="left"/>
        <w:tblInd w:w="0" w:type="dxa"/>
        <w:tblLayout w:type="fixed"/>
        <w:tblCellMar>
          <w:top w:w="0" w:type="dxa"/>
          <w:left w:w="0" w:type="dxa"/>
          <w:bottom w:w="0" w:type="dxa"/>
          <w:right w:w="0" w:type="dxa"/>
        </w:tblCellMar>
      </w:tblPr>
      <w:tblGrid>
        <w:gridCol w:w="2701"/>
        <w:gridCol w:w="346"/>
        <w:gridCol w:w="211"/>
        <w:gridCol w:w="676"/>
        <w:gridCol w:w="109"/>
        <w:gridCol w:w="274"/>
        <w:gridCol w:w="822"/>
        <w:gridCol w:w="109"/>
        <w:gridCol w:w="211"/>
        <w:gridCol w:w="78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715135" cy="175260"/>
                      <wp:effectExtent l="0" t="0" r="0" b="0"/>
                      <wp:wrapNone/>
                      <wp:docPr id="318" name="Frame318"/>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29260" cy="175260"/>
                      <wp:effectExtent l="0" t="0" r="0" b="0"/>
                      <wp:wrapNone/>
                      <wp:docPr id="321" name="Frame3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322"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73990" cy="175260"/>
                      <wp:effectExtent l="0" t="0" r="0" b="0"/>
                      <wp:wrapNone/>
                      <wp:docPr id="323" name="Frame32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21970" cy="175260"/>
                      <wp:effectExtent l="0" t="0" r="0" b="0"/>
                      <wp:wrapNone/>
                      <wp:docPr id="324" name="Frame324"/>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25" name="Frame3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95935" cy="175260"/>
                      <wp:effectExtent l="0" t="0" r="0" b="0"/>
                      <wp:wrapNone/>
                      <wp:docPr id="327" name="Frame3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19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r>
      <w:tr>
        <w:trPr/>
        <w:tc>
          <w:tcPr>
            <w:tcW w:w="27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109"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0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Below-market lease liabilities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68,618</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62,089</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Below-market lease liabilities are recognized during asset acquisitions when the present value of market rate rental cash flows over the term of a lease exceeds the present value of the contractual in-place rental cash flows. Below-market lease liabilities are amortized over the non-cancelable term of the leases.</w:t>
            </w:r>
          </w:p>
        </w:tc>
      </w:tr>
    </w:tbl>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338" w:name="Tc_ORErBngM6keq84qZ5pcNLQ_3_7"/>
      <w:bookmarkStart w:id="1339" w:name="Tc_DMhRCFXvj0iClO7l_CyV_g_3_4"/>
      <w:bookmarkStart w:id="1340" w:name="Tc_ze-vYnvaxEyciYXCeegHEQ_3_2"/>
      <w:bookmarkStart w:id="1341" w:name="Tc_L7OCMCTrPUWvzUQ9M0kgJA_3_0"/>
      <w:bookmarkStart w:id="1342" w:name="Tc_q4arUFK2TEq-0UXyg4lrKQ_2_7"/>
      <w:bookmarkStart w:id="1343" w:name="Tc_-r57kbyAnU6smk6kGYPyRQ_2_4"/>
      <w:bookmarkStart w:id="1344" w:name="Tc_crW9S-oEK0OcFAqpakAowQ_2_2"/>
      <w:bookmarkStart w:id="1345" w:name="Tc_XzBGV1i2REWn5HhE1chUHA_2_0"/>
      <w:bookmarkStart w:id="1346" w:name="Tc__58443LMiEOlVcUQF5XzSw_1_4"/>
      <w:bookmarkStart w:id="1347" w:name="Tc_jJ4IQd4I9k22D1hRgSM2bg_1_2"/>
      <w:bookmarkStart w:id="1348" w:name="_0b4c7fa2_cbf4_4da9_9493_0d05bcdb6387"/>
      <w:bookmarkStart w:id="1349" w:name="Tc_O2zT2RTKiEa9GwviOTJw6g_3_7"/>
      <w:bookmarkStart w:id="1350" w:name="Tc_8eIh6FGiLEyeKvf61uAASA_3_4"/>
      <w:bookmarkStart w:id="1351" w:name="Tc_wAn8OKh0vkCNkeXQEX_7AA_3_2"/>
      <w:bookmarkStart w:id="1352" w:name="Tc_rC4bHr2gm0i5TiYZ4GRaGg_3_0"/>
      <w:bookmarkStart w:id="1353" w:name="Tc_KL2qc70eyUuIsI8E-kjjsw_2_7"/>
      <w:bookmarkStart w:id="1354" w:name="Tc_kj27GupKVEagPhZ4dAxhLg_2_4"/>
      <w:bookmarkStart w:id="1355" w:name="Tc_tMNzDHumxkqgOehMT0dd1w_2_2"/>
      <w:bookmarkStart w:id="1356" w:name="Tc_SIvOKEAYF0KMhADbk6jq5A_2_0"/>
      <w:bookmarkStart w:id="1357" w:name="Tc_Rx0efoaEykWRumL_EZ0ckA_1_4"/>
      <w:bookmarkStart w:id="1358" w:name="Tc_cGFF7pumyE6YMwx1YqldWA_1_2"/>
      <w:bookmarkStart w:id="1359" w:name="_ee3892ce_d7b1_4bac_9437_aabe15723cf7"/>
      <w:bookmarkStart w:id="1360" w:name="Tc_RKPS2HFm2UifxRzOgqzzJA_6_0"/>
      <w:bookmarkStart w:id="1361" w:name="Tc_pju1j_FO_0CFbsC4usmfMw_5_0"/>
      <w:bookmarkStart w:id="1362" w:name="Tc___h6_4HbzkSBgRyskhZCjQ_4_0"/>
      <w:bookmarkStart w:id="1363" w:name="Tc_TGmZQf9cFU6UhZvNrXJWjQ_3_0"/>
      <w:bookmarkStart w:id="1364" w:name="Tc_xlCFIgckS06gzQ6tkuYkdw_2_2"/>
      <w:bookmarkStart w:id="1365" w:name="Tc_MgZnFx6RyEqTzknFHfVPRQ_2_0"/>
      <w:bookmarkStart w:id="1366" w:name="Tc_ysa6Zyzdc0-XrWFM_b_mrQ_1_2"/>
      <w:bookmarkStart w:id="1367" w:name="Tc_3dKySGuN8E6nPM5MnJPFXw_1_0"/>
      <w:bookmarkStart w:id="1368" w:name="_0eaff58f_7a51_47ce_843c_05667c7aada1"/>
      <w:bookmarkStart w:id="1369" w:name="Tc_Od2ae_K_NkqZ2y79nrE8EA_5_2"/>
      <w:bookmarkStart w:id="1370" w:name="Tc_-ebt2csHoUajB_Mt0dDiJQ_5_0"/>
      <w:bookmarkStart w:id="1371" w:name="Tc_baOgd1n5x0ylOKxlwyqGAg_4_2"/>
      <w:bookmarkStart w:id="1372" w:name="Tc_8J9MTsZpWUuG4ENuEkobSQ_4_0"/>
      <w:bookmarkStart w:id="1373" w:name="Tc_A7mfwLiEJkG6L0xa4HSr9A_3_7"/>
      <w:bookmarkStart w:id="1374" w:name="Tc_jFpIt8nz7U-VhHfR1v0n1w_3_4"/>
      <w:bookmarkStart w:id="1375" w:name="Tc_yzajHdsb2kuacif0XaU3Hg_3_2"/>
      <w:bookmarkStart w:id="1376" w:name="Tc_-ff9EhmVj0uiNxYo-QDYWQ_3_0"/>
      <w:bookmarkStart w:id="1377" w:name="Tc_6CUjcxWYVkGOTsP1Tv34oA_2_7"/>
      <w:bookmarkStart w:id="1378" w:name="Tc_nPy4_0Q1FkuxxIbRkW3O3w_2_4"/>
      <w:bookmarkStart w:id="1379" w:name="Tc_hqT0-lbNlUiJfvZEamAhLg_2_2"/>
      <w:bookmarkStart w:id="1380" w:name="Tc_Wcvf6kpiTUCjOSEnjYp6Mg_2_0"/>
      <w:bookmarkStart w:id="1381" w:name="Tc_JlpfzpKfwUOSPo4oftOU-Q_1_4"/>
      <w:bookmarkStart w:id="1382" w:name="Tc_DBWshvjKVkiDc6odrvRj-w_1_2"/>
      <w:bookmarkStart w:id="1383" w:name="_932bb6f3_f87b_47ca_b432_ab8bbc8609b9"/>
      <w:bookmarkStart w:id="1384" w:name="Tc_NHDPrONC3Um_rSEjSTE1dg_5_2"/>
      <w:bookmarkStart w:id="1385" w:name="Tc_Uq-cGaCQQkqxlUwO8uM3Mg_5_0"/>
      <w:bookmarkStart w:id="1386" w:name="Tc_bI0ob2rhGkyzCcvCGBsyGw_4_2"/>
      <w:bookmarkStart w:id="1387" w:name="Tc_EqWholkLhUKZ7lpwzFXBaA_4_0"/>
      <w:bookmarkStart w:id="1388" w:name="Tc_XClH-pv_zUqXKqsvqcXffQ_3_7"/>
      <w:bookmarkStart w:id="1389" w:name="Tc_z6LCUJnwfEWbhoDRLNEnMQ_3_4"/>
      <w:bookmarkStart w:id="1390" w:name="Tc_CTLp9vaV1EmPiJpYpVMUoQ_3_2"/>
      <w:bookmarkStart w:id="1391" w:name="Tc_EosslNxalkaVutsVrwe5gw_3_0"/>
      <w:bookmarkStart w:id="1392" w:name="Tc_B1rTm_eTjEqYr8pkpfHhVg_2_7"/>
      <w:bookmarkStart w:id="1393" w:name="Tc_XBHGGSsoh0ye3FLIVl2FxQ_2_4"/>
      <w:bookmarkStart w:id="1394" w:name="Tc_27SJ8t0i5kGhIgfKDTBigQ_2_2"/>
      <w:bookmarkStart w:id="1395" w:name="Tc_x483V_ZM7U6fU44ndWRR3Q_2_0"/>
      <w:bookmarkStart w:id="1396" w:name="Tc_BciqCtst2EKvy3iSIG_jWw_1_4"/>
      <w:bookmarkStart w:id="1397" w:name="Tc_o2I7f_RhMEWqppNECHBLsw_1_2"/>
      <w:bookmarkStart w:id="1398" w:name="_23f7eec0_9f6c_42c2_8afd_149c3da80e41"/>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r>
        <w:rPr>
          <w:rFonts w:ascii="Times New Roman;Times;serif" w:hAnsi="Times New Roman;Times;serif"/>
          <w:sz w:val="20"/>
        </w:rPr>
        <w:t xml:space="preserve">The amortization of real estate-related intangible assets had the following impact on the Company’s consolidated statements of operations for the three and six months ended June 30, 2026 and 2025 ($ in thousands): </w:t>
      </w:r>
    </w:p>
    <w:p>
      <w:pPr>
        <w:pStyle w:val="TextBody"/>
        <w:bidi w:val="0"/>
        <w:spacing w:before="0" w:after="0"/>
        <w:ind w:left="0" w:right="0" w:hanging="0"/>
        <w:jc w:val="left"/>
        <w:rPr/>
      </w:pPr>
      <w:r>
        <w:rPr/>
        <w:t>​</w:t>
      </w:r>
    </w:p>
    <w:tbl>
      <w:tblPr>
        <w:tblW w:w="10157" w:type="dxa"/>
        <w:jc w:val="left"/>
        <w:tblInd w:w="0" w:type="dxa"/>
        <w:tblLayout w:type="fixed"/>
        <w:tblCellMar>
          <w:top w:w="0" w:type="dxa"/>
          <w:left w:w="0" w:type="dxa"/>
          <w:bottom w:w="0" w:type="dxa"/>
          <w:right w:w="0" w:type="dxa"/>
        </w:tblCellMar>
      </w:tblPr>
      <w:tblGrid>
        <w:gridCol w:w="3946"/>
        <w:gridCol w:w="346"/>
        <w:gridCol w:w="2581"/>
        <w:gridCol w:w="346"/>
        <w:gridCol w:w="374"/>
        <w:gridCol w:w="748"/>
        <w:gridCol w:w="614"/>
        <w:gridCol w:w="374"/>
        <w:gridCol w:w="828"/>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505710" cy="175260"/>
                      <wp:effectExtent l="0" t="0" r="0" b="0"/>
                      <wp:wrapNone/>
                      <wp:docPr id="328" name="Frame328"/>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638935" cy="175260"/>
                      <wp:effectExtent l="0" t="0" r="0" b="0"/>
                      <wp:wrapNone/>
                      <wp:docPr id="330" name="Frame330"/>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31"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37490" cy="175260"/>
                      <wp:effectExtent l="0" t="0" r="0" b="0"/>
                      <wp:wrapNone/>
                      <wp:docPr id="332" name="Frame332"/>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74980" cy="175260"/>
                      <wp:effectExtent l="0" t="0" r="0" b="0"/>
                      <wp:wrapNone/>
                      <wp:docPr id="333" name="Frame333"/>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389890" cy="175260"/>
                      <wp:effectExtent l="0" t="0" r="0" b="0"/>
                      <wp:wrapNone/>
                      <wp:docPr id="334" name="Frame334"/>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37490" cy="175260"/>
                      <wp:effectExtent l="0" t="0" r="0" b="0"/>
                      <wp:wrapNone/>
                      <wp:docPr id="335" name="Frame335"/>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25780" cy="175260"/>
                      <wp:effectExtent l="0" t="0" r="0" b="0"/>
                      <wp:wrapNone/>
                      <wp:docPr id="336" name="Frame336"/>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46" w:type="dxa"/>
            <w:tcBorders/>
            <w:vAlign w:val="center"/>
          </w:tcPr>
          <w:p>
            <w:pPr>
              <w:pStyle w:val="TableContents"/>
              <w:bidi w:val="0"/>
              <w:spacing w:before="0" w:after="1"/>
              <w:ind w:left="0" w:right="0" w:hanging="0"/>
              <w:jc w:val="center"/>
              <w:rPr/>
            </w:pPr>
            <w:r>
              <w:rPr/>
              <w:t>​</w:t>
            </w:r>
          </w:p>
        </w:tc>
        <w:tc>
          <w:tcPr>
            <w:tcW w:w="29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r>
      <w:tr>
        <w:trPr/>
        <w:tc>
          <w:tcPr>
            <w:tcW w:w="39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Intangible asset</w:t>
            </w:r>
          </w:p>
        </w:tc>
        <w:tc>
          <w:tcPr>
            <w:tcW w:w="346" w:type="dxa"/>
            <w:tcBorders/>
            <w:vAlign w:val="center"/>
          </w:tcPr>
          <w:p>
            <w:pPr>
              <w:pStyle w:val="TableContents"/>
              <w:bidi w:val="0"/>
              <w:spacing w:before="0" w:after="1"/>
              <w:ind w:left="0" w:right="0" w:hanging="0"/>
              <w:jc w:val="center"/>
              <w:rPr/>
            </w:pPr>
            <w:r>
              <w:rPr/>
              <w:t>  ​ ​ ​</w:t>
            </w:r>
          </w:p>
        </w:tc>
        <w:tc>
          <w:tcPr>
            <w:tcW w:w="25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1"/>
              <w:ind w:left="0" w:right="0" w:hanging="0"/>
              <w:jc w:val="center"/>
              <w:rPr/>
            </w:pPr>
            <w:r>
              <w:rPr/>
              <w:t>  ​ ​ ​</w:t>
            </w:r>
          </w:p>
        </w:tc>
        <w:tc>
          <w:tcPr>
            <w:tcW w:w="11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14" w:type="dxa"/>
            <w:tcBorders/>
            <w:vAlign w:val="center"/>
          </w:tcPr>
          <w:p>
            <w:pPr>
              <w:pStyle w:val="TableContents"/>
              <w:bidi w:val="0"/>
              <w:spacing w:before="0" w:after="1"/>
              <w:ind w:left="0" w:right="0" w:hanging="0"/>
              <w:jc w:val="center"/>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Above-market lease assets (decrease to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5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w:t>
            </w:r>
          </w:p>
        </w:tc>
        <w:tc>
          <w:tcPr>
            <w:tcW w:w="614"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In-place lease assets (decrease to income)</w:t>
            </w:r>
          </w:p>
        </w:tc>
        <w:tc>
          <w:tcPr>
            <w:tcW w:w="346" w:type="dxa"/>
            <w:tcBorders/>
            <w:vAlign w:val="center"/>
          </w:tcPr>
          <w:p>
            <w:pPr>
              <w:pStyle w:val="TableContents"/>
              <w:bidi w:val="0"/>
              <w:spacing w:before="0" w:after="1"/>
              <w:ind w:left="0" w:right="0" w:hanging="0"/>
              <w:jc w:val="left"/>
              <w:rPr/>
            </w:pPr>
            <w:r>
              <w:rPr/>
              <w:t> </w:t>
            </w:r>
          </w:p>
        </w:tc>
        <w:tc>
          <w:tcPr>
            <w:tcW w:w="25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614"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 </w:t>
            </w:r>
          </w:p>
        </w:tc>
        <w:tc>
          <w:tcPr>
            <w:tcW w:w="8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intangible assets (decrease to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5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614"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 </w:t>
            </w:r>
          </w:p>
        </w:tc>
        <w:tc>
          <w:tcPr>
            <w:tcW w:w="828"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240"/>
        <w:ind w:left="0" w:right="0" w:firstLine="720"/>
        <w:jc w:val="both"/>
        <w:rPr/>
      </w:pPr>
      <w:r>
        <w:rPr/>
        <w:t>​</w:t>
      </w:r>
    </w:p>
    <w:tbl>
      <w:tblPr>
        <w:tblW w:w="9963" w:type="dxa"/>
        <w:jc w:val="left"/>
        <w:tblInd w:w="0" w:type="dxa"/>
        <w:tblLayout w:type="fixed"/>
        <w:tblCellMar>
          <w:top w:w="0" w:type="dxa"/>
          <w:left w:w="0" w:type="dxa"/>
          <w:bottom w:w="0" w:type="dxa"/>
          <w:right w:w="0" w:type="dxa"/>
        </w:tblCellMar>
      </w:tblPr>
      <w:tblGrid>
        <w:gridCol w:w="3946"/>
        <w:gridCol w:w="346"/>
        <w:gridCol w:w="2581"/>
        <w:gridCol w:w="346"/>
        <w:gridCol w:w="296"/>
        <w:gridCol w:w="802"/>
        <w:gridCol w:w="485"/>
        <w:gridCol w:w="296"/>
        <w:gridCol w:w="865"/>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505710" cy="175260"/>
                      <wp:effectExtent l="0" t="0" r="0" b="0"/>
                      <wp:wrapNone/>
                      <wp:docPr id="337" name="Frame337"/>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638935" cy="175260"/>
                      <wp:effectExtent l="0" t="0" r="0" b="0"/>
                      <wp:wrapNone/>
                      <wp:docPr id="339" name="Frame339"/>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40"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87960" cy="175260"/>
                      <wp:effectExtent l="0" t="0" r="0" b="0"/>
                      <wp:wrapNone/>
                      <wp:docPr id="341" name="Frame341"/>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09270" cy="175260"/>
                      <wp:effectExtent l="0" t="0" r="0" b="0"/>
                      <wp:wrapNone/>
                      <wp:docPr id="342" name="Frame342"/>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307975" cy="175260"/>
                      <wp:effectExtent l="0" t="0" r="0" b="0"/>
                      <wp:wrapNone/>
                      <wp:docPr id="343" name="Frame343"/>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87960" cy="175260"/>
                      <wp:effectExtent l="0" t="0" r="0" b="0"/>
                      <wp:wrapNone/>
                      <wp:docPr id="344" name="Frame344"/>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49275" cy="175260"/>
                      <wp:effectExtent l="0" t="0" r="0" b="0"/>
                      <wp:wrapNone/>
                      <wp:docPr id="345" name="Frame345"/>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46" w:type="dxa"/>
            <w:tcBorders/>
            <w:vAlign w:val="center"/>
          </w:tcPr>
          <w:p>
            <w:pPr>
              <w:pStyle w:val="TableContents"/>
              <w:bidi w:val="0"/>
              <w:spacing w:before="0" w:after="1"/>
              <w:ind w:left="0" w:right="0" w:hanging="0"/>
              <w:jc w:val="center"/>
              <w:rPr/>
            </w:pPr>
            <w:r>
              <w:rPr/>
              <w:t>​</w:t>
            </w:r>
          </w:p>
        </w:tc>
        <w:tc>
          <w:tcPr>
            <w:tcW w:w="27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39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Intangible asset</w:t>
            </w:r>
          </w:p>
        </w:tc>
        <w:tc>
          <w:tcPr>
            <w:tcW w:w="346" w:type="dxa"/>
            <w:tcBorders/>
            <w:vAlign w:val="center"/>
          </w:tcPr>
          <w:p>
            <w:pPr>
              <w:pStyle w:val="TableContents"/>
              <w:bidi w:val="0"/>
              <w:spacing w:before="0" w:after="1"/>
              <w:ind w:left="0" w:right="0" w:hanging="0"/>
              <w:jc w:val="center"/>
              <w:rPr/>
            </w:pPr>
            <w:r>
              <w:rPr/>
              <w:t>  ​ ​ ​</w:t>
            </w:r>
          </w:p>
        </w:tc>
        <w:tc>
          <w:tcPr>
            <w:tcW w:w="25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1"/>
              <w:ind w:left="0" w:right="0" w:hanging="0"/>
              <w:jc w:val="center"/>
              <w:rPr/>
            </w:pPr>
            <w:r>
              <w:rPr/>
              <w:t>  ​ ​ ​</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85" w:type="dxa"/>
            <w:tcBorders/>
            <w:vAlign w:val="center"/>
          </w:tcPr>
          <w:p>
            <w:pPr>
              <w:pStyle w:val="TableContents"/>
              <w:bidi w:val="0"/>
              <w:spacing w:before="0" w:after="1"/>
              <w:ind w:left="0" w:right="0" w:hanging="0"/>
              <w:jc w:val="center"/>
              <w:rPr/>
            </w:pPr>
            <w:r>
              <w:rPr/>
              <w:t>  ​ ​ ​</w:t>
            </w:r>
          </w:p>
        </w:tc>
        <w:tc>
          <w:tcPr>
            <w:tcW w:w="11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Above-market lease assets (decrease to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5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w:t>
            </w:r>
          </w:p>
        </w:tc>
        <w:tc>
          <w:tcPr>
            <w:tcW w:w="485"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In-place lease assets (decrease to income)</w:t>
            </w:r>
          </w:p>
        </w:tc>
        <w:tc>
          <w:tcPr>
            <w:tcW w:w="346" w:type="dxa"/>
            <w:tcBorders/>
            <w:vAlign w:val="center"/>
          </w:tcPr>
          <w:p>
            <w:pPr>
              <w:pStyle w:val="TableContents"/>
              <w:bidi w:val="0"/>
              <w:spacing w:before="0" w:after="1"/>
              <w:ind w:left="0" w:right="0" w:hanging="0"/>
              <w:jc w:val="left"/>
              <w:rPr/>
            </w:pPr>
            <w:r>
              <w:rPr/>
              <w:t> </w:t>
            </w:r>
          </w:p>
        </w:tc>
        <w:tc>
          <w:tcPr>
            <w:tcW w:w="25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w:t>
            </w:r>
          </w:p>
        </w:tc>
        <w:tc>
          <w:tcPr>
            <w:tcW w:w="485"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intangible assets (decrease to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5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85"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w:t>
            </w:r>
          </w:p>
        </w:tc>
      </w:tr>
    </w:tbl>
    <w:p>
      <w:pPr>
        <w:pStyle w:val="TextBody"/>
        <w:bidi w:val="0"/>
        <w:spacing w:before="0" w:after="240"/>
        <w:ind w:left="0" w:right="0" w:hanging="0"/>
        <w:jc w:val="both"/>
        <w:rPr/>
      </w:pPr>
      <w:r>
        <w:rPr/>
        <w: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The estimated amortization of real estate-related intangible assets for each of the five succeeding fiscal years is as follows ($ in thousands):</w:t>
      </w:r>
      <w:r>
        <w:rPr>
          <w:rFonts w:ascii="Times New Roman;Times;serif" w:hAnsi="Times New Roman;Times;serif"/>
          <w:sz w:val="15"/>
        </w:rPr>
        <w:t xml:space="preserve">(1) </w:t>
      </w:r>
    </w:p>
    <w:p>
      <w:pPr>
        <w:pStyle w:val="TextBody"/>
        <w:bidi w:val="0"/>
        <w:spacing w:before="0" w:after="0"/>
        <w:ind w:left="0" w:right="0" w:hanging="0"/>
        <w:jc w:val="left"/>
        <w:rPr/>
      </w:pPr>
      <w:r>
        <w:rPr/>
        <w:t>​</w:t>
      </w:r>
    </w:p>
    <w:tbl>
      <w:tblPr>
        <w:tblW w:w="3694" w:type="dxa"/>
        <w:jc w:val="left"/>
        <w:tblInd w:w="0" w:type="dxa"/>
        <w:tblLayout w:type="fixed"/>
        <w:tblCellMar>
          <w:top w:w="0" w:type="dxa"/>
          <w:left w:w="0" w:type="dxa"/>
          <w:bottom w:w="0" w:type="dxa"/>
          <w:right w:w="0" w:type="dxa"/>
        </w:tblCellMar>
      </w:tblPr>
      <w:tblGrid>
        <w:gridCol w:w="2461"/>
        <w:gridCol w:w="346"/>
        <w:gridCol w:w="211"/>
        <w:gridCol w:w="67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562735" cy="175260"/>
                      <wp:effectExtent l="0" t="0" r="0" b="0"/>
                      <wp:wrapNone/>
                      <wp:docPr id="346" name="Frame346"/>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47"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48"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29260" cy="175260"/>
                      <wp:effectExtent l="0" t="0" r="0" b="0"/>
                      <wp:wrapNone/>
                      <wp:docPr id="349" name="Frame3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1,769</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3,538</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3,530</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3,523</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3,523</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weighted average amortization period for the Company’s real estate-related intangible assets was approximately 81.3</w:t>
            </w:r>
            <w:r>
              <w:rPr>
                <w:caps w:val="false"/>
                <w:smallCaps w:val="false"/>
              </w:rPr>
              <w:t> </w:t>
            </w:r>
            <w:r>
              <w:rPr>
                <w:rFonts w:ascii="Times New Roman;Times;serif" w:hAnsi="Times New Roman;Times;serif"/>
                <w:b w:val="false"/>
                <w:i w:val="false"/>
                <w:caps w:val="false"/>
                <w:smallCaps w:val="false"/>
                <w:sz w:val="16"/>
              </w:rPr>
              <w:t>years.</w:t>
            </w:r>
          </w:p>
        </w:tc>
      </w:tr>
    </w:tbl>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amortization of real estate-related intangible liabilities had the following impact on the Company’s consolidated statements of operations for the three and six months ended June 30, 2026 and 2025 ($ in thousands): </w:t>
      </w:r>
    </w:p>
    <w:tbl>
      <w:tblPr>
        <w:tblW w:w="9857" w:type="dxa"/>
        <w:jc w:val="left"/>
        <w:tblInd w:w="0" w:type="dxa"/>
        <w:tblLayout w:type="fixed"/>
        <w:tblCellMar>
          <w:top w:w="0" w:type="dxa"/>
          <w:left w:w="0" w:type="dxa"/>
          <w:bottom w:w="0" w:type="dxa"/>
          <w:right w:w="0" w:type="dxa"/>
        </w:tblCellMar>
      </w:tblPr>
      <w:tblGrid>
        <w:gridCol w:w="4216"/>
        <w:gridCol w:w="346"/>
        <w:gridCol w:w="2011"/>
        <w:gridCol w:w="346"/>
        <w:gridCol w:w="361"/>
        <w:gridCol w:w="721"/>
        <w:gridCol w:w="593"/>
        <w:gridCol w:w="361"/>
        <w:gridCol w:w="902"/>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677160" cy="175260"/>
                      <wp:effectExtent l="0" t="0" r="0" b="0"/>
                      <wp:wrapNone/>
                      <wp:docPr id="350" name="Frame350"/>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276985" cy="175260"/>
                      <wp:effectExtent l="0" t="0" r="0" b="0"/>
                      <wp:wrapNone/>
                      <wp:docPr id="352" name="Frame352"/>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53"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29235" cy="175260"/>
                      <wp:effectExtent l="0" t="0" r="0" b="0"/>
                      <wp:wrapNone/>
                      <wp:docPr id="354" name="Frame3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57835" cy="175260"/>
                      <wp:effectExtent l="0" t="0" r="0" b="0"/>
                      <wp:wrapNone/>
                      <wp:docPr id="355" name="Frame35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376555" cy="175260"/>
                      <wp:effectExtent l="0" t="0" r="0" b="0"/>
                      <wp:wrapNone/>
                      <wp:docPr id="356" name="Frame356"/>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29235" cy="175260"/>
                      <wp:effectExtent l="0" t="0" r="0" b="0"/>
                      <wp:wrapNone/>
                      <wp:docPr id="357" name="Frame35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72770" cy="175260"/>
                      <wp:effectExtent l="0" t="0" r="0" b="0"/>
                      <wp:wrapNone/>
                      <wp:docPr id="358" name="Frame358"/>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46" w:type="dxa"/>
            <w:tcBorders/>
            <w:vAlign w:val="center"/>
          </w:tcPr>
          <w:p>
            <w:pPr>
              <w:pStyle w:val="TableContents"/>
              <w:bidi w:val="0"/>
              <w:spacing w:before="0" w:after="1"/>
              <w:ind w:left="0" w:right="0" w:hanging="0"/>
              <w:jc w:val="center"/>
              <w:rPr/>
            </w:pPr>
            <w:r>
              <w:rPr/>
              <w:t>  ​ ​ ​</w:t>
            </w:r>
          </w:p>
        </w:tc>
        <w:tc>
          <w:tcPr>
            <w:tcW w:w="29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r>
      <w:tr>
        <w:trPr/>
        <w:tc>
          <w:tcPr>
            <w:tcW w:w="42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Intangible liability</w:t>
            </w:r>
          </w:p>
        </w:tc>
        <w:tc>
          <w:tcPr>
            <w:tcW w:w="346" w:type="dxa"/>
            <w:tcBorders/>
            <w:vAlign w:val="center"/>
          </w:tcPr>
          <w:p>
            <w:pPr>
              <w:pStyle w:val="TableContents"/>
              <w:bidi w:val="0"/>
              <w:spacing w:before="0" w:after="1"/>
              <w:ind w:left="0" w:right="0" w:hanging="0"/>
              <w:jc w:val="center"/>
              <w:rPr/>
            </w:pPr>
            <w:r>
              <w:rPr/>
              <w:t>  ​ ​ ​</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1"/>
              <w:ind w:left="0" w:right="0" w:hanging="0"/>
              <w:jc w:val="center"/>
              <w:rPr/>
            </w:pPr>
            <w:r>
              <w:rPr/>
              <w:t>  ​ ​ ​</w:t>
            </w:r>
          </w:p>
        </w:tc>
        <w:tc>
          <w:tcPr>
            <w:tcW w:w="10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93" w:type="dxa"/>
            <w:tcBorders/>
            <w:vAlign w:val="center"/>
          </w:tcPr>
          <w:p>
            <w:pPr>
              <w:pStyle w:val="TableContents"/>
              <w:bidi w:val="0"/>
              <w:spacing w:before="0" w:after="1"/>
              <w:ind w:left="0" w:right="0" w:hanging="0"/>
              <w:jc w:val="center"/>
              <w:rPr/>
            </w:pPr>
            <w:r>
              <w:rPr/>
              <w:t>  ​ ​ ​</w:t>
            </w:r>
          </w:p>
        </w:tc>
        <w:tc>
          <w:tcPr>
            <w:tcW w:w="12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Below-market lease liabilities (increase to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0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593"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208</w:t>
            </w:r>
          </w:p>
        </w:tc>
      </w:tr>
    </w:tbl>
    <w:p>
      <w:pPr>
        <w:pStyle w:val="TextBody"/>
        <w:bidi w:val="0"/>
        <w:spacing w:before="0" w:after="240"/>
        <w:ind w:left="0" w:right="0" w:firstLine="720"/>
        <w:jc w:val="both"/>
        <w:rPr/>
      </w:pPr>
      <w:r>
        <w:rPr/>
        <w:t>​</w:t>
      </w:r>
    </w:p>
    <w:tbl>
      <w:tblPr>
        <w:tblW w:w="9663" w:type="dxa"/>
        <w:jc w:val="left"/>
        <w:tblInd w:w="0" w:type="dxa"/>
        <w:tblLayout w:type="fixed"/>
        <w:tblCellMar>
          <w:top w:w="0" w:type="dxa"/>
          <w:left w:w="0" w:type="dxa"/>
          <w:bottom w:w="0" w:type="dxa"/>
          <w:right w:w="0" w:type="dxa"/>
        </w:tblCellMar>
      </w:tblPr>
      <w:tblGrid>
        <w:gridCol w:w="4216"/>
        <w:gridCol w:w="346"/>
        <w:gridCol w:w="2011"/>
        <w:gridCol w:w="346"/>
        <w:gridCol w:w="337"/>
        <w:gridCol w:w="674"/>
        <w:gridCol w:w="554"/>
        <w:gridCol w:w="337"/>
        <w:gridCol w:w="842"/>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677160" cy="175260"/>
                      <wp:effectExtent l="0" t="0" r="0" b="0"/>
                      <wp:wrapNone/>
                      <wp:docPr id="359" name="Frame359"/>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276985" cy="175260"/>
                      <wp:effectExtent l="0" t="0" r="0" b="0"/>
                      <wp:wrapNone/>
                      <wp:docPr id="361" name="Frame361"/>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62"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3995" cy="175260"/>
                      <wp:effectExtent l="0" t="0" r="0" b="0"/>
                      <wp:wrapNone/>
                      <wp:docPr id="363" name="Frame363"/>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27990" cy="175260"/>
                      <wp:effectExtent l="0" t="0" r="0" b="0"/>
                      <wp:wrapNone/>
                      <wp:docPr id="364" name="Frame364"/>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51790" cy="175260"/>
                      <wp:effectExtent l="0" t="0" r="0" b="0"/>
                      <wp:wrapNone/>
                      <wp:docPr id="365" name="Frame365"/>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3995" cy="175260"/>
                      <wp:effectExtent l="0" t="0" r="0" b="0"/>
                      <wp:wrapNone/>
                      <wp:docPr id="366" name="Frame366"/>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34670" cy="175260"/>
                      <wp:effectExtent l="0" t="0" r="0" b="0"/>
                      <wp:wrapNone/>
                      <wp:docPr id="367" name="Frame367"/>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46" w:type="dxa"/>
            <w:tcBorders/>
            <w:vAlign w:val="center"/>
          </w:tcPr>
          <w:p>
            <w:pPr>
              <w:pStyle w:val="TableContents"/>
              <w:bidi w:val="0"/>
              <w:spacing w:before="0" w:after="1"/>
              <w:ind w:left="0" w:right="0" w:hanging="0"/>
              <w:jc w:val="center"/>
              <w:rPr/>
            </w:pPr>
            <w:r>
              <w:rPr/>
              <w:t>  ​ ​ ​</w:t>
            </w:r>
          </w:p>
        </w:tc>
        <w:tc>
          <w:tcPr>
            <w:tcW w:w="27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42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Intangible liability</w:t>
            </w:r>
          </w:p>
        </w:tc>
        <w:tc>
          <w:tcPr>
            <w:tcW w:w="346" w:type="dxa"/>
            <w:tcBorders/>
            <w:vAlign w:val="center"/>
          </w:tcPr>
          <w:p>
            <w:pPr>
              <w:pStyle w:val="TableContents"/>
              <w:bidi w:val="0"/>
              <w:spacing w:before="0" w:after="1"/>
              <w:ind w:left="0" w:right="0" w:hanging="0"/>
              <w:jc w:val="center"/>
              <w:rPr/>
            </w:pPr>
            <w:r>
              <w:rPr/>
              <w:t>  ​ ​ ​</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1"/>
              <w:ind w:left="0" w:right="0" w:hanging="0"/>
              <w:jc w:val="center"/>
              <w:rPr/>
            </w:pPr>
            <w:r>
              <w:rPr/>
              <w:t>  ​ ​ ​</w:t>
            </w:r>
          </w:p>
        </w:tc>
        <w:tc>
          <w:tcPr>
            <w:tcW w:w="10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54" w:type="dxa"/>
            <w:tcBorders/>
            <w:vAlign w:val="center"/>
          </w:tcPr>
          <w:p>
            <w:pPr>
              <w:pStyle w:val="TableContents"/>
              <w:bidi w:val="0"/>
              <w:spacing w:before="0" w:after="1"/>
              <w:ind w:left="0" w:right="0" w:hanging="0"/>
              <w:jc w:val="center"/>
              <w:rPr/>
            </w:pPr>
            <w:r>
              <w:rPr/>
              <w:t>  ​ ​ ​</w:t>
            </w:r>
          </w:p>
        </w:tc>
        <w:tc>
          <w:tcPr>
            <w:tcW w:w="11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Below-market lease liabilities (increase to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0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w:t>
            </w:r>
          </w:p>
        </w:tc>
        <w:tc>
          <w:tcPr>
            <w:tcW w:w="554"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416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bookmarkStart w:id="1399" w:name="Tc_Be5kosdihEqfAtemDa8OdQ_10_15"/>
      <w:bookmarkStart w:id="1400" w:name="Tc_3AFFqXiqxkyYj2atv5NOfA_10_0"/>
      <w:bookmarkStart w:id="1401" w:name="Tc_rcgzrEFzBUSofsefURD_EQ_9_15"/>
      <w:bookmarkStart w:id="1402" w:name="Tc_pMqNUS03_EKFl_ENV2ByRw_9_0"/>
      <w:bookmarkStart w:id="1403" w:name="Tc_5vPgLbuXHk2wJfCBsc80zQ_8_15"/>
      <w:bookmarkStart w:id="1404" w:name="Tc_5N9Fbcq1vEy3nM2AI2aQag_8_0"/>
      <w:bookmarkStart w:id="1405" w:name="Tc_Popu0Td-WEOwVnFt2CkciQ_7_0"/>
      <w:bookmarkStart w:id="1406" w:name="Tc_I0Rymr9yx0iOXI6jgF689w_6_0"/>
      <w:bookmarkStart w:id="1407" w:name="Tc_JqrmZ492x0qUWP4g5nWQNQ_5_17"/>
      <w:bookmarkStart w:id="1408" w:name="Tc_EfgoA8LU3kaWYlCv05HiyQ_5_14"/>
      <w:bookmarkStart w:id="1409" w:name="Tc_v_DREHoYSk26sBOHVgm2Tw_5_11"/>
      <w:bookmarkStart w:id="1410" w:name="Tc_AB7U0vEFtEmYEt915znuBw_5_8"/>
      <w:bookmarkStart w:id="1411" w:name="Tc_Go3ZR503QE26md7xz0lzEw_5_5"/>
      <w:bookmarkStart w:id="1412" w:name="Tc_VpGfbJ7pM0qYqCSMd_CXKA_5_2"/>
      <w:bookmarkStart w:id="1413" w:name="Tc_i4vSGvwwIUKRzYHd8CzXvA_5_0"/>
      <w:bookmarkStart w:id="1414" w:name="Tc_KIhKqQkbY0yqiyaZA5ws4A_4_17"/>
      <w:bookmarkStart w:id="1415" w:name="Tc_ZpCeJm7AkEifjbnnlrXltQ_4_14"/>
      <w:bookmarkStart w:id="1416" w:name="Tc_j6YXzEEXSUG0czQ1GFDtWA_4_11"/>
      <w:bookmarkStart w:id="1417" w:name="Tc_HQ4IEiNecUmnpiI6UXME1Q_4_8"/>
      <w:bookmarkStart w:id="1418" w:name="Tc_M8Cy5ZRunUWfvDIGKgSLxA_4_5"/>
      <w:bookmarkStart w:id="1419" w:name="Tc_FhiIH9JlpUmQWG-vFuXgow_4_2"/>
      <w:bookmarkStart w:id="1420" w:name="Tc_AvRBkS50ekav4tvaHD1mUQ_4_0"/>
      <w:bookmarkStart w:id="1421" w:name="Tc_tMm71Q-yiUql6Tz-MvgVmQ_3_14"/>
      <w:bookmarkStart w:id="1422" w:name="Tc_-Cu13IC7J0-YkWmXRqJobQ_3_11"/>
      <w:bookmarkStart w:id="1423" w:name="Tc_t8CpyvKXH0iIhJG9qWcgBQ_3_8"/>
      <w:bookmarkStart w:id="1424" w:name="Tc_EVOQKtWVp0-_sSP6JKuOdQ_3_5"/>
      <w:bookmarkStart w:id="1425" w:name="Tc_2Obb4aNG8EC4GV3gevYnGg_3_2"/>
      <w:bookmarkStart w:id="1426" w:name="Tc_dd7_LV4R3k6sQSPOCdvddw_2_14"/>
      <w:bookmarkStart w:id="1427" w:name="Tc_CIJl_AdAPUaB8IUb4cJzoA_2_5"/>
      <w:bookmarkStart w:id="1428" w:name="Tc_piHN2JOXS0GHBWI8-OWvFQ_1_14"/>
      <w:bookmarkStart w:id="1429" w:name="Tc_xAb55ZMMg0CxrWlp9OvXQw_1_5"/>
      <w:bookmarkStart w:id="1430" w:name="_3b10acdf_397e_45bb_b62b_99b70c340e3b"/>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r>
        <w:rPr>
          <w:rFonts w:ascii="Times New Roman;Times;serif" w:hAnsi="Times New Roman;Times;serif"/>
          <w:i/>
          <w:sz w:val="20"/>
        </w:rPr>
        <w:t>Future Minimum Operating Lease Payments</w:t>
      </w:r>
      <w:r>
        <w:rPr>
          <w:rFonts w:ascii="Times New Roman;Times;serif" w:hAnsi="Times New Roman;Times;serif"/>
          <w:sz w:val="20"/>
        </w:rPr>
        <w:t xml:space="preserve">—Future minimum lease payments to be collected under non-cancelable operating leases, excluding lease payments that are not fixed and determinable, in effect as of June 30, 2026, are as follows by year ($ in thousands): </w:t>
      </w:r>
    </w:p>
    <w:tbl>
      <w:tblPr>
        <w:tblW w:w="10205" w:type="dxa"/>
        <w:jc w:val="left"/>
        <w:tblInd w:w="0" w:type="dxa"/>
        <w:tblLayout w:type="fixed"/>
        <w:tblCellMar>
          <w:top w:w="0" w:type="dxa"/>
          <w:left w:w="0" w:type="dxa"/>
          <w:bottom w:w="0" w:type="dxa"/>
          <w:right w:w="0" w:type="dxa"/>
        </w:tblCellMar>
      </w:tblPr>
      <w:tblGrid>
        <w:gridCol w:w="1794"/>
        <w:gridCol w:w="346"/>
        <w:gridCol w:w="211"/>
        <w:gridCol w:w="781"/>
        <w:gridCol w:w="346"/>
        <w:gridCol w:w="211"/>
        <w:gridCol w:w="931"/>
        <w:gridCol w:w="346"/>
        <w:gridCol w:w="211"/>
        <w:gridCol w:w="781"/>
        <w:gridCol w:w="346"/>
        <w:gridCol w:w="228"/>
        <w:gridCol w:w="733"/>
        <w:gridCol w:w="346"/>
        <w:gridCol w:w="330"/>
        <w:gridCol w:w="661"/>
        <w:gridCol w:w="346"/>
        <w:gridCol w:w="211"/>
        <w:gridCol w:w="1046"/>
      </w:tblGrid>
      <w:tr>
        <w:trPr/>
        <w:tc>
          <w:tcPr>
            <w:tcW w:w="1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139190" cy="175260"/>
                      <wp:effectExtent l="0" t="0" r="0" b="0"/>
                      <wp:wrapNone/>
                      <wp:docPr id="368" name="Frame368"/>
                      <a:graphic xmlns:a="http://schemas.openxmlformats.org/drawingml/2006/main">
                        <a:graphicData uri="http://schemas.microsoft.com/office/word/2010/wordprocessingShape">
                          <wps:wsp>
                            <wps:cNvSpPr txBox="1"/>
                            <wps:spPr>
                              <a:xfrm>
                                <a:off x="0" y="0"/>
                                <a:ext cx="1139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95935" cy="175260"/>
                      <wp:effectExtent l="0" t="0" r="0" b="0"/>
                      <wp:wrapNone/>
                      <wp:docPr id="371" name="Frame3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91185" cy="175260"/>
                      <wp:effectExtent l="0" t="0" r="0" b="0"/>
                      <wp:wrapNone/>
                      <wp:docPr id="374" name="Frame37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76"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95935" cy="175260"/>
                      <wp:effectExtent l="0" t="0" r="0" b="0"/>
                      <wp:wrapNone/>
                      <wp:docPr id="377" name="Frame3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78"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44780" cy="175260"/>
                      <wp:effectExtent l="0" t="0" r="0" b="0"/>
                      <wp:wrapNone/>
                      <wp:docPr id="379" name="Frame37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65455" cy="175260"/>
                      <wp:effectExtent l="0" t="0" r="0" b="0"/>
                      <wp:wrapNone/>
                      <wp:docPr id="380" name="Frame380"/>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81"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9550" cy="175260"/>
                      <wp:effectExtent l="0" t="0" r="0" b="0"/>
                      <wp:wrapNone/>
                      <wp:docPr id="382" name="Frame382"/>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19735" cy="175260"/>
                      <wp:effectExtent l="0" t="0" r="0" b="0"/>
                      <wp:wrapNone/>
                      <wp:docPr id="383" name="Frame383"/>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84" name="Frame3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85"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64210" cy="175260"/>
                      <wp:effectExtent l="0" t="0" r="0" b="0"/>
                      <wp:wrapNone/>
                      <wp:docPr id="386" name="Frame386"/>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9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Bumps </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28" w:type="dxa"/>
            <w:tcBorders/>
            <w:vAlign w:val="center"/>
          </w:tcPr>
          <w:p>
            <w:pPr>
              <w:pStyle w:val="TableContents"/>
              <w:bidi w:val="0"/>
              <w:spacing w:before="0" w:after="1"/>
              <w:ind w:left="0" w:right="0" w:hanging="0"/>
              <w:jc w:val="center"/>
              <w:rPr/>
            </w:pPr>
            <w:r>
              <w:rPr/>
              <w:t>​</w:t>
            </w:r>
          </w:p>
        </w:tc>
        <w:tc>
          <w:tcPr>
            <w:tcW w:w="73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1046" w:type="dxa"/>
            <w:tcBorders/>
            <w:vAlign w:val="center"/>
          </w:tcPr>
          <w:p>
            <w:pPr>
              <w:pStyle w:val="TableContents"/>
              <w:bidi w:val="0"/>
              <w:spacing w:before="0" w:after="1"/>
              <w:ind w:left="0" w:right="0" w:hanging="0"/>
              <w:jc w:val="center"/>
              <w:rPr/>
            </w:pPr>
            <w:r>
              <w:rPr/>
              <w:t>​</w:t>
            </w:r>
          </w:p>
        </w:tc>
      </w:tr>
      <w:tr>
        <w:trPr/>
        <w:tc>
          <w:tcPr>
            <w:tcW w:w="17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8" w:type="dxa"/>
            <w:tcBorders/>
            <w:vAlign w:val="center"/>
          </w:tcPr>
          <w:p>
            <w:pPr>
              <w:pStyle w:val="TableContents"/>
              <w:bidi w:val="0"/>
              <w:spacing w:before="0" w:after="1"/>
              <w:ind w:left="0" w:right="0" w:hanging="0"/>
              <w:jc w:val="center"/>
              <w:rPr/>
            </w:pPr>
            <w:r>
              <w:rPr/>
              <w:t>​</w:t>
            </w:r>
          </w:p>
        </w:tc>
        <w:tc>
          <w:tcPr>
            <w:tcW w:w="73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Bumps with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46" w:type="dxa"/>
            <w:tcBorders/>
            <w:vAlign w:val="center"/>
          </w:tcPr>
          <w:p>
            <w:pPr>
              <w:pStyle w:val="TableContents"/>
              <w:bidi w:val="0"/>
              <w:spacing w:before="0" w:after="1"/>
              <w:ind w:left="0" w:right="0" w:hanging="0"/>
              <w:jc w:val="center"/>
              <w:rPr/>
            </w:pPr>
            <w:r>
              <w:rPr/>
              <w:t>​</w:t>
            </w:r>
          </w:p>
        </w:tc>
      </w:tr>
      <w:tr>
        <w:trPr/>
        <w:tc>
          <w:tcPr>
            <w:tcW w:w="17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Inflation-</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Inflation </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w:t>
            </w:r>
          </w:p>
        </w:tc>
        <w:tc>
          <w:tcPr>
            <w:tcW w:w="34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46" w:type="dxa"/>
            <w:tcBorders/>
            <w:vAlign w:val="center"/>
          </w:tcPr>
          <w:p>
            <w:pPr>
              <w:pStyle w:val="TableContents"/>
              <w:bidi w:val="0"/>
              <w:spacing w:before="0" w:after="1"/>
              <w:ind w:left="0" w:right="0" w:hanging="0"/>
              <w:jc w:val="center"/>
              <w:rPr/>
            </w:pPr>
            <w:r>
              <w:rPr/>
              <w:t>​</w:t>
            </w:r>
          </w:p>
        </w:tc>
      </w:tr>
      <w:tr>
        <w:trPr/>
        <w:tc>
          <w:tcPr>
            <w:tcW w:w="179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Linked</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Bumps</w:t>
            </w:r>
          </w:p>
        </w:tc>
        <w:tc>
          <w:tcPr>
            <w:tcW w:w="346" w:type="dxa"/>
            <w:tcBorders/>
            <w:vAlign w:val="center"/>
          </w:tcPr>
          <w:p>
            <w:pPr>
              <w:pStyle w:val="TableContents"/>
              <w:bidi w:val="0"/>
              <w:spacing w:before="0" w:after="1"/>
              <w:ind w:left="0" w:right="0" w:hanging="0"/>
              <w:jc w:val="center"/>
              <w:rPr/>
            </w:pPr>
            <w:r>
              <w:rPr/>
              <w:t>  ​ ​ ​</w:t>
            </w:r>
          </w:p>
        </w:tc>
        <w:tc>
          <w:tcPr>
            <w:tcW w:w="961"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Rent</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Rent </w:t>
            </w:r>
          </w:p>
        </w:tc>
        <w:tc>
          <w:tcPr>
            <w:tcW w:w="346" w:type="dxa"/>
            <w:tcBorders/>
            <w:vAlign w:val="center"/>
          </w:tcPr>
          <w:p>
            <w:pPr>
              <w:pStyle w:val="TableContents"/>
              <w:bidi w:val="0"/>
              <w:spacing w:before="0" w:after="1"/>
              <w:ind w:left="0" w:right="0" w:hanging="0"/>
              <w:jc w:val="center"/>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1,183</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2,903</w:t>
            </w:r>
          </w:p>
        </w:tc>
        <w:tc>
          <w:tcPr>
            <w:tcW w:w="34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17,506</w:t>
            </w:r>
          </w:p>
        </w:tc>
      </w:tr>
      <w:tr>
        <w:trPr/>
        <w:tc>
          <w:tcPr>
            <w:tcW w:w="17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2,388</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4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35,321</w:t>
            </w:r>
          </w:p>
        </w:tc>
      </w:tr>
      <w:tr>
        <w:trPr/>
        <w:tc>
          <w:tcPr>
            <w:tcW w:w="17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4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35,585</w:t>
            </w:r>
          </w:p>
        </w:tc>
      </w:tr>
      <w:tr>
        <w:trPr/>
        <w:tc>
          <w:tcPr>
            <w:tcW w:w="17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2,453</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4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35,667</w:t>
            </w:r>
          </w:p>
        </w:tc>
      </w:tr>
      <w:tr>
        <w:trPr/>
        <w:tc>
          <w:tcPr>
            <w:tcW w:w="17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5,807</w:t>
            </w:r>
          </w:p>
        </w:tc>
        <w:tc>
          <w:tcPr>
            <w:tcW w:w="346" w:type="dxa"/>
            <w:tcBorders/>
            <w:shd w:fill="CCEEFF" w:val="clear"/>
            <w:vAlign w:val="center"/>
          </w:tcPr>
          <w:p>
            <w:pPr>
              <w:pStyle w:val="TableContents"/>
              <w:bidi w:val="0"/>
              <w:spacing w:before="0" w:after="1"/>
              <w:ind w:left="0" w:right="0" w:hanging="0"/>
              <w:jc w:val="left"/>
              <w:rPr/>
            </w:pPr>
            <w:r>
              <w:rPr/>
              <w:t>​</w:t>
            </w:r>
          </w:p>
        </w:tc>
        <w:tc>
          <w:tcPr>
            <w:tcW w:w="330"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36,065</w:t>
            </w:r>
          </w:p>
        </w:tc>
      </w:tr>
      <w:tr>
        <w:trPr/>
        <w:tc>
          <w:tcPr>
            <w:tcW w:w="17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442,143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4,270,824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425,745</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13,643</w:t>
            </w:r>
          </w:p>
        </w:tc>
        <w:tc>
          <w:tcPr>
            <w:tcW w:w="346" w:type="dxa"/>
            <w:tcBorders/>
            <w:vAlign w:val="center"/>
          </w:tcPr>
          <w:p>
            <w:pPr>
              <w:pStyle w:val="TableContents"/>
              <w:bidi w:val="0"/>
              <w:spacing w:before="0" w:after="1"/>
              <w:ind w:left="0" w:right="0" w:hanging="0"/>
              <w:jc w:val="left"/>
              <w:rPr/>
            </w:pPr>
            <w:r>
              <w:rPr/>
              <w:t>​</w:t>
            </w:r>
          </w:p>
        </w:tc>
        <w:tc>
          <w:tcPr>
            <w:tcW w:w="330"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5,152,355</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During the three months ended June 30, 2026 and 2025, the Company recognized $21</w:t>
            </w:r>
            <w:r>
              <w:rPr>
                <w:caps w:val="false"/>
                <w:smallCaps w:val="false"/>
              </w:rPr>
              <w:t> </w:t>
            </w:r>
            <w:r>
              <w:rPr>
                <w:rFonts w:ascii="Times New Roman;Times;serif" w:hAnsi="Times New Roman;Times;serif"/>
                <w:b w:val="false"/>
                <w:i w:val="false"/>
                <w:caps w:val="false"/>
                <w:smallCaps w:val="false"/>
                <w:sz w:val="16"/>
              </w:rPr>
              <w:t>thousand and $0.2</w:t>
            </w:r>
            <w:r>
              <w:rPr>
                <w:caps w:val="false"/>
                <w:smallCaps w:val="false"/>
              </w:rPr>
              <w:t xml:space="preserve"> </w:t>
            </w:r>
            <w:r>
              <w:rPr>
                <w:rFonts w:ascii="Times New Roman;Times;serif" w:hAnsi="Times New Roman;Times;serif"/>
                <w:b w:val="false"/>
                <w:i w:val="false"/>
                <w:caps w:val="false"/>
                <w:smallCaps w:val="false"/>
                <w:sz w:val="16"/>
              </w:rPr>
              <w:t>million, respectively, of percentage rent in “Operating lease income” in the Company’s consolidated statements of operations. During the six months ended June 30, 2026 and 2025, the Company recognized $4.5</w:t>
            </w:r>
            <w:r>
              <w:rPr>
                <w:caps w:val="false"/>
                <w:smallCaps w:val="false"/>
              </w:rPr>
              <w:t> </w:t>
            </w:r>
            <w:r>
              <w:rPr>
                <w:rFonts w:ascii="Times New Roman;Times;serif" w:hAnsi="Times New Roman;Times;serif"/>
                <w:b w:val="false"/>
                <w:i w:val="false"/>
                <w:caps w:val="false"/>
                <w:smallCaps w:val="false"/>
                <w:sz w:val="16"/>
              </w:rPr>
              <w:t>million and $5.2</w:t>
            </w:r>
            <w:r>
              <w:rPr>
                <w:caps w:val="false"/>
                <w:smallCaps w:val="false"/>
              </w:rPr>
              <w:t xml:space="preserve"> </w:t>
            </w:r>
            <w:r>
              <w:rPr>
                <w:rFonts w:ascii="Times New Roman;Times;serif" w:hAnsi="Times New Roman;Times;serif"/>
                <w:b w:val="false"/>
                <w:i w:val="false"/>
                <w:caps w:val="false"/>
                <w:smallCaps w:val="false"/>
                <w:sz w:val="16"/>
              </w:rPr>
              <w:t>million, respectively, of percentage rent in “Operating lease income” in the Company’s consolidated statements of operations. The tenant under the Park Hotels master lease elected to extend the leases underlying three</w:t>
            </w:r>
            <w:r>
              <w:rPr>
                <w:caps w:val="false"/>
                <w:smallCaps w:val="false"/>
              </w:rPr>
              <w:t xml:space="preserve"> </w:t>
            </w:r>
            <w:r>
              <w:rPr>
                <w:rFonts w:ascii="Times New Roman;Times;serif" w:hAnsi="Times New Roman;Times;serif"/>
                <w:b w:val="false"/>
                <w:i w:val="false"/>
                <w:caps w:val="false"/>
                <w:smallCaps w:val="false"/>
                <w:sz w:val="16"/>
              </w:rPr>
              <w:t>of the five</w:t>
            </w:r>
            <w:r>
              <w:rPr>
                <w:caps w:val="false"/>
                <w:smallCaps w:val="false"/>
              </w:rPr>
              <w:t xml:space="preserve"> </w:t>
            </w:r>
            <w:r>
              <w:rPr>
                <w:rFonts w:ascii="Times New Roman;Times;serif" w:hAnsi="Times New Roman;Times;serif"/>
                <w:b w:val="false"/>
                <w:i w:val="false"/>
                <w:caps w:val="false"/>
                <w:smallCaps w:val="false"/>
                <w:sz w:val="16"/>
              </w:rPr>
              <w:t>hotels originally covered by the master lease past the initial lease maturity of December 2025. On October 22, 2025, the Company sent the tenant under the Park Hotels master lease a termination notice for all five</w:t>
            </w:r>
            <w:r>
              <w:rPr>
                <w:caps w:val="false"/>
                <w:smallCaps w:val="false"/>
              </w:rPr>
              <w:t xml:space="preserve"> </w:t>
            </w:r>
            <w:r>
              <w:rPr>
                <w:rFonts w:ascii="Times New Roman;Times;serif" w:hAnsi="Times New Roman;Times;serif"/>
                <w:b w:val="false"/>
                <w:i w:val="false"/>
                <w:caps w:val="false"/>
                <w:smallCaps w:val="false"/>
                <w:sz w:val="16"/>
              </w:rPr>
              <w:t>hotels and commenced litigation against its tenant and Park Intermediate Holdings LLC, guarantor under the master lease, for certain breaches, among other things, related to the maintenance and operations of the hotels. There are no assurances that the Company will be able to terminate the master lease or prevail in its litigation. The Company became responsible for operating the two</w:t>
            </w:r>
            <w:r>
              <w:rPr>
                <w:caps w:val="false"/>
                <w:smallCaps w:val="false"/>
              </w:rPr>
              <w:t xml:space="preserve"> </w:t>
            </w:r>
            <w:r>
              <w:rPr>
                <w:rFonts w:ascii="Times New Roman;Times;serif" w:hAnsi="Times New Roman;Times;serif"/>
                <w:b w:val="false"/>
                <w:i w:val="false"/>
                <w:caps w:val="false"/>
                <w:smallCaps w:val="false"/>
                <w:sz w:val="16"/>
              </w:rPr>
              <w:t>hotel properties that reverted to it on January 1, 2026.</w:t>
            </w:r>
          </w:p>
        </w:tc>
      </w:tr>
    </w:tbl>
    <w:p>
      <w:pPr>
        <w:pStyle w:val="TextBody"/>
        <w:bidi w:val="0"/>
        <w:spacing w:before="0" w:after="120"/>
        <w:ind w:left="360" w:right="0" w:hanging="0"/>
        <w:jc w:val="both"/>
        <w:rPr/>
      </w:pPr>
      <w:r>
        <w:rPr/>
        <w:t>​</w:t>
      </w:r>
    </w:p>
    <w:p>
      <w:pPr>
        <w:pStyle w:val="TextBody"/>
        <w:pBdr/>
        <w:bidi w:val="0"/>
        <w:spacing w:before="0" w:after="120"/>
        <w:ind w:left="0" w:right="0" w:hanging="360"/>
        <w:jc w:val="both"/>
        <w:rPr>
          <w:rFonts w:ascii="Times New Roman;Times;serif" w:hAnsi="Times New Roman;Times;serif"/>
          <w:sz w:val="20"/>
        </w:rPr>
      </w:pPr>
      <w:r>
        <w:rPr>
          <w:rFonts w:ascii="Times New Roman;Times;serif" w:hAnsi="Times New Roman;Times;serif"/>
          <w:b/>
          <w:sz w:val="20"/>
        </w:rPr>
        <w:t>Note 6</w:t>
      </w:r>
      <w:r>
        <w:rPr>
          <w:rFonts w:ascii="Times New Roman;Times;serif" w:hAnsi="Times New Roman;Times;serif"/>
          <w:sz w:val="20"/>
        </w:rPr>
        <w:t>—</w:t>
      </w:r>
      <w:r>
        <w:rPr>
          <w:rFonts w:ascii="Times New Roman;Times;serif" w:hAnsi="Times New Roman;Times;serif"/>
          <w:b/>
          <w:sz w:val="20"/>
        </w:rPr>
        <w:t>Loans Receivable, net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second quarter of 2025, the Company began originating leasehold loans in conjunction with certain of its Ground Leases. These leasehold loans allow the Company’s Ground Lease tenants to receive their full capital structure needs from one source. As of June 30, 2026, the Company had five senior mortgages with an aggregate outstanding principal balance of $65.0 million and an aggregate carrying value of $65.0 million. </w:t>
      </w:r>
      <w:r>
        <w:rPr>
          <w:rFonts w:ascii="Times New Roman;Times;serif" w:hAnsi="Times New Roman;Times;serif"/>
          <w:sz w:val="20"/>
          <w:shd w:fill="FFFFFF" w:val="clear"/>
        </w:rPr>
        <w:t>As of December 31, 2025, the Company had </w:t>
      </w:r>
      <w:r>
        <w:rPr>
          <w:rFonts w:ascii="Times New Roman;Times;serif" w:hAnsi="Times New Roman;Times;serif"/>
          <w:sz w:val="20"/>
        </w:rPr>
        <w:t>four</w:t>
      </w:r>
      <w:r>
        <w:rPr>
          <w:rFonts w:ascii="Times New Roman;Times;serif" w:hAnsi="Times New Roman;Times;serif"/>
          <w:sz w:val="20"/>
          <w:shd w:fill="FFFFFF" w:val="clear"/>
        </w:rPr>
        <w:t> senior mortgages with an aggregate outstanding principal balance of $</w:t>
      </w:r>
      <w:r>
        <w:rPr>
          <w:rFonts w:ascii="Times New Roman;Times;serif" w:hAnsi="Times New Roman;Times;serif"/>
          <w:sz w:val="20"/>
        </w:rPr>
        <w:t>46.0</w:t>
      </w:r>
      <w:r>
        <w:rPr>
          <w:rFonts w:ascii="Times New Roman;Times;serif" w:hAnsi="Times New Roman;Times;serif"/>
          <w:sz w:val="20"/>
          <w:shd w:fill="FFFFFF" w:val="clear"/>
        </w:rPr>
        <w:t> million and an aggregate carrying value of $</w:t>
      </w:r>
      <w:r>
        <w:rPr>
          <w:rFonts w:ascii="Times New Roman;Times;serif" w:hAnsi="Times New Roman;Times;serif"/>
          <w:sz w:val="20"/>
        </w:rPr>
        <w:t>46.1</w:t>
      </w:r>
      <w:r>
        <w:rPr>
          <w:rFonts w:ascii="Times New Roman;Times;serif" w:hAnsi="Times New Roman;Times;serif"/>
          <w:sz w:val="20"/>
          <w:shd w:fill="FFFFFF" w:val="clear"/>
        </w:rPr>
        <w:t xml:space="preserve"> million. </w:t>
      </w:r>
      <w:r>
        <w:rPr>
          <w:rFonts w:ascii="Times New Roman;Times;serif" w:hAnsi="Times New Roman;Times;serif"/>
          <w:sz w:val="20"/>
        </w:rPr>
        <w:t xml:space="preserve">The Company’s five leasehold loans have initial maturities that range from May 2028 to December 2029, excluding all extension options that can be exercised by the borrower subject to certain conditions, and accrue interest at a weighted average rate of 5.98%, assuming a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rate of 3.65% as of June 30, 2026 for the Company’s four floating rate loans.</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i/>
          <w:sz w:val="20"/>
        </w:rPr>
        <w:t>Credit Characteristics—</w:t>
      </w:r>
      <w:r>
        <w:rPr>
          <w:rFonts w:ascii="Times New Roman;Times;serif" w:hAnsi="Times New Roman;Times;serif"/>
          <w:sz w:val="20"/>
        </w:rPr>
        <w:t>As part of the Company’s process for monitoring the credit quality of its leasehold loans, it performs a quarterly loan portfolio assessment and assigns risk ratings to each of its performing loans. Risk ratings, which range from 1 (lower risk) to 5 (higher risk), are based on judgments which are inherently uncertain, and there can be no assurance that actual performance will be similar to current expectations. The Company designates loans as non-performing at such time as: (1) interest payments become 90 days delinquent; (2) the loan has a maturity default; or (3) management determines it is probable that we will be unable to collect all amounts due according to the contractual terms of the loan. All non-performing loans, if any, are placed on non-accrual status and income is only recognized in certain cases upon actual cash receipt. As of June 30, 2026 and December 31, 2025, all of the Company’s leasehold loans were current in their payment status and had a risk rating of 3.</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i/>
          <w:sz w:val="20"/>
        </w:rPr>
        <w:t>Allowance for Credit Losses</w:t>
      </w:r>
      <w:r>
        <w:rPr>
          <w:rFonts w:ascii="Times New Roman;Times;serif" w:hAnsi="Times New Roman;Times;serif"/>
          <w:sz w:val="20"/>
        </w:rPr>
        <w:t xml:space="preserve">—As of June 30, 2026 and December 31, 2025, the Company’s allowance for credit losses on its loans receivable was $0.5 million and $0.3 million, respectively, and the Company’s allowance for credit losses on its unfunded commitments was $1.0 million and $1.1 million, respectively. Allowances on unfunded commitments are recorded in “Accounts payable and accrued expenses” on the Company’s consolidated balance sheets. During the three and six months ended June 30, 2026, the Company recorded a (recovery of) provision for credit losses of ($0.1) million and $0.1 million (including allowances on unfunded commitments), respectively, on its leasehold loans. The provision for credit </w:t>
      </w:r>
      <w:r>
        <w:rPr>
          <w:rFonts w:ascii="Times New Roman;Times;serif" w:hAnsi="Times New Roman;Times;serif"/>
          <w:sz w:val="20"/>
          <w:shd w:fill="FFFFFF" w:val="clear"/>
        </w:rPr>
        <w:t>losses during the three and six months ended June 30, 2026 was due primarily to a change in macroeconomic forecasts and the origination of a new loan during the six months ended June 30, 2026. During the three and six months ended June 30, 2025, the Company recorded a provision for credit losses (refer to Note 3) of $</w:t>
      </w:r>
      <w:r>
        <w:rPr>
          <w:rFonts w:ascii="Times New Roman;Times;serif" w:hAnsi="Times New Roman;Times;serif"/>
          <w:sz w:val="20"/>
        </w:rPr>
        <w:t>1.3</w:t>
      </w:r>
      <w:r>
        <w:rPr>
          <w:rFonts w:ascii="Times New Roman;Times;serif" w:hAnsi="Times New Roman;Times;serif"/>
          <w:sz w:val="20"/>
          <w:shd w:fill="FFFFFF" w:val="clear"/>
        </w:rPr>
        <w:t> million, including $</w:t>
      </w:r>
      <w:r>
        <w:rPr>
          <w:rFonts w:ascii="Times New Roman;Times;serif" w:hAnsi="Times New Roman;Times;serif"/>
          <w:sz w:val="20"/>
        </w:rPr>
        <w:t>1.0</w:t>
      </w:r>
      <w:r>
        <w:rPr>
          <w:rFonts w:ascii="Times New Roman;Times;serif" w:hAnsi="Times New Roman;Times;serif"/>
          <w:sz w:val="20"/>
          <w:shd w:fill="FFFFFF" w:val="clear"/>
        </w:rPr>
        <w:t xml:space="preserve"> million related to unfunded commitments. The provision for credit losses during the three and six months ended June 30, 2025 was due to the origination of new loans.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Unfunded Commitments</w:t>
      </w:r>
      <w:r>
        <w:rPr>
          <w:rFonts w:ascii="Times New Roman;Times;serif" w:hAnsi="Times New Roman;Times;serif"/>
          <w:sz w:val="20"/>
        </w:rPr>
        <w:t xml:space="preserve">—The Company has commitments to fund construction and development loans over a period of time if and when its borrowers meet established milestones and other performance criteria. The Company refers to these arrangements as performance-based commitments. As of June 30, 2026, the Company had $132.1 million of such commitments. </w:t>
      </w:r>
    </w:p>
    <w:p>
      <w:pPr>
        <w:pStyle w:val="TextBody"/>
        <w:bidi w:val="0"/>
        <w:spacing w:before="0" w:after="240"/>
        <w:ind w:left="0" w:right="0" w:firstLine="72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b/>
          <w:sz w:val="20"/>
        </w:rPr>
        <w:t>Note 7</w:t>
      </w:r>
      <w:r>
        <w:rPr>
          <w:rFonts w:ascii="Times New Roman;Times;serif" w:hAnsi="Times New Roman;Times;serif"/>
          <w:sz w:val="20"/>
        </w:rPr>
        <w:t>—</w:t>
      </w:r>
      <w:r>
        <w:rPr>
          <w:rFonts w:ascii="Times New Roman;Times;serif" w:hAnsi="Times New Roman;Times;serif"/>
          <w:b/>
          <w:sz w:val="20"/>
        </w:rPr>
        <w:t>Loan Receivable, net – Related Party</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March 31, 2023, the Company, as lender and as administrative agent, and Star Holdings, as borrower, entered into a senior secured term loan facility, which was amended on October 4, 2023 and March 28, 2025, in an aggregate principal amount of $115.0 million (the “Secured Term Loan Facility”) and an additional commitment amount of up to $25.0 million at Star Holding’s election (the “Incremental Term Loan Facility”, together with the Secured Term Loan Facility, as amended, the “Star Holdings Term Loan Facility”). During the three months ended June 30, 2026 and 2025, the Company recorded $2.3 million and $2.4 million, respectively, of interest income on the Star Holdings Term Loan Facility, which is recorded in “Interest income” in the Company’s consolidated statements of operations. During the six months ended June 30, 2026 and 2025, the Company recorded $4.7 million and $4.7 million, respectively, of interest income on the Star Holdings Term Loan Facility, which is recorded in “Interest income” in the Company’s consolidated statements of operations. As of each of June 30, 2026 and December 31, 2025, the Star Holdings Term Loan Facility had a principal balance of $115.0 million.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Star Holdings Term Loan Facility is a secured credit facility. Borrowings under the Star Holdings Term Loan Facility bear interest at a fixed rate of 8.00% per annum, which may increase to 10.00% per annum if any loans remain outstanding under the Incremental Term Loan Facility. On March 28, 2025, the Company and Star Holdings entered into an amendment to the Star Holdings Term Loan Facility that extended the maturity date by one year to March 31, 2028, provides that Star Holdings may re-borrow amounts that have been repaid on the Incremental Term Loan Facility and permits Star Holdings to repurchase up to $10.0 million in shares of its common stock, subject to certain conditions. The Star Holdings Term Loan Facility is secured by a first-priority perfected security pledge of all the equity interests in Star Holding’s primary real estate subsidiary. Since the first quarter of 2024, within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business days after Star Holdings has delivered its unaudited quarterly financial statements, Star Holdings has been required to apply any unrestricted cash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its balance sheet in excess of the aggregate of (i) an operating reserve; and (ii) $50 million, to prepay the Star Holdings Term Loan Facility or alternatively, with the consent of the Company, Star Holdings may apply such cash to prepay its margin loan facility with Morgan Stanley Bank, N.A., which is secured by Star Holdings’ shares of the Company’s common stock, in lieu of any prepayment of the Star Holdings Term Loan Facility. The operating reserve is calculated on a quarterly basis and is equal to the aggregate of projected operating expenses (including payments to the Star Holdings local property consultants but excluding management fees and public company costs), projected land carry costs, projected capital expenditure and projected interest expense on the margin loan facility and the Star Holdings Term Loan Facility for the next twelve months; less the projected operating revenues for the next twelve months consistent with the operating budget approved by the Company.</w:t>
      </w:r>
    </w:p>
    <w:p>
      <w:pPr>
        <w:pStyle w:val="TextBody"/>
        <w:shd w:fill="FFFFFF" w:val="clear"/>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The </w:t>
      </w:r>
      <w:r>
        <w:rPr>
          <w:rFonts w:ascii="Times New Roman;Times;serif" w:hAnsi="Times New Roman;Times;serif"/>
          <w:sz w:val="20"/>
        </w:rPr>
        <w:t>Star Holdings</w:t>
      </w:r>
      <w:r>
        <w:rPr>
          <w:rFonts w:ascii="Times New Roman;Times;serif" w:hAnsi="Times New Roman;Times;serif"/>
          <w:sz w:val="20"/>
          <w:shd w:fill="FFFFFF" w:val="clear"/>
        </w:rPr>
        <w:t xml:space="preserve"> Term Loan Facility contains certain customary covenants, including affirmative covenants on reporting, maintenance of property, continued ownership of interests in the Company as well as negative covenants relating to investments, indebtedness and liens, fundamental changes, asset dispositions, repayments, distributions and affiliate transactions. Furthermore, the </w:t>
      </w:r>
      <w:r>
        <w:rPr>
          <w:rFonts w:ascii="Times New Roman;Times;serif" w:hAnsi="Times New Roman;Times;serif"/>
          <w:sz w:val="20"/>
        </w:rPr>
        <w:t>Star Holdings</w:t>
      </w:r>
      <w:r>
        <w:rPr>
          <w:rFonts w:ascii="Times New Roman;Times;serif" w:hAnsi="Times New Roman;Times;serif"/>
          <w:sz w:val="20"/>
          <w:shd w:fill="FFFFFF" w:val="clear"/>
        </w:rPr>
        <w:t xml:space="preserve"> Term Loan Facility contains customary events of default, including payment defaults, failure to perform covenants, cross-default and cross acceleration to other indebtedness, including the margin loan facility, impairment of security interests and change of control.</w:t>
      </w:r>
    </w:p>
    <w:p>
      <w:pPr>
        <w:pStyle w:val="TextBody"/>
        <w:bidi w:val="0"/>
        <w:spacing w:before="0" w:after="240"/>
        <w:ind w:left="0" w:right="0" w:firstLine="720"/>
        <w:jc w:val="both"/>
        <w:rPr>
          <w:shd w:fill="FFFFFF" w:val="clear"/>
        </w:rPr>
      </w:pPr>
      <w:r>
        <w:rPr>
          <w:shd w:fill="FFFFFF" w:val="clea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2026 and 2025, the Company recorded a provision for credit losses of $8 thousand and $21 thousand, respectively, on the Star Holdings Term Loan Facility, including amounts on the Incremental Term Loan Facility, which was undrawn as of each of June 30, 2026 and December 31, 2025. During the six months ended June 30, 2026 and 2025, the Company recorded a provision for (recovery of) credit losses of $0.1 million and ($0.1) million, respectively, on the Star Holdings Term Loan Facility, including amounts on the Incremental Term Loan Facility. The Company did not have any accrued interest receivable from the Star Holdings Term Loan Facility as of each of June 30, 2026 and December 31, 2025. The Company did not reverse any accrued interest on the Star Holdings Term Loan Facility during the three and six months ended June 30, 2026 and 2025.</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31" w:name="Tc_0q4eRKEi30CZYp5OOLm__Q_11_17"/>
      <w:bookmarkStart w:id="1432" w:name="Tc_-YUttU5OMUOjJmR70BW0og_11_14"/>
      <w:bookmarkStart w:id="1433" w:name="Tc_3_W1-a5ak0WdukVrAmN_ug_11_11"/>
      <w:bookmarkStart w:id="1434" w:name="Tc__h4ksC5eKEmRLoXLB7ncyQ_11_8"/>
      <w:bookmarkStart w:id="1435" w:name="Tc_fWg2E2_Sl06UenPI_cME0A_11_5"/>
      <w:bookmarkStart w:id="1436" w:name="Tc_gRYnq9MUNkShmHxNz2Wtcw_11_2"/>
      <w:bookmarkStart w:id="1437" w:name="Tc_sWcuOZjXzEW5pV5-hnrbhw_11_0"/>
      <w:bookmarkStart w:id="1438" w:name="Tc_ZjAUCXZEM0WTO_Ugxq5cNw_10_0"/>
      <w:bookmarkStart w:id="1439" w:name="Tc_pVHld3xr8E2NIYQrUAPyXQ_9_0"/>
      <w:bookmarkStart w:id="1440" w:name="Tc_lnpn1_2Gbk283N5WUQCNjw_8_0"/>
      <w:bookmarkStart w:id="1441" w:name="Tc_4fwMdD6jfkaMefmBFURRbQ_7_17"/>
      <w:bookmarkStart w:id="1442" w:name="Tc_5lVRFZmh5kaOPWE7KFGfaA_7_14"/>
      <w:bookmarkStart w:id="1443" w:name="Tc_wjmrpYeZY0K801nWU8jTCw_7_11"/>
      <w:bookmarkStart w:id="1444" w:name="Tc_iVNwzECpUEuKGG2qOkjWaw_7_8"/>
      <w:bookmarkStart w:id="1445" w:name="Tc_87UCKOEGs0eAOYxbE0reDw_7_5"/>
      <w:bookmarkStart w:id="1446" w:name="Tc_NYCLbQy_XEKelKVTfXz_0g_7_2"/>
      <w:bookmarkStart w:id="1447" w:name="Tc_fVEEmeGRgkig8B-NURU8Ww_7_0"/>
      <w:bookmarkStart w:id="1448" w:name="Tc_5Jv5_DWV2k-yCj05C8_TrQ_6_0"/>
      <w:bookmarkStart w:id="1449" w:name="Tc_AzWnHWJYHE6-wu9l--OMJw_5_17"/>
      <w:bookmarkStart w:id="1450" w:name="Tc_gi7u7I7SwkuBeK6wlkSAng_5_14"/>
      <w:bookmarkStart w:id="1451" w:name="Tc_bMg7Ls-cmUGlk6VVURii2g_5_11"/>
      <w:bookmarkStart w:id="1452" w:name="Tc_WjbBXULbZ0qm02QMMUZGUQ_5_8"/>
      <w:bookmarkStart w:id="1453" w:name="Tc_m9mbGgQTgkaoxEIDqk3Kzw_5_5"/>
      <w:bookmarkStart w:id="1454" w:name="Tc_Ck4cAFcmm0OLlZe0QGk9mw_5_2"/>
      <w:bookmarkStart w:id="1455" w:name="Tc_4DgtMCNtyUudgYq95yiWPA_4_14"/>
      <w:bookmarkStart w:id="1456" w:name="Tc_oiP8-fvFC0iGlUB6k59L2A_4_8"/>
      <w:bookmarkStart w:id="1457" w:name="Tc_mv1lDIN14kigEHdDk0Y5UQ_4_5"/>
      <w:bookmarkStart w:id="1458" w:name="Tc_m2M2lvlQi0OD-Qexay8Nqg_4_2"/>
      <w:bookmarkStart w:id="1459" w:name="Tc_6dft5NoVZEuVzeD88cvWxQ_3_14"/>
      <w:bookmarkStart w:id="1460" w:name="Tc_bx1v4GUx3UC35HGugVy8ZQ_3_8"/>
      <w:bookmarkStart w:id="1461" w:name="Tc_G4loaHh5YEC1Va8rLHm_PA_3_2"/>
      <w:bookmarkStart w:id="1462" w:name="Tc_RlzhKP6trkSAriwbJlHL6A_2_14"/>
      <w:bookmarkStart w:id="1463" w:name="Tc_1WdoH1Vy-k-66H_c8xJy3g_2_8"/>
      <w:bookmarkStart w:id="1464" w:name="Tc_go-F-YVJqE6sgsWEDEBoIA_2_2"/>
      <w:bookmarkStart w:id="1465" w:name="Tc_iPkei5etvkeMUaBouwZ6lQ_1_14"/>
      <w:bookmarkStart w:id="1466" w:name="Tc_BUe0wEJdoUC8zlE-UOHqkg_1_8"/>
      <w:bookmarkStart w:id="1467" w:name="_d0384ecf_f5b7_4e85_bb74_3b4448cead19"/>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r>
        <w:rPr>
          <w:rFonts w:ascii="Times New Roman;Times;serif" w:hAnsi="Times New Roman;Times;serif"/>
          <w:b/>
          <w:sz w:val="20"/>
        </w:rPr>
        <w:t>Note 8—Equity Investments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equity investments and its proportionate share of earnings (losses) from equity investments were as follows ($ in thousands): </w:t>
      </w:r>
    </w:p>
    <w:tbl>
      <w:tblPr>
        <w:tblW w:w="10102" w:type="dxa"/>
        <w:jc w:val="left"/>
        <w:tblInd w:w="0" w:type="dxa"/>
        <w:tblLayout w:type="fixed"/>
        <w:tblCellMar>
          <w:top w:w="0" w:type="dxa"/>
          <w:left w:w="0" w:type="dxa"/>
          <w:bottom w:w="0" w:type="dxa"/>
          <w:right w:w="0" w:type="dxa"/>
        </w:tblCellMar>
      </w:tblPr>
      <w:tblGrid>
        <w:gridCol w:w="2266"/>
        <w:gridCol w:w="109"/>
        <w:gridCol w:w="211"/>
        <w:gridCol w:w="781"/>
        <w:gridCol w:w="346"/>
        <w:gridCol w:w="242"/>
        <w:gridCol w:w="898"/>
        <w:gridCol w:w="346"/>
        <w:gridCol w:w="252"/>
        <w:gridCol w:w="681"/>
        <w:gridCol w:w="413"/>
        <w:gridCol w:w="252"/>
        <w:gridCol w:w="681"/>
        <w:gridCol w:w="346"/>
        <w:gridCol w:w="238"/>
        <w:gridCol w:w="646"/>
        <w:gridCol w:w="391"/>
        <w:gridCol w:w="238"/>
        <w:gridCol w:w="765"/>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438910" cy="175260"/>
                      <wp:effectExtent l="0" t="0" r="0" b="0"/>
                      <wp:wrapNone/>
                      <wp:docPr id="387" name="Frame387"/>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9215" cy="175260"/>
                      <wp:effectExtent l="0" t="0" r="0" b="0"/>
                      <wp:wrapNone/>
                      <wp:docPr id="388" name="Frame3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389" name="Frame3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95935" cy="175260"/>
                      <wp:effectExtent l="0" t="0" r="0" b="0"/>
                      <wp:wrapNone/>
                      <wp:docPr id="390" name="Frame3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391"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53670" cy="175260"/>
                      <wp:effectExtent l="0" t="0" r="0" b="0"/>
                      <wp:wrapNone/>
                      <wp:docPr id="392" name="Frame39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70230" cy="175260"/>
                      <wp:effectExtent l="0" t="0" r="0" b="0"/>
                      <wp:wrapNone/>
                      <wp:docPr id="393" name="Frame393"/>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394"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60020" cy="175260"/>
                      <wp:effectExtent l="0" t="0" r="0" b="0"/>
                      <wp:wrapNone/>
                      <wp:docPr id="395" name="Frame39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32435" cy="175260"/>
                      <wp:effectExtent l="0" t="0" r="0" b="0"/>
                      <wp:wrapNone/>
                      <wp:docPr id="396" name="Frame396"/>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62255" cy="175260"/>
                      <wp:effectExtent l="0" t="0" r="0" b="0"/>
                      <wp:wrapNone/>
                      <wp:docPr id="397" name="Frame397"/>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60020" cy="175260"/>
                      <wp:effectExtent l="0" t="0" r="0" b="0"/>
                      <wp:wrapNone/>
                      <wp:docPr id="398" name="Frame39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32435" cy="175260"/>
                      <wp:effectExtent l="0" t="0" r="0" b="0"/>
                      <wp:wrapNone/>
                      <wp:docPr id="399" name="Frame399"/>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00"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51130" cy="175260"/>
                      <wp:effectExtent l="0" t="0" r="0" b="0"/>
                      <wp:wrapNone/>
                      <wp:docPr id="401" name="Frame40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10210" cy="175260"/>
                      <wp:effectExtent l="0" t="0" r="0" b="0"/>
                      <wp:wrapNone/>
                      <wp:docPr id="402" name="Frame40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48285" cy="175260"/>
                      <wp:effectExtent l="0" t="0" r="0" b="0"/>
                      <wp:wrapNone/>
                      <wp:docPr id="403" name="Frame40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51130" cy="175260"/>
                      <wp:effectExtent l="0" t="0" r="0" b="0"/>
                      <wp:wrapNone/>
                      <wp:docPr id="404" name="Frame40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85775" cy="175260"/>
                      <wp:effectExtent l="0" t="0" r="0" b="0"/>
                      <wp:wrapNone/>
                      <wp:docPr id="405" name="Frame405"/>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89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7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Earnings from </w:t>
            </w:r>
          </w:p>
        </w:tc>
        <w:tc>
          <w:tcPr>
            <w:tcW w:w="346" w:type="dxa"/>
            <w:tcBorders/>
            <w:vAlign w:val="center"/>
          </w:tcPr>
          <w:p>
            <w:pPr>
              <w:pStyle w:val="TableContents"/>
              <w:bidi w:val="0"/>
              <w:spacing w:before="0" w:after="1"/>
              <w:ind w:left="0" w:right="0" w:hanging="0"/>
              <w:jc w:val="left"/>
              <w:rPr/>
            </w:pPr>
            <w:r>
              <w:rPr/>
              <w:t>​</w:t>
            </w:r>
          </w:p>
        </w:tc>
        <w:tc>
          <w:tcPr>
            <w:tcW w:w="227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Earnings from </w: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7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Value</w:t>
            </w:r>
          </w:p>
        </w:tc>
        <w:tc>
          <w:tcPr>
            <w:tcW w:w="346" w:type="dxa"/>
            <w:tcBorders/>
            <w:vAlign w:val="center"/>
          </w:tcPr>
          <w:p>
            <w:pPr>
              <w:pStyle w:val="TableContents"/>
              <w:bidi w:val="0"/>
              <w:spacing w:before="0" w:after="1"/>
              <w:ind w:left="0" w:right="0" w:hanging="0"/>
              <w:jc w:val="center"/>
              <w:rPr/>
            </w:pPr>
            <w:r>
              <w:rPr/>
              <w:t>​</w:t>
            </w:r>
          </w:p>
        </w:tc>
        <w:tc>
          <w:tcPr>
            <w:tcW w:w="2279" w:type="dxa"/>
            <w:gridSpan w:val="5"/>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Equity Method Investments</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left"/>
              <w:rPr/>
            </w:pPr>
            <w:r>
              <w:rPr/>
              <w:t>​</w:t>
            </w:r>
          </w:p>
        </w:tc>
        <w:tc>
          <w:tcPr>
            <w:tcW w:w="2278" w:type="dxa"/>
            <w:gridSpan w:val="5"/>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Equity Method Investments</w:t>
            </w:r>
            <w:r>
              <w:rPr>
                <w:rFonts w:ascii="Times New Roman;Times;serif" w:hAnsi="Times New Roman;Times;serif"/>
                <w:b/>
                <w:sz w:val="12"/>
              </w:rPr>
              <w:t>(1)</w: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center"/>
              <w:rPr/>
            </w:pPr>
            <w:r>
              <w:rPr/>
              <w:t>​</w:t>
            </w:r>
          </w:p>
        </w:tc>
        <w:tc>
          <w:tcPr>
            <w:tcW w:w="227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1"/>
              <w:ind w:left="0" w:right="0" w:hanging="0"/>
              <w:jc w:val="left"/>
              <w:rPr/>
            </w:pPr>
            <w:r>
              <w:rPr/>
              <w:t>​</w:t>
            </w:r>
          </w:p>
        </w:tc>
        <w:tc>
          <w:tcPr>
            <w:tcW w:w="227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w:t>
            </w:r>
          </w:p>
        </w:tc>
        <w:tc>
          <w:tcPr>
            <w:tcW w:w="22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2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3" w:type="dxa"/>
            <w:tcBorders/>
            <w:vAlign w:val="center"/>
          </w:tcPr>
          <w:p>
            <w:pPr>
              <w:pStyle w:val="TableContents"/>
              <w:bidi w:val="0"/>
              <w:spacing w:before="0" w:after="1"/>
              <w:ind w:left="0" w:right="0" w:hanging="0"/>
              <w:jc w:val="center"/>
              <w:rPr/>
            </w:pPr>
            <w:r>
              <w:rPr/>
              <w:t>  ​ ​ ​</w:t>
            </w:r>
          </w:p>
        </w:tc>
        <w:tc>
          <w:tcPr>
            <w:tcW w:w="9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1"/>
              <w:ind w:left="0" w:right="0" w:hanging="0"/>
              <w:jc w:val="center"/>
              <w:rPr/>
            </w:pPr>
            <w:r>
              <w:rPr/>
              <w:t>  ​ ​ ​</w:t>
            </w:r>
          </w:p>
        </w:tc>
        <w:tc>
          <w:tcPr>
            <w:tcW w:w="10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 investment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42"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pPr>
            <w:r>
              <w:rPr/>
              <w:t>  ​</w:t>
            </w:r>
          </w:p>
        </w:tc>
        <w:tc>
          <w:tcPr>
            <w:tcW w:w="413"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38"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38"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  ​</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425 Park Avenue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140,467</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139,592</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w:t>
            </w:r>
          </w:p>
        </w:tc>
        <w:tc>
          <w:tcPr>
            <w:tcW w:w="413"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1,827</w:t>
            </w:r>
          </w:p>
        </w:tc>
        <w:tc>
          <w:tcPr>
            <w:tcW w:w="391"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32 Old Slip</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69,874</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67,865</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w:t>
            </w:r>
          </w:p>
        </w:tc>
        <w:tc>
          <w:tcPr>
            <w:tcW w:w="413"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w:t>
            </w:r>
          </w:p>
        </w:tc>
        <w:tc>
          <w:tcPr>
            <w:tcW w:w="391"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2,754</w:t>
            </w:r>
          </w:p>
        </w:tc>
      </w:tr>
      <w:tr>
        <w:trPr/>
        <w:tc>
          <w:tcPr>
            <w:tcW w:w="226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Ground Lease Plus Fund</w:t>
            </w:r>
            <w:r>
              <w:rPr>
                <w:rFonts w:ascii="Times New Roman;Times;serif" w:hAnsi="Times New Roman;Times;serif"/>
                <w:sz w:val="15"/>
              </w:rPr>
              <w:t>(1)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30,559</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30,787</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w:t>
            </w:r>
          </w:p>
        </w:tc>
        <w:tc>
          <w:tcPr>
            <w:tcW w:w="413"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(958)</w:t>
            </w:r>
          </w:p>
        </w:tc>
        <w:tc>
          <w:tcPr>
            <w:tcW w:w="391"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r>
      <w:tr>
        <w:trPr/>
        <w:tc>
          <w:tcPr>
            <w:tcW w:w="226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Leasehold Loan Fund</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50,866</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42,606</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2,577</w:t>
            </w:r>
          </w:p>
        </w:tc>
        <w:tc>
          <w:tcPr>
            <w:tcW w:w="413"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5,018</w:t>
            </w:r>
          </w:p>
        </w:tc>
        <w:tc>
          <w:tcPr>
            <w:tcW w:w="391"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4,564</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291,766</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280,850</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3,861</w:t>
            </w:r>
          </w:p>
        </w:tc>
        <w:tc>
          <w:tcPr>
            <w:tcW w:w="413"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4,912</w:t>
            </w:r>
          </w:p>
        </w:tc>
        <w:tc>
          <w:tcPr>
            <w:tcW w:w="346"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7,896</w:t>
            </w:r>
          </w:p>
        </w:tc>
        <w:tc>
          <w:tcPr>
            <w:tcW w:w="391"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9,904</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Company has a basis difference of $11.8</w:t>
            </w:r>
            <w:r>
              <w:rPr>
                <w:caps w:val="false"/>
                <w:smallCaps w:val="false"/>
              </w:rPr>
              <w:t xml:space="preserve"> </w:t>
            </w:r>
            <w:r>
              <w:rPr>
                <w:rFonts w:ascii="Times New Roman;Times;serif" w:hAnsi="Times New Roman;Times;serif"/>
                <w:b w:val="false"/>
                <w:i w:val="false"/>
                <w:caps w:val="false"/>
                <w:smallCaps w:val="false"/>
                <w:sz w:val="16"/>
              </w:rPr>
              <w:t>million in the Ground Lease Plus Fund. During both the three and six months ended June 30, 2026, $0.6</w:t>
            </w:r>
            <w:r>
              <w:rPr>
                <w:caps w:val="false"/>
                <w:smallCaps w:val="false"/>
              </w:rPr>
              <w:t xml:space="preserve"> </w:t>
            </w:r>
            <w:r>
              <w:rPr>
                <w:rFonts w:ascii="Times New Roman;Times;serif" w:hAnsi="Times New Roman;Times;serif"/>
                <w:b w:val="false"/>
                <w:i w:val="false"/>
                <w:caps w:val="false"/>
                <w:smallCaps w:val="false"/>
                <w:sz w:val="16"/>
              </w:rPr>
              <w:t>million of the basis difference was amortized as an increase to earnings from equity method investments. During the three and six months ended June 30, 2025, $0.1</w:t>
            </w:r>
            <w:r>
              <w:rPr>
                <w:caps w:val="false"/>
                <w:smallCaps w:val="false"/>
              </w:rPr>
              <w:t xml:space="preserve"> </w:t>
            </w:r>
            <w:r>
              <w:rPr>
                <w:rFonts w:ascii="Times New Roman;Times;serif" w:hAnsi="Times New Roman;Times;serif"/>
                <w:b w:val="false"/>
                <w:i w:val="false"/>
                <w:caps w:val="false"/>
                <w:smallCaps w:val="false"/>
                <w:sz w:val="16"/>
              </w:rPr>
              <w:t>million and $0.2</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of the basis difference was amortized as a decrease to earnings from equity method investments.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Company had a basis difference in the Leasehold Loan Fund that was amortized using the effective interest method. During the three months ended June 30, 2026 and 2025, $1.4</w:t>
            </w:r>
            <w:r>
              <w:rPr>
                <w:caps w:val="false"/>
                <w:smallCaps w:val="false"/>
              </w:rPr>
              <w:t xml:space="preserve"> </w:t>
            </w:r>
            <w:r>
              <w:rPr>
                <w:rFonts w:ascii="Times New Roman;Times;serif" w:hAnsi="Times New Roman;Times;serif"/>
                <w:b w:val="false"/>
                <w:i w:val="false"/>
                <w:caps w:val="false"/>
                <w:smallCaps w:val="false"/>
                <w:sz w:val="16"/>
              </w:rPr>
              <w:t>million and $0.7</w:t>
            </w:r>
            <w:r>
              <w:rPr>
                <w:caps w:val="false"/>
                <w:smallCaps w:val="false"/>
              </w:rPr>
              <w:t xml:space="preserve"> </w:t>
            </w:r>
            <w:r>
              <w:rPr>
                <w:rFonts w:ascii="Times New Roman;Times;serif" w:hAnsi="Times New Roman;Times;serif"/>
                <w:b w:val="false"/>
                <w:i w:val="false"/>
                <w:caps w:val="false"/>
                <w:smallCaps w:val="false"/>
                <w:sz w:val="16"/>
              </w:rPr>
              <w:t>million, respectively, of the basis difference was amortized as an increase to earnings from equity method investments. During the six months ended June 30, 2026 and 2025, $2.7</w:t>
            </w:r>
            <w:r>
              <w:rPr>
                <w:caps w:val="false"/>
                <w:smallCaps w:val="false"/>
              </w:rPr>
              <w:t xml:space="preserve"> </w:t>
            </w:r>
            <w:r>
              <w:rPr>
                <w:rFonts w:ascii="Times New Roman;Times;serif" w:hAnsi="Times New Roman;Times;serif"/>
                <w:b w:val="false"/>
                <w:i w:val="false"/>
                <w:caps w:val="false"/>
                <w:smallCaps w:val="false"/>
                <w:sz w:val="16"/>
              </w:rPr>
              <w:t>million and $1.4</w:t>
            </w:r>
            <w:r>
              <w:rPr>
                <w:caps w:val="false"/>
                <w:smallCaps w:val="false"/>
              </w:rPr>
              <w:t xml:space="preserve"> </w:t>
            </w:r>
            <w:r>
              <w:rPr>
                <w:rFonts w:ascii="Times New Roman;Times;serif" w:hAnsi="Times New Roman;Times;serif"/>
                <w:b w:val="false"/>
                <w:i w:val="false"/>
                <w:caps w:val="false"/>
                <w:smallCaps w:val="false"/>
                <w:sz w:val="16"/>
              </w:rPr>
              <w:t>million, respectively, of the basis difference was amortized as an increase to earnings from equity method investments.</w:t>
            </w:r>
          </w:p>
        </w:tc>
      </w:tr>
    </w:tbl>
    <w:p>
      <w:pPr>
        <w:pStyle w:val="TextBody"/>
        <w:bidi w:val="0"/>
        <w:spacing w:before="0" w:after="0"/>
        <w:ind w:left="36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425 Park Avenue</w:t>
      </w:r>
      <w:r>
        <w:rPr>
          <w:rFonts w:ascii="Times New Roman;Times;serif" w:hAnsi="Times New Roman;Times;serif"/>
          <w:sz w:val="20"/>
        </w:rPr>
        <w:t xml:space="preserve">—In August 2019, the Company formed a venture with a sovereign wealth fund that was and is an existing shareholder of the Company to acquire the existing Ground Lease at 425 Park Avenue in New York City. The venture acquired the Ground Lease in November 2019. The Company has a 54.8% noncontrolling equity interest in the venture and is the manager of the venture.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32 Old Slip</w:t>
      </w:r>
      <w:r>
        <w:rPr>
          <w:rFonts w:ascii="Times New Roman;Times;serif" w:hAnsi="Times New Roman;Times;serif"/>
          <w:sz w:val="20"/>
        </w:rPr>
        <w:t xml:space="preserve">—In June 2021, the Company acquired a 29.2% noncontrolling equity interest in a Ground Lease at an office property in New York City. </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Ground Lease Plus Fund</w:t>
      </w:r>
      <w:r>
        <w:rPr>
          <w:rFonts w:ascii="Times New Roman;Times;serif" w:hAnsi="Times New Roman;Times;serif"/>
          <w:sz w:val="20"/>
        </w:rPr>
        <w:t xml:space="preserve">—The Company manages a fund that targets the origination and acquisition of Ground Leases for commercial real estate projects that are in a pre-development phase (the “Ground Lease Plus Fund”). The Company owns a 53.2% noncontrolling equity interest in the Ground Lease Plus Fund. The Company does not have a controlling interest in the Ground Lease Plus Fund due to the substantive participating rights of its partner and accounts for this investment as an equity method investment. The Company receives a fee from its partner in exchange for managing the entity and is also entitled to a promote payment on investments in the Ground Lease Plus Fund.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i/>
          <w:sz w:val="20"/>
        </w:rPr>
        <w:t>Leasehold Loan Fund</w:t>
      </w:r>
      <w:r>
        <w:rPr>
          <w:rFonts w:ascii="Times New Roman;Times;serif" w:hAnsi="Times New Roman;Times;serif"/>
          <w:sz w:val="20"/>
        </w:rPr>
        <w:t>—The Company manages a fund that targets customers that may require a mortgage leasehold loan as well as a Ground Lease (the “Leasehold Loan Fund”). The Company owns a 53.2% noncontrolling equity interest in the Leasehold Loan Fund. The Company does not have a controlling interest in the Leasehold Loan Fund due to the substantive participating rights of its partner. The Company accounts for this investment as an equity method investment and receives a fixed annual administrative fee and an asset management fee from its partner in exchange for managing the entity. The Company is also entitled to a promote payment on certain investments in the Leasehold Loan Fund.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February 2022, the Leasehold Loan Fund committed to provide a $130.0 million loan to the ground lessee of a Ground Lease originated by the Company. The loan was for the Ground Lease tenant’s recapitalization of a life science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property. In August 2025, the loan commitment was reduced to $30.0 million. As of June 30, 2026, the Leasehold Loan Fund funded $27.6 million of the commitment.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June 2022, the Leasehold Loan Fund committed to provide a $105.0 million loan to the ground lessee of a Ground Lease originated by the Company. The loan was for the Ground Lease tenant’s recapitalization of a mixed-use property. In July 2025, the loan commitment was reduced to $55.5 million. As of June 30, 2026, the Leasehold Loan Fund funded $45.0 million of the commitment.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2024, the Leasehold Loan Fund committed to provide a $31.5 million loan to the ground lessee of a Ground Lease originated by the Company. The loan was for the Ground Lease tenant’s construction of a student housing property. As of June 30, 2026, the Leasehold Loan Fund funded $22.4 million of the commitment.</w:t>
      </w:r>
    </w:p>
    <w:p>
      <w:pPr>
        <w:pStyle w:val="TextBody"/>
        <w:bidi w:val="0"/>
        <w:spacing w:before="0" w:after="240"/>
        <w:ind w:left="0" w:right="0" w:hanging="0"/>
        <w:jc w:val="both"/>
        <w:rPr>
          <w:rFonts w:ascii="Times New Roman;Times;serif" w:hAnsi="Times New Roman;Times;serif"/>
          <w:b/>
          <w:sz w:val="20"/>
        </w:rPr>
      </w:pPr>
      <w:bookmarkStart w:id="1468" w:name="Tc_8_QqmnVn1k2XFWQwfPDgMA_8_5"/>
      <w:bookmarkStart w:id="1469" w:name="Tc_uKPz7g3E60qmqa5H7ipwgg_8_2"/>
      <w:bookmarkStart w:id="1470" w:name="Tc_sqkFKXk9FEKmAwJJdUll6A_8_0"/>
      <w:bookmarkStart w:id="1471" w:name="Tc_UfiUPlKzIkur8u05CtezmA_7_0"/>
      <w:bookmarkStart w:id="1472" w:name="Tc_Tb0WEKlhR0ewzRUc6BBaFQ_5_0"/>
      <w:bookmarkStart w:id="1473" w:name="Tc_LQBGlqv2sEmTynjMOa0zZw_4_0"/>
      <w:bookmarkStart w:id="1474" w:name="Tc_bmN_BNz9fEONWiXPNOrt0Q_3_5"/>
      <w:bookmarkStart w:id="1475" w:name="Tc_ZyzrYCdvH0KM-RP4VcZWJQ_3_2"/>
      <w:bookmarkStart w:id="1476" w:name="Tc_npkF8aBFLU-wZaLbShdNZA_3_0"/>
      <w:bookmarkStart w:id="1477" w:name="Tc_Jj2sh53URE6ReLjvazER4w_2_5"/>
      <w:bookmarkStart w:id="1478" w:name="Tc_79Esh394XUq2FDtfuT5o9Q_2_2"/>
      <w:bookmarkStart w:id="1479" w:name="Tc_hL3OpXKimUuJT8T6dQ1ERQ_1_2"/>
      <w:bookmarkStart w:id="1480" w:name="_9c54ed87_8916_4c5c_9a6a_e9f1f9cae4fb"/>
      <w:bookmarkStart w:id="1481" w:name="Tc_jSFIQ69g30qEXiKVzpxhqw_9_5"/>
      <w:bookmarkStart w:id="1482" w:name="Tc_IprH3OcmZUuin_kdwfbeUg_9_2"/>
      <w:bookmarkStart w:id="1483" w:name="Tc_RYw31YV4ZUSgNKW_bjkKLA_9_0"/>
      <w:bookmarkStart w:id="1484" w:name="Tc_dTyN6djRTkulie7cIjcXXQ_8_0"/>
      <w:bookmarkStart w:id="1485" w:name="Tc_XvGp-sPRoUuDXBCyl0wT8Q_7_0"/>
      <w:bookmarkStart w:id="1486" w:name="Tc_2GaCxzMwnU2XoD3Z6S74UA_6_0"/>
      <w:bookmarkStart w:id="1487" w:name="Tc_3tSzuDOAdku5slS6VaxP2g_5_0"/>
      <w:bookmarkStart w:id="1488" w:name="Tc_xY_8YFzoV0qN5QOqHP7dKA_4_0"/>
      <w:bookmarkStart w:id="1489" w:name="Tc_6qPIUbTmGUK7IZGUoaVB9g_3_5"/>
      <w:bookmarkStart w:id="1490" w:name="Tc_NahUk0lX-0qdicprorLniA_3_2"/>
      <w:bookmarkStart w:id="1491" w:name="Tc_UR6UDr9PAEOxhSsbIQ0iNA_2_5"/>
      <w:bookmarkStart w:id="1492" w:name="Tc_vYdmzZ9tLE-eDeK444g9cw_2_2"/>
      <w:bookmarkStart w:id="1493" w:name="Tc_OIcmRn8fxkClWAxmGHWWFA_1_2"/>
      <w:bookmarkStart w:id="1494" w:name="_8a73288b_37d0_4896_8e56_e0e0fa6c1dba"/>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r>
        <w:rPr>
          <w:rFonts w:ascii="Times New Roman;Times;serif" w:hAnsi="Times New Roman;Times;serif"/>
          <w:b/>
          <w:sz w:val="20"/>
        </w:rPr>
        <w:t>Note 9—Deferred Expenses and Other Assets, Net and Accounts Payable, Accrued Expenses and Other Liabilities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Deferred expenses and other assets, net, consist of the following items ($ in thousands): </w:t>
      </w:r>
    </w:p>
    <w:p>
      <w:pPr>
        <w:pStyle w:val="TextBody"/>
        <w:bidi w:val="0"/>
        <w:spacing w:before="0" w:after="0"/>
        <w:ind w:left="0" w:right="0" w:hanging="0"/>
        <w:jc w:val="left"/>
        <w:rPr/>
      </w:pPr>
      <w:r>
        <w:rPr/>
        <w:t>​</w:t>
      </w:r>
    </w:p>
    <w:tbl>
      <w:tblPr>
        <w:tblW w:w="7355" w:type="dxa"/>
        <w:jc w:val="left"/>
        <w:tblInd w:w="0" w:type="dxa"/>
        <w:tblLayout w:type="fixed"/>
        <w:tblCellMar>
          <w:top w:w="0" w:type="dxa"/>
          <w:left w:w="0" w:type="dxa"/>
          <w:bottom w:w="0" w:type="dxa"/>
          <w:right w:w="0" w:type="dxa"/>
        </w:tblCellMar>
      </w:tblPr>
      <w:tblGrid>
        <w:gridCol w:w="3991"/>
        <w:gridCol w:w="346"/>
        <w:gridCol w:w="267"/>
        <w:gridCol w:w="859"/>
        <w:gridCol w:w="346"/>
        <w:gridCol w:w="328"/>
        <w:gridCol w:w="1218"/>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534285" cy="175260"/>
                      <wp:effectExtent l="0" t="0" r="0" b="0"/>
                      <wp:wrapNone/>
                      <wp:docPr id="406" name="Frame406"/>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07" name="Frame4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69545" cy="175260"/>
                      <wp:effectExtent l="0" t="0" r="0" b="0"/>
                      <wp:wrapNone/>
                      <wp:docPr id="408" name="Frame40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45465" cy="175260"/>
                      <wp:effectExtent l="0" t="0" r="0" b="0"/>
                      <wp:wrapNone/>
                      <wp:docPr id="409" name="Frame409"/>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19710" cy="175260"/>
                      <wp:effectExtent l="0" t="0" r="0" b="0"/>
                      <wp:wrapNone/>
                      <wp:docPr id="410"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8280" cy="175260"/>
                      <wp:effectExtent l="0" t="0" r="0" b="0"/>
                      <wp:wrapNone/>
                      <wp:docPr id="411" name="Frame411"/>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773430" cy="175260"/>
                      <wp:effectExtent l="0" t="0" r="0" b="0"/>
                      <wp:wrapNone/>
                      <wp:docPr id="412" name="Frame412"/>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9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Operating lease right-of-use assets</w:t>
            </w:r>
            <w:r>
              <w:rPr>
                <w:rFonts w:ascii="Times New Roman;Times;serif" w:hAnsi="Times New Roman;Times;serif"/>
                <w:b w:val="false"/>
                <w:i w:val="false"/>
                <w:caps w:val="false"/>
                <w:smallCaps w:val="false"/>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23,741</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26,085</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hedge assets</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11,202</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21,315</w:t>
            </w:r>
          </w:p>
        </w:tc>
      </w:tr>
      <w:tr>
        <w:trPr/>
        <w:tc>
          <w:tcPr>
            <w:tcW w:w="39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Deferred finance costs, net</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9,095</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11,536</w:t>
            </w:r>
          </w:p>
        </w:tc>
      </w:tr>
      <w:tr>
        <w:trPr/>
        <w:tc>
          <w:tcPr>
            <w:tcW w:w="39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assets</w:t>
            </w:r>
            <w:r>
              <w:rPr>
                <w:rFonts w:ascii="Times New Roman;Times;serif" w:hAnsi="Times New Roman;Times;serif"/>
                <w:sz w:val="15"/>
              </w:rPr>
              <w:t>(3)</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23,480</w:t>
            </w:r>
          </w:p>
        </w:tc>
        <w:tc>
          <w:tcPr>
            <w:tcW w:w="34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12,211</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 costs, net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furniture, fixtures and equipment, net</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expenses and other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68,927</w:t>
            </w:r>
          </w:p>
        </w:tc>
        <w:tc>
          <w:tcPr>
            <w:tcW w:w="34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72,030</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Operating lease right-of-use asset (and operating lease liability below) relates primarily to a property that is majority-owned by a third party and is ground leased to the Company. The Company is obligated to pay the owner of the property $0.5</w:t>
            </w:r>
            <w:r>
              <w:rPr>
                <w:caps w:val="false"/>
                <w:smallCaps w:val="false"/>
              </w:rPr>
              <w:t xml:space="preserve"> </w:t>
            </w:r>
            <w:r>
              <w:rPr>
                <w:rFonts w:ascii="Times New Roman;Times;serif" w:hAnsi="Times New Roman;Times;serif"/>
                <w:b w:val="false"/>
                <w:i w:val="false"/>
                <w:caps w:val="false"/>
                <w:smallCaps w:val="false"/>
                <w:sz w:val="16"/>
              </w:rPr>
              <w:t>million, subject to adjustment for changes in the CPI, per year through 2044. Amortization of this operating lease right-of-use asset, beginning January 1, 2026, is recorded in “Hotel expenses” in the Company’s consolidated statements of operations. Prior to January 1, 2026 this expense was recorded in “Real estate expense” in the Company’s consolidated statements of operations. During the three and six months ended June 30, 2025, the Company recognized $0.1</w:t>
            </w:r>
            <w:r>
              <w:rPr>
                <w:caps w:val="false"/>
                <w:smallCaps w:val="false"/>
              </w:rPr>
              <w:t xml:space="preserve"> </w:t>
            </w:r>
            <w:r>
              <w:rPr>
                <w:rFonts w:ascii="Times New Roman;Times;serif" w:hAnsi="Times New Roman;Times;serif"/>
                <w:b w:val="false"/>
                <w:i w:val="false"/>
                <w:caps w:val="false"/>
                <w:smallCaps w:val="false"/>
                <w:sz w:val="16"/>
              </w:rPr>
              <w:t>million and $0.3</w:t>
            </w:r>
            <w:r>
              <w:rPr>
                <w:caps w:val="false"/>
                <w:smallCaps w:val="false"/>
              </w:rPr>
              <w:t xml:space="preserve"> </w:t>
            </w:r>
            <w:r>
              <w:rPr>
                <w:rFonts w:ascii="Times New Roman;Times;serif" w:hAnsi="Times New Roman;Times;serif"/>
                <w:b w:val="false"/>
                <w:i w:val="false"/>
                <w:caps w:val="false"/>
                <w:smallCaps w:val="false"/>
                <w:sz w:val="16"/>
              </w:rPr>
              <w:t>million, respectively, in both “Real estate expense” and “Other income</w:t>
            </w:r>
            <w:r>
              <w:rPr>
                <w:caps w:val="false"/>
                <w:smallCaps w:val="false"/>
              </w:rPr>
              <w:t xml:space="preserve">” </w:t>
            </w:r>
            <w:r>
              <w:rPr>
                <w:rFonts w:ascii="Times New Roman;Times;serif" w:hAnsi="Times New Roman;Times;serif"/>
                <w:b w:val="false"/>
                <w:i w:val="false"/>
                <w:caps w:val="false"/>
                <w:smallCaps w:val="false"/>
                <w:sz w:val="16"/>
              </w:rPr>
              <w:t>from its operating lease right-of-use asset. The related operating lease liability (see table below) equals the present value of the minimum rental payments due under the lease discounted at the Company’s incremental secured borrowing rate for a similar asset estimated to be 5.5%. The Company also has operating leases for office space.</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Accumulated amortization of deferred finance costs was $10.9</w:t>
            </w:r>
            <w:r>
              <w:rPr>
                <w:caps w:val="false"/>
                <w:smallCaps w:val="false"/>
              </w:rPr>
              <w:t xml:space="preserve"> </w:t>
            </w:r>
            <w:r>
              <w:rPr>
                <w:rFonts w:ascii="Times New Roman;Times;serif" w:hAnsi="Times New Roman;Times;serif"/>
                <w:b w:val="false"/>
                <w:i w:val="false"/>
                <w:caps w:val="false"/>
                <w:smallCaps w:val="false"/>
                <w:sz w:val="16"/>
              </w:rPr>
              <w:t>million and $8.4</w:t>
            </w:r>
            <w:r>
              <w:rPr>
                <w:caps w:val="false"/>
                <w:smallCaps w:val="false"/>
              </w:rPr>
              <w:t> </w:t>
            </w:r>
            <w:r>
              <w:rPr>
                <w:rFonts w:ascii="Times New Roman;Times;serif" w:hAnsi="Times New Roman;Times;serif"/>
                <w:b w:val="false"/>
                <w:i w:val="false"/>
                <w:caps w:val="false"/>
                <w:smallCaps w:val="false"/>
                <w:sz w:val="16"/>
              </w:rPr>
              <w:t>million as of June 30, 2026 and December 31, 2025, respectively.</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7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and December 31, 2025, includes $1.9</w:t>
            </w:r>
            <w:r>
              <w:rPr>
                <w:caps w:val="false"/>
                <w:smallCaps w:val="false"/>
              </w:rPr>
              <w:t xml:space="preserve"> </w:t>
            </w:r>
            <w:r>
              <w:rPr>
                <w:rFonts w:ascii="Times New Roman;Times;serif" w:hAnsi="Times New Roman;Times;serif"/>
                <w:b w:val="false"/>
                <w:i w:val="false"/>
                <w:caps w:val="false"/>
                <w:smallCaps w:val="false"/>
                <w:sz w:val="16"/>
              </w:rPr>
              <w:t>million and $2.9</w:t>
            </w:r>
            <w:r>
              <w:rPr>
                <w:caps w:val="false"/>
                <w:smallCaps w:val="false"/>
              </w:rPr>
              <w:t xml:space="preserve"> </w:t>
            </w:r>
            <w:r>
              <w:rPr>
                <w:rFonts w:ascii="Times New Roman;Times;serif" w:hAnsi="Times New Roman;Times;serif"/>
                <w:b w:val="false"/>
                <w:i w:val="false"/>
                <w:caps w:val="false"/>
                <w:smallCaps w:val="false"/>
                <w:sz w:val="16"/>
              </w:rPr>
              <w:t xml:space="preserve">million, respectively, of management fees due from Star Holdings. </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Accounts payable, accrued expenses and other liabilities consist of the following items ($ in thousands): </w:t>
      </w:r>
    </w:p>
    <w:p>
      <w:pPr>
        <w:pStyle w:val="TextBody"/>
        <w:bidi w:val="0"/>
        <w:spacing w:before="0" w:after="240"/>
        <w:ind w:left="0" w:right="0" w:firstLine="720"/>
        <w:jc w:val="both"/>
        <w:rPr/>
      </w:pPr>
      <w:r>
        <w:rPr/>
        <w:t>​</w:t>
      </w:r>
    </w:p>
    <w:tbl>
      <w:tblPr>
        <w:tblW w:w="8075" w:type="dxa"/>
        <w:jc w:val="left"/>
        <w:tblInd w:w="0" w:type="dxa"/>
        <w:tblLayout w:type="fixed"/>
        <w:tblCellMar>
          <w:top w:w="0" w:type="dxa"/>
          <w:left w:w="0" w:type="dxa"/>
          <w:bottom w:w="0" w:type="dxa"/>
          <w:right w:w="0" w:type="dxa"/>
        </w:tblCellMar>
      </w:tblPr>
      <w:tblGrid>
        <w:gridCol w:w="4711"/>
        <w:gridCol w:w="346"/>
        <w:gridCol w:w="239"/>
        <w:gridCol w:w="887"/>
        <w:gridCol w:w="346"/>
        <w:gridCol w:w="294"/>
        <w:gridCol w:w="1252"/>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991485" cy="175260"/>
                      <wp:effectExtent l="0" t="0" r="0" b="0"/>
                      <wp:wrapNone/>
                      <wp:docPr id="413" name="Frame413"/>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14"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51765" cy="175260"/>
                      <wp:effectExtent l="0" t="0" r="0" b="0"/>
                      <wp:wrapNone/>
                      <wp:docPr id="415" name="Frame41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63245" cy="175260"/>
                      <wp:effectExtent l="0" t="0" r="0" b="0"/>
                      <wp:wrapNone/>
                      <wp:docPr id="416" name="Frame41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17"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86690" cy="175260"/>
                      <wp:effectExtent l="0" t="0" r="0" b="0"/>
                      <wp:wrapNone/>
                      <wp:docPr id="418" name="Frame418"/>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795020" cy="175260"/>
                      <wp:effectExtent l="0" t="0" r="0" b="0"/>
                      <wp:wrapNone/>
                      <wp:docPr id="419" name="Frame419"/>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0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7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109,203</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103,656</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22,564</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 </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19,495</w:t>
            </w:r>
          </w:p>
        </w:tc>
      </w:tr>
      <w:tr>
        <w:trPr/>
        <w:tc>
          <w:tcPr>
            <w:tcW w:w="4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declared and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13,217</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pPr>
            <w:r>
              <w:rPr/>
              <w:t> </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13,559</w:t>
            </w:r>
          </w:p>
        </w:tc>
      </w:tr>
      <w:tr>
        <w:trPr/>
        <w:tc>
          <w:tcPr>
            <w:tcW w:w="47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Operating lease liabilities</w:t>
            </w:r>
            <w:r>
              <w:rPr>
                <w:rFonts w:ascii="Times New Roman;Times;serif" w:hAnsi="Times New Roman;Times;serif"/>
                <w:b w:val="false"/>
                <w:i w:val="false"/>
                <w:caps w:val="false"/>
                <w:smallCaps w:val="false"/>
                <w:sz w:val="15"/>
              </w:rPr>
              <w:t>(1)</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5,538</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 </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5,622</w:t>
            </w:r>
          </w:p>
        </w:tc>
      </w:tr>
      <w:tr>
        <w:trPr/>
        <w:tc>
          <w:tcPr>
            <w:tcW w:w="471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21,069</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19,088</w:t>
            </w:r>
          </w:p>
        </w:tc>
      </w:tr>
      <w:tr>
        <w:trPr/>
        <w:tc>
          <w:tcPr>
            <w:tcW w:w="4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171,591</w:t>
            </w:r>
          </w:p>
        </w:tc>
        <w:tc>
          <w:tcPr>
            <w:tcW w:w="346" w:type="dxa"/>
            <w:tcBorders/>
            <w:vAlign w:val="center"/>
          </w:tcPr>
          <w:p>
            <w:pPr>
              <w:pStyle w:val="TableContents"/>
              <w:bidi w:val="0"/>
              <w:spacing w:before="0" w:after="1"/>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161,420</w:t>
            </w:r>
          </w:p>
        </w:tc>
      </w:tr>
    </w:tbl>
    <w:tbl>
      <w:tblPr>
        <w:tblW w:w="1682" w:type="dxa"/>
        <w:jc w:val="left"/>
        <w:tblInd w:w="0" w:type="dxa"/>
        <w:tblLayout w:type="fixed"/>
        <w:tblCellMar>
          <w:top w:w="0" w:type="dxa"/>
          <w:left w:w="0" w:type="dxa"/>
          <w:bottom w:w="0" w:type="dxa"/>
          <w:right w:w="0" w:type="dxa"/>
        </w:tblCellMar>
      </w:tblPr>
      <w:tblGrid>
        <w:gridCol w:w="331"/>
        <w:gridCol w:w="135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1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Refer to Note 11.</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and December 31, 2025, accrued expenses primarily includes accrued compensation, legal, audit and property expenses.</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95" w:name="Tc_lpoix1XDmUqMAJ9h-NW5gw_20_5"/>
      <w:bookmarkStart w:id="1496" w:name="Tc_cedrCuflok2SkZmyNbJcJA_20_2"/>
      <w:bookmarkStart w:id="1497" w:name="Tc_liepNKToe0m_IDhPjQhNJg_20_0"/>
      <w:bookmarkStart w:id="1498" w:name="Tc_DzLja7v5jECmdyH_asknhg_19_0"/>
      <w:bookmarkStart w:id="1499" w:name="Tc_a7CnwSkEKk-_S6qfwikw5w_18_0"/>
      <w:bookmarkStart w:id="1500" w:name="Tc_tg7VBC1kiUmLesAuRyBShw_17_0"/>
      <w:bookmarkStart w:id="1501" w:name="Tc_PQkiWrxDW0yZAF3hNPiaCA_16_10"/>
      <w:bookmarkStart w:id="1502" w:name="Tc_uqUACFUy_kKkyu3buGltoA_16_9"/>
      <w:bookmarkStart w:id="1503" w:name="Tc_ytfxUjxpmkqiLy-kh9hhbA_16_8"/>
      <w:bookmarkStart w:id="1504" w:name="Tc_UWgp-5zhOUGyEG0H3IKDTw_16_0"/>
      <w:bookmarkStart w:id="1505" w:name="Tc_aKMuZ-OtgEqc451-WQEcxg_15_10"/>
      <w:bookmarkStart w:id="1506" w:name="Tc_MWpaOywGXUmY6b2FA9HN2g_15_9"/>
      <w:bookmarkStart w:id="1507" w:name="Tc_Kd_jSUYyQ0id5fnYvwPuLg_15_8"/>
      <w:bookmarkStart w:id="1508" w:name="Tc_n9zPg4t_KUSPgY7hhj8IuA_15_0"/>
      <w:bookmarkStart w:id="1509" w:name="Tc_InMYCZ0yV0iTKPZJSFFXxg_14_10"/>
      <w:bookmarkStart w:id="1510" w:name="Tc_YLIqUq5cFEm-xtJR0uUfug_14_9"/>
      <w:bookmarkStart w:id="1511" w:name="Tc_Lezc0zvUNkur5-QFcv1ncw_14_8"/>
      <w:bookmarkStart w:id="1512" w:name="Tc_C0LN0dkVCk-lKESZ7rs4CQ_14_0"/>
      <w:bookmarkStart w:id="1513" w:name="Tc_nJy9O3DLZkae1BLrF5dbJg_13_10"/>
      <w:bookmarkStart w:id="1514" w:name="Tc_ofYpOojytkmFddJepPTWOA_13_9"/>
      <w:bookmarkStart w:id="1515" w:name="Tc_he_NuwGy1U2saOkgEgf8IQ_13_6"/>
      <w:bookmarkStart w:id="1516" w:name="Tc_Khv4wg-3HUWcleDomvv66A_13_0"/>
      <w:bookmarkStart w:id="1517" w:name="Tc_J5mYXPKftEKPCrgzGWwAJA_12_10"/>
      <w:bookmarkStart w:id="1518" w:name="Tc_SBybyp2xlkiQRXrYS1gWXg_12_9"/>
      <w:bookmarkStart w:id="1519" w:name="Tc_AVzbONJdOEKJNmPJHPimeg_12_0"/>
      <w:bookmarkStart w:id="1520" w:name="Tc_HQX8rFmEXUik4xvSu6MxfA_11_10"/>
      <w:bookmarkStart w:id="1521" w:name="Tc_QeMeeQbNX0uL3fnGRLPKMQ_11_9"/>
      <w:bookmarkStart w:id="1522" w:name="Tc_qu-nxKd8TE28X0kGiMmYGg_11_0"/>
      <w:bookmarkStart w:id="1523" w:name="Tc_3zocRYNQ2kGW6Wk9jJiYgw_10_10"/>
      <w:bookmarkStart w:id="1524" w:name="Tc_dufbVzU6rEa34n8Ly2lYkA_10_9"/>
      <w:bookmarkStart w:id="1525" w:name="Tc_xqGu6UhpxEGv2s5oa7quAg_10_0"/>
      <w:bookmarkStart w:id="1526" w:name="Tc_rxAPNmUZa0GGAOhNUCS54w_9_10"/>
      <w:bookmarkStart w:id="1527" w:name="Tc_wTkqbD3GZUuvLzjS0sIXSg_9_9"/>
      <w:bookmarkStart w:id="1528" w:name="Tc_dV9G3Sm3KkSgtJx-qcbsOA_9_0"/>
      <w:bookmarkStart w:id="1529" w:name="Tc_ErJkWdZGqUmlkixxUKiIOw_8_10"/>
      <w:bookmarkStart w:id="1530" w:name="Tc_2irsPyC4Jkm7I_qFr48cWg_8_9"/>
      <w:bookmarkStart w:id="1531" w:name="Tc_3L8ioOY0BE2xIMlt7PijdA_8_0"/>
      <w:bookmarkStart w:id="1532" w:name="Tc_yKIGB9O4nkiAr4GBpcF8SA_7_10"/>
      <w:bookmarkStart w:id="1533" w:name="Tc_5RzCke84C0iS5LqLDtGaFw_7_9"/>
      <w:bookmarkStart w:id="1534" w:name="Tc_dBgOfwlrik2OOgluiP1oYQ_7_0"/>
      <w:bookmarkStart w:id="1535" w:name="Tc_U6eKdoVDV0uso31eIA548g_6_0"/>
      <w:bookmarkStart w:id="1536" w:name="Tc_WzAzyEhkikSD7_YT_QAqiw_5_0"/>
      <w:bookmarkStart w:id="1537" w:name="Tc_KEOBEEXDUkqG4RNV_BS3uQ_4_10"/>
      <w:bookmarkStart w:id="1538" w:name="Tc_cKzODIpsb0Wn_urSQNy96g_4_9"/>
      <w:bookmarkStart w:id="1539" w:name="Tc_ra7vjaiKb0ebZY6kRUdixA_4_5"/>
      <w:bookmarkStart w:id="1540" w:name="Tc_FREJOdsSnUmPq0ydqz9LoQ_4_2"/>
      <w:bookmarkStart w:id="1541" w:name="Tc_MGCG2kVr3kaOH-nr04dvpA_4_0"/>
      <w:bookmarkStart w:id="1542" w:name="Tc_myHstpI43UCvIMCChhlcbg_3_0"/>
      <w:bookmarkStart w:id="1543" w:name="Tc_s7o75y_HSEyl1q_ey_cSTA_2_10"/>
      <w:bookmarkStart w:id="1544" w:name="Tc_7G1YNoP1F0mejsbKOGZQow_2_8"/>
      <w:bookmarkStart w:id="1545" w:name="Tc_a0FBFvL61UehnHKQcXu3hQ_2_5"/>
      <w:bookmarkStart w:id="1546" w:name="Tc_rHUbNQqSgkegqlmT2tiKcQ_2_2"/>
      <w:bookmarkStart w:id="1547" w:name="Tc_lwlGT4cljEiJ94rWvU7sNg_1_10"/>
      <w:bookmarkStart w:id="1548" w:name="Tc_4C_VXXdT6kKpVSxMXEw2DA_1_8"/>
      <w:bookmarkStart w:id="1549" w:name="Tc_eHeaKoOhikyiEQW-Lwylqg_1_2"/>
      <w:bookmarkStart w:id="1550" w:name="_d5a696c1_6bce_4493_b43a_43918cc92f5f"/>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r>
        <w:rPr>
          <w:rFonts w:ascii="Times New Roman;Times;serif" w:hAnsi="Times New Roman;Times;serif"/>
          <w:b/>
          <w:sz w:val="20"/>
        </w:rPr>
        <w:t>Note 10—Debt Obligations, net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outstanding debt obligations consist of the following ($ in thousands):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97"/>
        <w:gridCol w:w="346"/>
        <w:gridCol w:w="215"/>
        <w:gridCol w:w="911"/>
        <w:gridCol w:w="346"/>
        <w:gridCol w:w="287"/>
        <w:gridCol w:w="1214"/>
        <w:gridCol w:w="346"/>
        <w:gridCol w:w="1056"/>
        <w:gridCol w:w="346"/>
        <w:gridCol w:w="2041"/>
      </w:tblGrid>
      <w:tr>
        <w:trPr/>
        <w:tc>
          <w:tcPr>
            <w:tcW w:w="3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966595" cy="175260"/>
                      <wp:effectExtent l="0" t="0" r="0" b="0"/>
                      <wp:wrapNone/>
                      <wp:docPr id="420" name="Frame420"/>
                      <a:graphic xmlns:a="http://schemas.openxmlformats.org/drawingml/2006/main">
                        <a:graphicData uri="http://schemas.microsoft.com/office/word/2010/wordprocessingShape">
                          <wps:wsp>
                            <wps:cNvSpPr txBox="1"/>
                            <wps:spPr>
                              <a:xfrm>
                                <a:off x="0" y="0"/>
                                <a:ext cx="1966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21"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6525" cy="175260"/>
                      <wp:effectExtent l="0" t="0" r="0" b="0"/>
                      <wp:wrapNone/>
                      <wp:docPr id="422" name="Frame42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78485" cy="175260"/>
                      <wp:effectExtent l="0" t="0" r="0" b="0"/>
                      <wp:wrapNone/>
                      <wp:docPr id="423" name="Frame423"/>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24"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82245" cy="175260"/>
                      <wp:effectExtent l="0" t="0" r="0" b="0"/>
                      <wp:wrapNone/>
                      <wp:docPr id="425" name="Frame425"/>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770890" cy="175260"/>
                      <wp:effectExtent l="0" t="0" r="0" b="0"/>
                      <wp:wrapNone/>
                      <wp:docPr id="426" name="Frame426"/>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19710" cy="175260"/>
                      <wp:effectExtent l="0" t="0" r="0" b="0"/>
                      <wp:wrapNone/>
                      <wp:docPr id="427"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70560" cy="175260"/>
                      <wp:effectExtent l="0" t="0" r="0" b="0"/>
                      <wp:wrapNone/>
                      <wp:docPr id="428" name="Frame428"/>
                      <a:graphic xmlns:a="http://schemas.openxmlformats.org/drawingml/2006/main">
                        <a:graphicData uri="http://schemas.microsoft.com/office/word/2010/wordprocessingShape">
                          <wps:wsp>
                            <wps:cNvSpPr txBox="1"/>
                            <wps:spPr>
                              <a:xfrm>
                                <a:off x="0" y="0"/>
                                <a:ext cx="670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29"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296035" cy="175260"/>
                      <wp:effectExtent l="0" t="0" r="0" b="0"/>
                      <wp:wrapNone/>
                      <wp:docPr id="430" name="Frame430"/>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center"/>
              <w:rPr/>
            </w:pPr>
            <w:r>
              <w:rPr/>
              <w:t>  ​ ​ ​</w:t>
            </w:r>
          </w:p>
        </w:tc>
        <w:tc>
          <w:tcPr>
            <w:tcW w:w="10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left"/>
              <w:rPr/>
            </w:pPr>
            <w:r>
              <w:rPr/>
              <w:t>  ​ ​ ​</w:t>
            </w:r>
          </w:p>
        </w:tc>
        <w:tc>
          <w:tcPr>
            <w:tcW w:w="20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Scheduled</w:t>
            </w:r>
          </w:p>
        </w:tc>
      </w:tr>
      <w:tr>
        <w:trPr/>
        <w:tc>
          <w:tcPr>
            <w:tcW w:w="3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105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Rate</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left"/>
              <w:rPr/>
            </w:pPr>
            <w:r>
              <w:rPr/>
              <w:t>  ​ ​ ​</w:t>
            </w:r>
          </w:p>
        </w:tc>
        <w:tc>
          <w:tcPr>
            <w:tcW w:w="204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Maturity Date</w:t>
            </w:r>
            <w:r>
              <w:rPr>
                <w:rFonts w:ascii="Times New Roman;Times;serif" w:hAnsi="Times New Roman;Times;serif"/>
                <w:b/>
                <w:sz w:val="12"/>
              </w:rPr>
              <w:t>(2)</w:t>
            </w:r>
          </w:p>
        </w:tc>
      </w:tr>
      <w:tr>
        <w:trPr/>
        <w:tc>
          <w:tcPr>
            <w:tcW w:w="309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Secured credit financing:</w:t>
            </w:r>
          </w:p>
        </w:tc>
        <w:tc>
          <w:tcPr>
            <w:tcW w:w="346"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5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041" w:type="dxa"/>
            <w:tcBorders/>
            <w:shd w:fill="CCEEFF" w:val="clear"/>
            <w:vAlign w:val="center"/>
          </w:tcPr>
          <w:p>
            <w:pPr>
              <w:pStyle w:val="TableContents"/>
              <w:bidi w:val="0"/>
              <w:spacing w:before="0" w:after="1"/>
              <w:ind w:left="0" w:right="0" w:hanging="0"/>
              <w:jc w:val="right"/>
              <w:rPr/>
            </w:pPr>
            <w:r>
              <w:rPr/>
              <w:t>  ​</w:t>
            </w:r>
          </w:p>
        </w:tc>
      </w:tr>
      <w:tr>
        <w:trPr/>
        <w:tc>
          <w:tcPr>
            <w:tcW w:w="30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Mortgages</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1,271,113</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1,271,113</w:t>
            </w:r>
          </w:p>
        </w:tc>
        <w:tc>
          <w:tcPr>
            <w:tcW w:w="346" w:type="dxa"/>
            <w:tcBorders/>
            <w:vAlign w:val="center"/>
          </w:tcPr>
          <w:p>
            <w:pPr>
              <w:pStyle w:val="TableContents"/>
              <w:bidi w:val="0"/>
              <w:spacing w:before="0" w:after="1"/>
              <w:ind w:left="0" w:right="0" w:hanging="0"/>
              <w:jc w:val="left"/>
              <w:rPr/>
            </w:pPr>
            <w:r>
              <w:rPr/>
              <w:t> </w:t>
            </w:r>
          </w:p>
        </w:tc>
        <w:tc>
          <w:tcPr>
            <w:tcW w:w="10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4.03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20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August 2027 to November 2069</w:t>
            </w:r>
          </w:p>
        </w:tc>
      </w:tr>
      <w:tr>
        <w:trPr/>
        <w:tc>
          <w:tcPr>
            <w:tcW w:w="309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Total secured credit financing</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1,271,113</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1,271,113</w:t>
            </w:r>
          </w:p>
        </w:tc>
        <w:tc>
          <w:tcPr>
            <w:tcW w:w="346" w:type="dxa"/>
            <w:tcBorders/>
            <w:shd w:fill="CCEEFF" w:val="clear"/>
            <w:vAlign w:val="center"/>
          </w:tcPr>
          <w:p>
            <w:pPr>
              <w:pStyle w:val="TableContents"/>
              <w:bidi w:val="0"/>
              <w:spacing w:before="0" w:after="1"/>
              <w:ind w:left="0" w:right="0" w:hanging="0"/>
              <w:jc w:val="left"/>
              <w:rPr/>
            </w:pPr>
            <w:r>
              <w:rPr/>
              <w:t> </w:t>
            </w:r>
          </w:p>
        </w:tc>
        <w:tc>
          <w:tcPr>
            <w:tcW w:w="105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041" w:type="dxa"/>
            <w:tcBorders/>
            <w:shd w:fill="CCEEFF" w:val="clear"/>
            <w:vAlign w:val="center"/>
          </w:tcPr>
          <w:p>
            <w:pPr>
              <w:pStyle w:val="TableContents"/>
              <w:bidi w:val="0"/>
              <w:spacing w:before="0" w:after="1"/>
              <w:ind w:left="0" w:right="0" w:hanging="0"/>
              <w:jc w:val="right"/>
              <w:rPr/>
            </w:pPr>
            <w:r>
              <w:rPr/>
              <w:t>  ​</w:t>
            </w:r>
          </w:p>
        </w:tc>
      </w:tr>
      <w:tr>
        <w:trPr/>
        <w:tc>
          <w:tcPr>
            <w:tcW w:w="30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Unsecured financing:</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41" w:type="dxa"/>
            <w:tcBorders/>
            <w:vAlign w:val="center"/>
          </w:tcPr>
          <w:p>
            <w:pPr>
              <w:pStyle w:val="TableContents"/>
              <w:bidi w:val="0"/>
              <w:spacing w:before="0" w:after="1"/>
              <w:ind w:left="0" w:right="0" w:hanging="0"/>
              <w:jc w:val="right"/>
              <w:rPr/>
            </w:pPr>
            <w:r>
              <w:rPr/>
              <w:t>​</w:t>
            </w:r>
          </w:p>
        </w:tc>
      </w:tr>
      <w:tr>
        <w:trPr/>
        <w:tc>
          <w:tcPr>
            <w:tcW w:w="309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2.80%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2.80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June 2031</w:t>
            </w:r>
          </w:p>
        </w:tc>
      </w:tr>
      <w:tr>
        <w:trPr/>
        <w:tc>
          <w:tcPr>
            <w:tcW w:w="30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2.85% senior notes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350,000</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350,000</w:t>
            </w:r>
          </w:p>
        </w:tc>
        <w:tc>
          <w:tcPr>
            <w:tcW w:w="346"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2.85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2032</w:t>
            </w:r>
          </w:p>
        </w:tc>
      </w:tr>
      <w:tr>
        <w:trPr/>
        <w:tc>
          <w:tcPr>
            <w:tcW w:w="309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6.10%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300,000</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300,000</w:t>
            </w:r>
          </w:p>
        </w:tc>
        <w:tc>
          <w:tcPr>
            <w:tcW w:w="346"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6.10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April 2034</w:t>
            </w:r>
          </w:p>
        </w:tc>
      </w:tr>
      <w:tr>
        <w:trPr/>
        <w:tc>
          <w:tcPr>
            <w:tcW w:w="30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5.65% senior notes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5.65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January 2035</w:t>
            </w:r>
          </w:p>
        </w:tc>
      </w:tr>
      <w:tr>
        <w:trPr/>
        <w:tc>
          <w:tcPr>
            <w:tcW w:w="309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3.98%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475,000</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475,000</w:t>
            </w:r>
          </w:p>
        </w:tc>
        <w:tc>
          <w:tcPr>
            <w:tcW w:w="346"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3.98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February 2052</w:t>
            </w:r>
          </w:p>
        </w:tc>
      </w:tr>
      <w:tr>
        <w:trPr/>
        <w:tc>
          <w:tcPr>
            <w:tcW w:w="30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5.15% senior notes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166,657</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164,478</w:t>
            </w:r>
          </w:p>
        </w:tc>
        <w:tc>
          <w:tcPr>
            <w:tcW w:w="346"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5.15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2052</w:t>
            </w:r>
          </w:p>
        </w:tc>
      </w:tr>
      <w:tr>
        <w:trPr/>
        <w:tc>
          <w:tcPr>
            <w:tcW w:w="309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6.615%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225,000</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6.615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August 2056</w:t>
            </w:r>
          </w:p>
        </w:tc>
      </w:tr>
      <w:tr>
        <w:trPr/>
        <w:tc>
          <w:tcPr>
            <w:tcW w:w="30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2024 Unsecured Revolver</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621,000</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780,000</w:t>
            </w:r>
          </w:p>
        </w:tc>
        <w:tc>
          <w:tcPr>
            <w:tcW w:w="346"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SOFR </w:t>
              <w:br/>
              <w:t>plus 0.85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2029</w:t>
            </w:r>
          </w:p>
        </w:tc>
      </w:tr>
      <w:tr>
        <w:trPr/>
        <w:tc>
          <w:tcPr>
            <w:tcW w:w="309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2025 Unsecured Term Loan</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c>
          <w:tcPr>
            <w:tcW w:w="346"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SOFR </w:t>
              <w:br/>
              <w:t>plus 0.90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20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November 2030</w:t>
            </w:r>
          </w:p>
        </w:tc>
      </w:tr>
      <w:tr>
        <w:trPr/>
        <w:tc>
          <w:tcPr>
            <w:tcW w:w="309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Trust preferred securities</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w:t>
            </w:r>
          </w:p>
        </w:tc>
        <w:tc>
          <w:tcPr>
            <w:tcW w:w="346"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Adjusted SOFR </w:t>
              <w:br/>
              <w:t>plus 1.50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0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October 2035</w:t>
            </w:r>
          </w:p>
        </w:tc>
      </w:tr>
      <w:tr>
        <w:trPr/>
        <w:tc>
          <w:tcPr>
            <w:tcW w:w="309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unsecured financing</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3,437,657</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3,369,478</w:t>
            </w:r>
          </w:p>
        </w:tc>
        <w:tc>
          <w:tcPr>
            <w:tcW w:w="346"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41" w:type="dxa"/>
            <w:tcBorders/>
            <w:shd w:fill="CCEEFF" w:val="clear"/>
            <w:vAlign w:val="center"/>
          </w:tcPr>
          <w:p>
            <w:pPr>
              <w:pStyle w:val="TableContents"/>
              <w:bidi w:val="0"/>
              <w:spacing w:before="0" w:after="1"/>
              <w:ind w:left="0" w:right="0" w:hanging="0"/>
              <w:jc w:val="center"/>
              <w:rPr/>
            </w:pPr>
            <w:r>
              <w:rPr/>
              <w:t>​</w:t>
            </w:r>
          </w:p>
        </w:tc>
      </w:tr>
      <w:tr>
        <w:trPr/>
        <w:tc>
          <w:tcPr>
            <w:tcW w:w="309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debt obligations</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4,708,770</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4,640,591</w:t>
            </w:r>
          </w:p>
        </w:tc>
        <w:tc>
          <w:tcPr>
            <w:tcW w:w="346" w:type="dxa"/>
            <w:tcBorders/>
            <w:vAlign w:val="center"/>
          </w:tcPr>
          <w:p>
            <w:pPr>
              <w:pStyle w:val="TableContents"/>
              <w:bidi w:val="0"/>
              <w:spacing w:before="0" w:after="1"/>
              <w:ind w:left="0" w:right="0" w:hanging="0"/>
              <w:jc w:val="left"/>
              <w:rPr/>
            </w:pPr>
            <w:r>
              <w:rPr/>
              <w:t> </w:t>
            </w:r>
          </w:p>
        </w:tc>
        <w:tc>
          <w:tcPr>
            <w:tcW w:w="105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041" w:type="dxa"/>
            <w:tcBorders/>
            <w:vAlign w:val="center"/>
          </w:tcPr>
          <w:p>
            <w:pPr>
              <w:pStyle w:val="TableContents"/>
              <w:bidi w:val="0"/>
              <w:spacing w:before="0" w:after="1"/>
              <w:ind w:left="0" w:right="0" w:hanging="0"/>
              <w:jc w:val="right"/>
              <w:rPr/>
            </w:pPr>
            <w:r>
              <w:rPr/>
              <w:t>  ​</w:t>
            </w:r>
          </w:p>
        </w:tc>
      </w:tr>
      <w:tr>
        <w:trPr/>
        <w:tc>
          <w:tcPr>
            <w:tcW w:w="309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Debt premium, discount and deferred financing costs, net</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(55,057)</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(54,704)</w:t>
            </w:r>
          </w:p>
        </w:tc>
        <w:tc>
          <w:tcPr>
            <w:tcW w:w="346" w:type="dxa"/>
            <w:tcBorders/>
            <w:shd w:fill="CCEEFF" w:val="clear"/>
            <w:vAlign w:val="center"/>
          </w:tcPr>
          <w:p>
            <w:pPr>
              <w:pStyle w:val="TableContents"/>
              <w:bidi w:val="0"/>
              <w:spacing w:before="0" w:after="1"/>
              <w:ind w:left="0" w:right="0" w:hanging="0"/>
              <w:jc w:val="left"/>
              <w:rPr/>
            </w:pPr>
            <w:r>
              <w:rPr/>
              <w:t> </w:t>
            </w:r>
          </w:p>
        </w:tc>
        <w:tc>
          <w:tcPr>
            <w:tcW w:w="105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041" w:type="dxa"/>
            <w:tcBorders/>
            <w:shd w:fill="CCEEFF" w:val="clear"/>
            <w:vAlign w:val="center"/>
          </w:tcPr>
          <w:p>
            <w:pPr>
              <w:pStyle w:val="TableContents"/>
              <w:bidi w:val="0"/>
              <w:spacing w:before="0" w:after="1"/>
              <w:ind w:left="0" w:right="0" w:hanging="0"/>
              <w:jc w:val="right"/>
              <w:rPr/>
            </w:pPr>
            <w:r>
              <w:rPr/>
              <w:t>  ​</w:t>
            </w:r>
          </w:p>
        </w:tc>
      </w:tr>
      <w:tr>
        <w:trPr/>
        <w:tc>
          <w:tcPr>
            <w:tcW w:w="309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debt obligations, net</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4,653,713</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4,585,887</w:t>
            </w:r>
          </w:p>
        </w:tc>
        <w:tc>
          <w:tcPr>
            <w:tcW w:w="346" w:type="dxa"/>
            <w:tcBorders/>
            <w:vAlign w:val="center"/>
          </w:tcPr>
          <w:p>
            <w:pPr>
              <w:pStyle w:val="TableContents"/>
              <w:bidi w:val="0"/>
              <w:spacing w:before="0" w:after="1"/>
              <w:ind w:left="0" w:right="0" w:hanging="0"/>
              <w:jc w:val="left"/>
              <w:rPr/>
            </w:pPr>
            <w:r>
              <w:rPr/>
              <w:t> </w:t>
            </w:r>
          </w:p>
        </w:tc>
        <w:tc>
          <w:tcPr>
            <w:tcW w:w="105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041" w:type="dxa"/>
            <w:tcBorders/>
            <w:vAlign w:val="center"/>
          </w:tcPr>
          <w:p>
            <w:pPr>
              <w:pStyle w:val="TableContents"/>
              <w:bidi w:val="0"/>
              <w:spacing w:before="0" w:after="1"/>
              <w:ind w:left="0" w:right="0" w:hanging="0"/>
              <w:jc w:val="right"/>
              <w:rPr/>
            </w:pPr>
            <w:r>
              <w:rPr/>
              <w:t>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mortgages, represents the weighted average stated interest rate over the term of the debt from funding through maturity based on the contractual payments owed excluding the effect of debt premium, discount and deferred financing costs. As of June 30, 2026, the weighted average cash interest rate for the Company’s consolidated mortgage debt, based on interest rates in effect at that date, was 3.41%. The difference between the weighted average interest rate and the weighted average cash interest rate is recorded to interest payable within “Accounts payable, accrued expenses, and other liabilities” on the Company’s consolidated balance sheets. As of June 30, 2026, the Company’s combined weighted average stated interest rate and combined weighted average cash interest rate of the Company’s consolidated mortgage debt, the mortgage debt of the Company’s unconsolidated ventures (applying the Company’s percentage interest in the ventures - refer to Note 8), unsecured senior notes, 2025 Unsecured Term Loan and trust preferred securities were 4.37%</w:t>
            </w:r>
            <w:r>
              <w:rPr>
                <w:caps w:val="false"/>
                <w:smallCaps w:val="false"/>
              </w:rPr>
              <w:t xml:space="preserve"> </w:t>
            </w:r>
            <w:r>
              <w:rPr>
                <w:rFonts w:ascii="Times New Roman;Times;serif" w:hAnsi="Times New Roman;Times;serif"/>
                <w:b w:val="false"/>
                <w:i w:val="false"/>
                <w:caps w:val="false"/>
                <w:smallCaps w:val="false"/>
                <w:sz w:val="16"/>
              </w:rPr>
              <w:t xml:space="preserve">and 3.91%, respectively. </w:t>
            </w:r>
          </w:p>
        </w:tc>
      </w:tr>
    </w:tbl>
    <w:tbl>
      <w:tblPr>
        <w:tblW w:w="4772" w:type="dxa"/>
        <w:jc w:val="left"/>
        <w:tblInd w:w="0" w:type="dxa"/>
        <w:tblLayout w:type="fixed"/>
        <w:tblCellMar>
          <w:top w:w="0" w:type="dxa"/>
          <w:left w:w="0" w:type="dxa"/>
          <w:bottom w:w="0" w:type="dxa"/>
          <w:right w:w="0" w:type="dxa"/>
        </w:tblCellMar>
      </w:tblPr>
      <w:tblGrid>
        <w:gridCol w:w="331"/>
        <w:gridCol w:w="44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4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extended maturity date for all debt obligations.</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8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$1.9</w:t>
            </w:r>
            <w:r>
              <w:rPr>
                <w:caps w:val="false"/>
                <w:smallCaps w:val="false"/>
              </w:rPr>
              <w:t> </w:t>
            </w:r>
            <w:r>
              <w:rPr>
                <w:rFonts w:ascii="Times New Roman;Times;serif" w:hAnsi="Times New Roman;Times;serif"/>
                <w:b w:val="false"/>
                <w:i w:val="false"/>
                <w:caps w:val="false"/>
                <w:smallCaps w:val="false"/>
                <w:sz w:val="16"/>
              </w:rPr>
              <w:t>billion of real estate, at cost, net investment in sales-type leases and Ground Lease receivables served as collateral for the Company’s debt obligations.</w:t>
            </w:r>
          </w:p>
        </w:tc>
      </w:tr>
    </w:tbl>
    <w:p>
      <w:pPr>
        <w:pStyle w:val="TextBody"/>
        <w:bidi w:val="0"/>
        <w:spacing w:before="0" w:after="0"/>
        <w:ind w:left="36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Mortgages</w:t>
      </w:r>
      <w:r>
        <w:rPr>
          <w:rFonts w:ascii="Times New Roman;Times;serif" w:hAnsi="Times New Roman;Times;serif"/>
          <w:sz w:val="20"/>
        </w:rPr>
        <w:t xml:space="preserve">—Mortgages consist of asset specific non-recourse borrowings that are secured by the Company’s real estate and Ground Leases. As of June 30, 2026, the Company’s mortgages are full term interest only, bear interest at a weighted average interest rate of 4.03% and have maturities between August 2027 and November 2069.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Unsecured Notes</w:t>
      </w:r>
      <w:r>
        <w:rPr>
          <w:rFonts w:ascii="Times New Roman;Times;serif" w:hAnsi="Times New Roman;Times;serif"/>
          <w:sz w:val="20"/>
        </w:rPr>
        <w:t xml:space="preserve">—In May 2021, Portfolio Holdings, then known as Safehold Operating Partnership LP, (as issuer) and the Company (as guarantor), issued $400.0 million aggregate principal amount of 2.80% senior notes due June 2031 (the “2.80% Notes”). The 2.80% Notes were issued at 99.127% of par. The Company may redeem the 2.80% Notes in whole at any time or in part from time to time prior to March 15, 2031, at the Company’s option and sole discretion, at a redemption price equal to the greater of: (i) 100% of the principal amount of the 2.80% Notes being redeemed; and (ii) a make-whole premium calculated in accordance with the indenture, plus, in each case, accrued and unpaid interest thereon to, but not including, the applicable redemption date. If the 2.80% Notes are redeemed on or after March 15, 2031,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redemption price will be equal to 100% of the principal amount of the 2.80% Notes being redeemed, plus accrued and unpaid interest thereon to, but not including, the applicable redemption date.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November 2021, Portfolio Holdings, then known as Safehold Operating Partnership LP, (as issuer) and the Company (as guarantor), issued $350.0 million aggregate principal amount of 2.85% senior notes due January 2032 (the “2.85% Notes”). The 2.85% Notes were issued at 99.123% of par. The Company may redeem the 2.85% Notes in whole at any time or in part from time to time prior to October 15, 2031, at the Company’s option and sole discretion, at a redemption price equal to the greater of: (i) 100% of the principal amount of the 2.85% Notes being redeemed; and (ii) a make-whole premium calculated in accordance with the indenture, plus, in each case, accrued and unpaid interest thereon to, but not including, the applicable redemption date. If the 2.85% Notes are redeemed on or after October 15, 2031, the redemption price will be equal to 100% of the principal amount of the 2.85% Notes being redeemed, plus accrued and unpaid interest thereon to, but not including, the applicable redemption date.</w:t>
      </w:r>
    </w:p>
    <w:p>
      <w:pPr>
        <w:pStyle w:val="TextBody"/>
        <w:bidi w:val="0"/>
        <w:spacing w:before="0" w:after="0"/>
        <w:ind w:left="0" w:right="0" w:firstLine="81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January 2022, Portfolio Holdings, then known as Safehold Operating Partnership LP, (as issuer) and the Company (as guarantor), issued $475.0 million aggregate principal amount of privately-placed 3.98% senior notes due February 2052 (the “3.98% Notes”). </w:t>
      </w:r>
      <w:r>
        <w:rPr>
          <w:rFonts w:ascii="Times New Roman;Times;serif" w:hAnsi="Times New Roman;Times;serif"/>
          <w:sz w:val="20"/>
          <w:shd w:fill="FFFFFF" w:val="clear"/>
        </w:rPr>
        <w:t>Safehold Operating Partnership LP elected to draw these funds in March 2022.</w:t>
      </w:r>
      <w:r>
        <w:rPr>
          <w:rFonts w:ascii="Times New Roman;Times;serif" w:hAnsi="Times New Roman;Times;serif"/>
          <w:sz w:val="20"/>
        </w:rPr>
        <w:t xml:space="preserve"> The Company may, at its option, prepay at any time all, or from time to time any part of, the 3.98% Notes, in an amount not less than 5% of the aggregate principal amount of the 3.98% Notes then outstanding in the case of a partial prepayment, at 100% of the principal amount so prepaid, and the applicable make-whole amount calculated in accordance with the indenture, for such tranche determined for the prepayment date with respect to such principal amount; provided, that, so long as no default or event of default shall then exist, at any time on or after November 15, 2051, the Company may, at its option, prepay all or any part of the 3.98% Notes at 100% of the principal amount so prepaid, together with, in each case, accrued interest to the prepayment date, without any make-whole amount.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May 2022, Portfolio Holdings, then known as Safehold Operating Partnership LP, (as issuer) and the Company (as guarantor), issued $150.0 million aggregate principal amount of privately-placed 5.15% senior notes due May 2052 (the “5.15% Notes”). The structure of the 5.15% Notes features a stairstep coupon rate in which the Company will pay cash interest at a rate of 2.50% in years 1 through 10, 3.75% in years 11 through 20, and 5.15% in years 21 through 30. The difference between the 5.15% stated rate and the cash interest rate will accrue in each semi-annual payment period and be paid in kind by adding such accrued interest to the outstanding principal balance, to be repaid at maturity in May 2052. The Company may, at its option, prepay at any time all, or from time to time any part of, the 5.15% Notes, in an amount not less than 5% of the aggregate principal amount of the 5.15% Notes then outstanding in the case of a partial prepayment, at 100% of the principal amount so prepaid, and the applicable make-whole amount calculated in accordance with the indenture; provided, that, so long as no default or event of default shall then exist, at any time on or after February 13, 2052, the Company may, at its option, prepay all or any part of the 5.15% Notes at 100% of the principal amount so prepaid, together with, in each case, accrued interest to the prepayment date, without any make-whole amount.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February 2024, Portfolio Holdings (as issuer) and the Company (as guarantor) issued $300.0 million aggregate principal amount of 6.10% senior notes due April 2034 (the “6.10% Notes”). The 6.10% Notes were issued at 98.957% of the principal amount. The Company may redeem the 6.10% Notes in whole at any time or in part from time to time prior to January 1, 2034, at the Company’s option and sole discretion, at a redemption price equal to the greater of: (i) 100% of the principal amount of the 6.10% Notes being redeemed; and (ii) a make-whole premium calculated in accordance with the indenture, plus, in each case, accrued and unpaid interest thereon to, but not including, the applicable redemption date. If the 6.10% Notes are redeemed on or after January 1, 2034, the redemption price will be equal to 100% of the principal amount of the 6.10% Notes being redeemed, plus accrued and unpaid interest thereon to, but not including, the applicable redemption date.</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In November 2024, Portfolio Holdings (as issuer) and the Company (as guarantor) issued $</w:t>
      </w:r>
      <w:r>
        <w:rPr>
          <w:rFonts w:ascii="Times New Roman;Times;serif" w:hAnsi="Times New Roman;Times;serif"/>
          <w:sz w:val="20"/>
        </w:rPr>
        <w:t>400.0</w:t>
      </w:r>
      <w:r>
        <w:rPr>
          <w:rFonts w:ascii="Times New Roman;Times;serif" w:hAnsi="Times New Roman;Times;serif"/>
          <w:sz w:val="20"/>
          <w:shd w:fill="FFFFFF" w:val="clear"/>
        </w:rPr>
        <w:t> million aggregate principal amount of </w:t>
      </w:r>
      <w:r>
        <w:rPr>
          <w:rFonts w:ascii="Times New Roman;Times;serif" w:hAnsi="Times New Roman;Times;serif"/>
          <w:sz w:val="20"/>
        </w:rPr>
        <w:t>5.65%</w:t>
      </w:r>
      <w:r>
        <w:rPr>
          <w:rFonts w:ascii="Times New Roman;Times;serif" w:hAnsi="Times New Roman;Times;serif"/>
          <w:sz w:val="20"/>
          <w:shd w:fill="FFFFFF" w:val="clear"/>
        </w:rPr>
        <w:t xml:space="preserve"> senior notes due January 2035 (the “</w:t>
      </w:r>
      <w:r>
        <w:rPr>
          <w:rFonts w:ascii="Times New Roman;Times;serif" w:hAnsi="Times New Roman;Times;serif"/>
          <w:sz w:val="20"/>
        </w:rPr>
        <w:t>5.65%</w:t>
      </w:r>
      <w:r>
        <w:rPr>
          <w:rFonts w:ascii="Times New Roman;Times;serif" w:hAnsi="Times New Roman;Times;serif"/>
          <w:sz w:val="20"/>
          <w:shd w:fill="FFFFFF" w:val="clear"/>
        </w:rPr>
        <w:t xml:space="preserve"> Notes”). The </w:t>
      </w:r>
      <w:r>
        <w:rPr>
          <w:rFonts w:ascii="Times New Roman;Times;serif" w:hAnsi="Times New Roman;Times;serif"/>
          <w:sz w:val="20"/>
        </w:rPr>
        <w:t>5.65%</w:t>
      </w:r>
      <w:r>
        <w:rPr>
          <w:rFonts w:ascii="Times New Roman;Times;serif" w:hAnsi="Times New Roman;Times;serif"/>
          <w:sz w:val="20"/>
          <w:shd w:fill="FFFFFF" w:val="clear"/>
        </w:rPr>
        <w:t xml:space="preserve"> Notes were issued at </w:t>
      </w:r>
      <w:r>
        <w:rPr>
          <w:rFonts w:ascii="Times New Roman;Times;serif" w:hAnsi="Times New Roman;Times;serif"/>
          <w:sz w:val="20"/>
        </w:rPr>
        <w:t>98.812%</w:t>
      </w:r>
      <w:r>
        <w:rPr>
          <w:rFonts w:ascii="Times New Roman;Times;serif" w:hAnsi="Times New Roman;Times;serif"/>
          <w:sz w:val="20"/>
          <w:shd w:fill="FFFFFF" w:val="clear"/>
        </w:rPr>
        <w:t xml:space="preserve"> of the principal amount. The Company may redeem the </w:t>
      </w:r>
      <w:r>
        <w:rPr>
          <w:rFonts w:ascii="Times New Roman;Times;serif" w:hAnsi="Times New Roman;Times;serif"/>
          <w:sz w:val="20"/>
        </w:rPr>
        <w:t>5.65%</w:t>
      </w:r>
      <w:r>
        <w:rPr>
          <w:rFonts w:ascii="Times New Roman;Times;serif" w:hAnsi="Times New Roman;Times;serif"/>
          <w:sz w:val="20"/>
          <w:shd w:fill="FFFFFF" w:val="clear"/>
        </w:rPr>
        <w:t xml:space="preserve"> Notes in whole at any time or in part from time to time prior to October 15, 2034, at the Company’s option and sole discretion, at a redemption price equal to the greater of: (i) </w:t>
      </w:r>
      <w:r>
        <w:rPr>
          <w:rFonts w:ascii="Times New Roman;Times;serif" w:hAnsi="Times New Roman;Times;serif"/>
          <w:sz w:val="20"/>
        </w:rPr>
        <w:t>100%</w:t>
      </w:r>
      <w:r>
        <w:rPr>
          <w:rFonts w:ascii="Times New Roman;Times;serif" w:hAnsi="Times New Roman;Times;serif"/>
          <w:sz w:val="20"/>
          <w:shd w:fill="FFFFFF" w:val="clear"/>
        </w:rPr>
        <w:t xml:space="preserve"> of the principal amount of the </w:t>
      </w:r>
      <w:r>
        <w:rPr>
          <w:rFonts w:ascii="Times New Roman;Times;serif" w:hAnsi="Times New Roman;Times;serif"/>
          <w:sz w:val="20"/>
        </w:rPr>
        <w:t>5.65%</w:t>
      </w:r>
      <w:r>
        <w:rPr>
          <w:rFonts w:ascii="Times New Roman;Times;serif" w:hAnsi="Times New Roman;Times;serif"/>
          <w:sz w:val="20"/>
          <w:shd w:fill="FFFFFF" w:val="clear"/>
        </w:rPr>
        <w:t xml:space="preserve"> Notes being redeemed; and (ii) a make-whole premium calculated in accordance with the indenture, plus, in each case, accrued and unpaid interest thereon to, but not including, the applicable redemption date. If the </w:t>
      </w:r>
      <w:r>
        <w:rPr>
          <w:rFonts w:ascii="Times New Roman;Times;serif" w:hAnsi="Times New Roman;Times;serif"/>
          <w:sz w:val="20"/>
        </w:rPr>
        <w:t>5.65%</w:t>
      </w:r>
      <w:r>
        <w:rPr>
          <w:rFonts w:ascii="Times New Roman;Times;serif" w:hAnsi="Times New Roman;Times;serif"/>
          <w:sz w:val="20"/>
          <w:shd w:fill="FFFFFF" w:val="clear"/>
        </w:rPr>
        <w:t xml:space="preserve"> Notes are redeemed on or after October 15, 2034, the redemption price will be equal to </w:t>
      </w:r>
      <w:r>
        <w:rPr>
          <w:rFonts w:ascii="Times New Roman;Times;serif" w:hAnsi="Times New Roman;Times;serif"/>
          <w:sz w:val="20"/>
        </w:rPr>
        <w:t>100%</w:t>
      </w:r>
      <w:r>
        <w:rPr>
          <w:rFonts w:ascii="Times New Roman;Times;serif" w:hAnsi="Times New Roman;Times;serif"/>
          <w:sz w:val="20"/>
          <w:shd w:fill="FFFFFF" w:val="clear"/>
        </w:rPr>
        <w:t xml:space="preserve"> of the principal amount of the </w:t>
      </w:r>
      <w:r>
        <w:rPr>
          <w:rFonts w:ascii="Times New Roman;Times;serif" w:hAnsi="Times New Roman;Times;serif"/>
          <w:sz w:val="20"/>
        </w:rPr>
        <w:t>5.65%</w:t>
      </w:r>
      <w:r>
        <w:rPr>
          <w:rFonts w:ascii="Times New Roman;Times;serif" w:hAnsi="Times New Roman;Times;serif"/>
          <w:sz w:val="20"/>
          <w:shd w:fill="FFFFFF" w:val="clear"/>
        </w:rPr>
        <w:t xml:space="preserve"> Notes being redeemed, plus accrued and unpaid interest thereon to, but not including, the applicable redemption date.</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June 2026, Portfolio Holdings (as issuer) and the Company (as guarantor) issued $225.0 million aggregate principal amount of privately-placed 6.615% senior notes due August 2056 (the “6.615% Notes”). The structure of the 6.615% Notes features a stairstep coupon rate in which the Company will pay cash interest at a rate of 4.00% in years one through four, 4.50% in years five through eight, 5.00% in years nine through 12, 5.50% in years 13 through 16, 6.00% in years 17 through 20 and 6.615% in years 21 through 30. The difference between the 6.615% stated rate and the cash interest rate will accrue in each semi-annual payment period and be paid in kind by adding such accrued interest to the outstanding principal balance, to be repaid at maturity in August 2056. The Company may, at its option, prepay at any time all, or from time to time any part of, the 6.615% Notes, in an amount not less than 5% of the aggregate principal amount of the 6.615% Notes then outstanding in the case of a partial prepayment, at 100% of the principal amount so prepaid, and the applicable make-whole amount calculated in accordance with the indenture; provided, that, so long as no default or event of default shall then exist, at any time on or after May 3, 2056, the Company may, at its option, prepay all or any part of the 6.615% Notes at 100% of the principal amount so prepaid, together with, in each case, accrued interest to the prepayment date, without any make-whole amount.</w:t>
      </w:r>
    </w:p>
    <w:p>
      <w:pPr>
        <w:pStyle w:val="TextBody"/>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2024 Unsecured Revolver</w:t>
      </w:r>
      <w:r>
        <w:rPr>
          <w:rFonts w:ascii="Times New Roman;Times;serif" w:hAnsi="Times New Roman;Times;serif"/>
          <w:sz w:val="20"/>
        </w:rPr>
        <w:t xml:space="preserve">—In April 2024, the Company entered into a $2.0 billion unsecured revolving credit facility (the “2024 Unsecured Revolver”). At the time, $916 million of existing indebtedness was drawn on then existing unsecured credit facilities, all of which rolled over into the 2024 Unsecured Revolver. The 2024 Unsecured Revolver has an extended maturity date of May 1, 2029, which includes two six-month extension options. On September 12, 2025, the Company entered into an amendment to the 2024 Unsecured Revolver that modified the applicable interest rate thereunder by removing the credit spread adjustment to SOFR. As a result of that amendment, the 2024 Unsecured Revolver has a borrowing rate of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rPr>
        <w:t xml:space="preserve"> plus 0.85%, subject to the Company’s credit ratings. The Company also pays a facility fee of 0.10%, subject to the Company’s credit ratings. As of June 30, 2026, there was $1.4 billion of undrawn capacity on the 2024 Unsecured Revolver.</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2025 Unsecured Term Loan</w:t>
      </w:r>
      <w:r>
        <w:rPr>
          <w:rFonts w:ascii="Times New Roman;Times;serif" w:hAnsi="Times New Roman;Times;serif"/>
          <w:sz w:val="20"/>
        </w:rPr>
        <w:t xml:space="preserve">—In November 2025, the Company entered into a $400.0 million unsecured term loan (the “2025 Unsecured Term Loan”). </w:t>
      </w:r>
      <w:r>
        <w:rPr>
          <w:rFonts w:ascii="Times New Roman;Times;serif" w:hAnsi="Times New Roman;Times;serif"/>
          <w:sz w:val="20"/>
          <w:shd w:fill="FFFFFF" w:val="clear"/>
        </w:rPr>
        <w:t xml:space="preserve">The 2025 Unsecured Term Loan has an extended maturity date of November 15, 2030, inclusive of two one-year extension options. The 2025 Unsecured Term Loan has a borrowing rate of SOFR plus 0.90%, </w:t>
      </w:r>
      <w:r>
        <w:rPr>
          <w:rFonts w:ascii="Times New Roman;Times;serif" w:hAnsi="Times New Roman;Times;serif"/>
          <w:sz w:val="20"/>
        </w:rPr>
        <w:t>subject to the Company’s credit ratings.</w:t>
      </w:r>
      <w:r>
        <w:rPr>
          <w:rFonts w:ascii="Times New Roman;Times;serif" w:hAnsi="Times New Roman;Times;serif"/>
          <w:sz w:val="20"/>
          <w:shd w:fill="FFFFFF" w:val="clear"/>
        </w:rPr>
        <w:t xml:space="preserve"> </w:t>
      </w:r>
      <w:r>
        <w:rPr>
          <w:rFonts w:ascii="Times New Roman;Times;serif" w:hAnsi="Times New Roman;Times;serif"/>
          <w:sz w:val="20"/>
        </w:rPr>
        <w:t>The 2025 Unsecured Term Loan also includes an accordion feature to increase the loan up to a maximum amount of $600.0 million, subject to certain conditions.</w:t>
      </w:r>
    </w:p>
    <w:p>
      <w:pPr>
        <w:pStyle w:val="TextBody"/>
        <w:shd w:fill="FFFFFF" w:val="clear"/>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Trust Preferred Securities</w:t>
      </w:r>
      <w:r>
        <w:rPr>
          <w:rFonts w:ascii="Times New Roman;Times;serif" w:hAnsi="Times New Roman;Times;serif"/>
          <w:sz w:val="20"/>
        </w:rPr>
        <w:t xml:space="preserve">—The Company assumed trust preferred securities from iStar in connection with the Merger. The trust preferred securities bear interest at </w:t>
      </w:r>
      <w:r>
        <w:rPr>
          <w:rFonts w:ascii="Times New Roman;Times;serif" w:hAnsi="Times New Roman;Times;serif"/>
          <w:sz w:val="20"/>
          <w:shd w:fill="FFFFFF" w:val="clear"/>
        </w:rPr>
        <w:t xml:space="preserve">three-month Adjusted Term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shd w:fill="FFFFFF" w:val="clear"/>
        </w:rPr>
        <w:t xml:space="preserve"> plus 1.50% and mature in October 2035.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Commercial Paper Program</w:t>
      </w:r>
      <w:r>
        <w:rPr>
          <w:rFonts w:ascii="Times New Roman;Times;serif" w:hAnsi="Times New Roman;Times;serif"/>
          <w:sz w:val="20"/>
        </w:rPr>
        <w:t>— In June 2024, Portfolio Holdings, as issuer, entered into a new U.S. commercial paper program (the “Commercial Paper Program”) on a private placement basis, pursuant to which the Company may issue up to $750.0 million of short-term, unsecured commercial paper notes outstanding at any time, which are guaranteed by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551" w:name="Tc_y13qfbL240CFFiUwKMj-ww_10_8"/>
      <w:bookmarkStart w:id="1552" w:name="Tc_ky-D6OOpW06Xc8uEPVtsAA_10_5"/>
      <w:bookmarkStart w:id="1553" w:name="Tc_KTvJNk72aU-ornr5pyp2-A_10_2"/>
      <w:bookmarkStart w:id="1554" w:name="Tc_oIWLwgtBSEixv_qXEF4X7g_10_0"/>
      <w:bookmarkStart w:id="1555" w:name="Tc_zC0o1aLpD0OV1ZSANC3T7g_9_0"/>
      <w:bookmarkStart w:id="1556" w:name="Tc_N0I5cV_rNEanPq_pVJt1ZQ_8_0"/>
      <w:bookmarkStart w:id="1557" w:name="Tc_D6T14F8YikmGlLweiOPXUg_7_0"/>
      <w:bookmarkStart w:id="1558" w:name="Tc_hO3ICN3CCEWV3CiIZNlbIA_6_3"/>
      <w:bookmarkStart w:id="1559" w:name="Tc_ejk0bVoD8U-HacsoXxJnlA_6_0"/>
      <w:bookmarkStart w:id="1560" w:name="Tc_HBnoSd3ZwESZyFCQGAkpXw_5_3"/>
      <w:bookmarkStart w:id="1561" w:name="Tc_v8jhepN23U6Jr7rS5obK-w_5_0"/>
      <w:bookmarkStart w:id="1562" w:name="Tc_hsNSvQZjnUymuQeUW0rw6Q_4_6"/>
      <w:bookmarkStart w:id="1563" w:name="Tc_vO7-ilI9wEK7rVUezk9ziw_4_0"/>
      <w:bookmarkStart w:id="1564" w:name="Tc_WwVRRU0x-0KWcHNYj3CILA_3_6"/>
      <w:bookmarkStart w:id="1565" w:name="Tc_BswFvANHckCFB5b0FcNjjA_3_0"/>
      <w:bookmarkStart w:id="1566" w:name="Tc_crjNdZY59EaxLyGV3l8ttQ_2_9"/>
      <w:bookmarkStart w:id="1567" w:name="Tc_5K33Nt0McUWPSl3x63vGBA_2_8"/>
      <w:bookmarkStart w:id="1568" w:name="Tc_EibreGwSoEqnLOuUM89IFQ_2_6"/>
      <w:bookmarkStart w:id="1569" w:name="Tc_y2A96Ch9fkS14Jr5iOL_Tg_2_5"/>
      <w:bookmarkStart w:id="1570" w:name="Tc_3hq62Nh7B0CwGUNrZDoTzQ_2_3"/>
      <w:bookmarkStart w:id="1571" w:name="Tc_pzAZJ5-GskqnX6Ze8ttA3A_2_2"/>
      <w:bookmarkStart w:id="1572" w:name="Tc_c7JjkDKuj0mMMnsX1AibHA_2_0"/>
      <w:bookmarkStart w:id="1573" w:name="Tc_GKJKaEIeWUuVV32fjbYrWA_1_8"/>
      <w:bookmarkStart w:id="1574" w:name="Tc_pg6iQRD_6EO5X7OVpFfT9A_1_5"/>
      <w:bookmarkStart w:id="1575" w:name="Tc_OP7gorj6oEOtvlxhrFU6ow_1_2"/>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r>
        <w:rPr>
          <w:rFonts w:ascii="Times New Roman;Times;serif" w:hAnsi="Times New Roman;Times;serif"/>
          <w:sz w:val="20"/>
        </w:rPr>
        <w:t>Under the Commercial Paper Program, the Company may issue the commercial paper notes from time to time and will use the proceeds for general corporate purposes. The Commercial Paper Program is backed by the Company’s 2024 Unsecured Revolver. The commercial paper notes will be sold under customary terms in the commercial paper market and will rank pari passu with all of Portfolio Holding’s other unsecured senior indebtedness. The interest rates will vary based on the ratings assigned to the commercial paper notes by credit rating agencies and market conditions at the time of issuance. As of June 30, 2026, the Company had no outstanding balance under the Commercial Paper Program. Borrowings reduce amounts otherwise available under the 2024 Unsecured Revolver.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documents governing the Commercial Paper Program contain customary representations, warranties, covenants, defaults and indemnification provisions, and provide the terms under which the Notes will be sold pursuant to an exemption from the federal and state securities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Debt Covenants</w:t>
      </w:r>
      <w:r>
        <w:rPr>
          <w:rFonts w:ascii="Times New Roman;Times;serif" w:hAnsi="Times New Roman;Times;serif"/>
          <w:sz w:val="20"/>
        </w:rPr>
        <w:t>—The Company is subject to financial covenants under the 2024 Unsecured Revolver and the 2025 Unsecured Term Loan, including maintaining: (i) a ratio of total unencumbered assets to total unsecured debt of at least 1.25x; (ii) a consolidated fixed charge coverage ratio of at least 1.15x, as such terms are defined in the documents governing the 2024 Unsecured Revolver and 2025 Unsecured Term Loan, as applicable; and (iii) limiting the incurrence of any secured debt that would cause the Company’s secured debt to total assets ratio to exceed 50%. In addition, the 2024 Unsecured Revolver and 2025 Unsecured Term Loan contain customary affirmative and negative covenants. Among other things, these covenants may restrict the Company or certain of its subsidiaries’ ability to incur additional debt or liens, engage in certain mergers, consolidations and other fundamental changes, make other investments or pay dividends. The Company’s 2.80% Notes, 2.85% Notes, 3.98% Notes, 5.15% Notes, 6.10% Notes, 5.65% Notes and 6.615% Notes are subject to a financial covenant requiring a ratio of unencumbered assets to unsecured debt of at least 1.25x and contain customary affirmative and negative covenants. The Company’s 6.10% Notes, 5.65% Notes and 6.615% Notes are also subject to a financial covenant limiting the incurrence of any secured debt that would cause the Company’s secured debt to total assets ratio to exceed 50%. The Company’s 3.98% Notes, 5.15% Notes and 6.615% Notes contain a provision whereby they will be deemed to include additional financial covenants and negative covenants to the extent such covenants are incorporated into Portfolio Holdings’ and/or the Company’s existing or future material credit facilities, including the 2024 Unsecured Revolver, and to the extent such covenants are more favorable to the lenders under such material credit facilities than the covenants contained in the 3.98% Notes, 5.15% Notes and 6.615% Notes. The Company’s mortgages contain no significant maintenance or ongoing financial covenants. As of June 30, 2026, the Company was in compliance with all of its financial covenants.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Future Scheduled Maturities</w:t>
      </w:r>
      <w:r>
        <w:rPr>
          <w:rFonts w:ascii="Times New Roman;Times;serif" w:hAnsi="Times New Roman;Times;serif"/>
          <w:sz w:val="20"/>
        </w:rPr>
        <w:t xml:space="preserve">—As of June 30, 2026, future scheduled maturities of outstanding debt obligations, assuming all extensions that can be exercised at the Company’s option, are as follows ($ in thousands): </w:t>
      </w:r>
    </w:p>
    <w:p>
      <w:pPr>
        <w:pStyle w:val="TextBody"/>
        <w:bidi w:val="0"/>
        <w:spacing w:before="0" w:after="0"/>
        <w:ind w:left="0" w:right="0" w:hanging="0"/>
        <w:jc w:val="left"/>
        <w:rPr/>
      </w:pPr>
      <w:r>
        <w:rPr/>
        <w:t>​</w:t>
      </w:r>
    </w:p>
    <w:tbl>
      <w:tblPr>
        <w:tblW w:w="9320" w:type="dxa"/>
        <w:jc w:val="left"/>
        <w:tblInd w:w="0" w:type="dxa"/>
        <w:tblLayout w:type="fixed"/>
        <w:tblCellMar>
          <w:top w:w="0" w:type="dxa"/>
          <w:left w:w="0" w:type="dxa"/>
          <w:bottom w:w="0" w:type="dxa"/>
          <w:right w:w="0" w:type="dxa"/>
        </w:tblCellMar>
      </w:tblPr>
      <w:tblGrid>
        <w:gridCol w:w="4741"/>
        <w:gridCol w:w="346"/>
        <w:gridCol w:w="211"/>
        <w:gridCol w:w="931"/>
        <w:gridCol w:w="346"/>
        <w:gridCol w:w="211"/>
        <w:gridCol w:w="931"/>
        <w:gridCol w:w="346"/>
        <w:gridCol w:w="211"/>
        <w:gridCol w:w="1046"/>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3010535" cy="175260"/>
                      <wp:effectExtent l="0" t="0" r="0" b="0"/>
                      <wp:wrapNone/>
                      <wp:docPr id="431" name="Frame431"/>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19710" cy="175260"/>
                      <wp:effectExtent l="0" t="0" r="0" b="0"/>
                      <wp:wrapNone/>
                      <wp:docPr id="432"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433"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91185" cy="175260"/>
                      <wp:effectExtent l="0" t="0" r="0" b="0"/>
                      <wp:wrapNone/>
                      <wp:docPr id="434" name="Frame4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35"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36"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591185" cy="175260"/>
                      <wp:effectExtent l="0" t="0" r="0" b="0"/>
                      <wp:wrapNone/>
                      <wp:docPr id="437" name="Frame4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3985" cy="175260"/>
                      <wp:effectExtent l="0" t="0" r="0" b="0"/>
                      <wp:wrapNone/>
                      <wp:docPr id="439"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64210" cy="175260"/>
                      <wp:effectExtent l="0" t="0" r="0" b="0"/>
                      <wp:wrapNone/>
                      <wp:docPr id="440" name="Frame440"/>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b/>
                <w:sz w:val="20"/>
              </w:rPr>
              <w:t>Secured</w:t>
            </w:r>
            <w:r>
              <w:rPr>
                <w:rFonts w:ascii="Times New Roman;Times;serif" w:hAnsi="Times New Roman;Times;serif"/>
                <w:b/>
                <w:sz w:val="15"/>
              </w:rPr>
              <w:t>(1)</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Unsecured</w:t>
            </w:r>
          </w:p>
        </w:tc>
        <w:tc>
          <w:tcPr>
            <w:tcW w:w="346" w:type="dxa"/>
            <w:tcBorders/>
            <w:vAlign w:val="center"/>
          </w:tcPr>
          <w:p>
            <w:pPr>
              <w:pStyle w:val="TableContents"/>
              <w:bidi w:val="0"/>
              <w:spacing w:before="0" w:after="1"/>
              <w:ind w:left="0" w:right="0" w:hanging="0"/>
              <w:jc w:val="left"/>
              <w:rPr/>
            </w:pPr>
            <w:r>
              <w:rPr/>
              <w:t>​</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1"/>
              <w:ind w:left="0" w:right="0" w:hanging="0"/>
              <w:jc w:val="right"/>
              <w:rPr/>
            </w:pPr>
            <w:r>
              <w:rPr/>
              <w:t>—</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79,193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79,193</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621,000</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1,181,920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2,416,657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3,598,577</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principal maturities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1,271,113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3,437,657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4,708,770</w:t>
            </w:r>
          </w:p>
        </w:tc>
      </w:tr>
      <w:tr>
        <w:trPr/>
        <w:tc>
          <w:tcPr>
            <w:tcW w:w="4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premium, discount and deferred financing costs,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(25,379)</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(55,057)</w:t>
            </w:r>
          </w:p>
        </w:tc>
      </w:tr>
      <w:tr>
        <w:trPr/>
        <w:tc>
          <w:tcPr>
            <w:tcW w:w="4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obligations,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1,245,734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3,407,979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4,653,713</w:t>
            </w:r>
          </w:p>
        </w:tc>
      </w:tr>
    </w:tbl>
    <w:tbl>
      <w:tblPr>
        <w:tblW w:w="7892" w:type="dxa"/>
        <w:jc w:val="left"/>
        <w:tblInd w:w="0" w:type="dxa"/>
        <w:tblLayout w:type="fixed"/>
        <w:tblCellMar>
          <w:top w:w="0" w:type="dxa"/>
          <w:left w:w="0" w:type="dxa"/>
          <w:bottom w:w="0" w:type="dxa"/>
          <w:right w:w="0" w:type="dxa"/>
        </w:tblCellMar>
      </w:tblPr>
      <w:tblGrid>
        <w:gridCol w:w="331"/>
        <w:gridCol w:w="756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756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Company’s weighted average maturity for its secured mortgages was 29.3</w:t>
            </w:r>
            <w:r>
              <w:rPr>
                <w:caps w:val="false"/>
                <w:smallCaps w:val="false"/>
              </w:rPr>
              <w:t> </w:t>
            </w:r>
            <w:r>
              <w:rPr>
                <w:rFonts w:ascii="Times New Roman;Times;serif" w:hAnsi="Times New Roman;Times;serif"/>
                <w:b w:val="false"/>
                <w:i w:val="false"/>
                <w:caps w:val="false"/>
                <w:smallCaps w:val="false"/>
                <w:sz w:val="16"/>
              </w:rPr>
              <w:t>years.</w:t>
            </w:r>
            <w:r>
              <w:rPr>
                <w:caps w:val="false"/>
                <w:smallCaps w:val="false"/>
              </w:rPr>
              <w:t xml:space="preser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76" w:name="Tc_aKNtcJDGiEOPR7qH7P8PQQ_9_2"/>
      <w:bookmarkStart w:id="1577" w:name="Tc_YpvhjxI6tkS5zLERfQKIWw_9_0"/>
      <w:bookmarkStart w:id="1578" w:name="Tc_jT3MJ-dW_UiYCx0Pr206lA_8_0"/>
      <w:bookmarkStart w:id="1579" w:name="Tc_uut9ngPv50yatknpMAJdQQ_7_0"/>
      <w:bookmarkStart w:id="1580" w:name="Tc_sMrjJ6keekC9G8ZAfOqwgA_6_0"/>
      <w:bookmarkStart w:id="1581" w:name="Tc_YUnioMXTvUaXINHpsxIzWw_5_0"/>
      <w:bookmarkStart w:id="1582" w:name="Tc_sSmu37WC2E2GLEcWQyoitw_4_0"/>
      <w:bookmarkStart w:id="1583" w:name="Tc_0INoE5vUwE2N_UQ7YnisnQ_3_0"/>
      <w:bookmarkStart w:id="1584" w:name="Tc_Mow1q4pBrUKmYYWbNSUCkw_2_0"/>
      <w:bookmarkStart w:id="1585" w:name="Tc_oV28mlPlZkOrTCQlhJh9JQ_1_2"/>
      <w:bookmarkStart w:id="1586" w:name="Tc_4IEIzu8c_kyTZVOC62xaZw_1_0"/>
      <w:bookmarkStart w:id="1587" w:name="_73aed27d_f4d4_4eac_b5d3_74923c868640"/>
      <w:bookmarkEnd w:id="1576"/>
      <w:bookmarkEnd w:id="1577"/>
      <w:bookmarkEnd w:id="1578"/>
      <w:bookmarkEnd w:id="1579"/>
      <w:bookmarkEnd w:id="1580"/>
      <w:bookmarkEnd w:id="1581"/>
      <w:bookmarkEnd w:id="1582"/>
      <w:bookmarkEnd w:id="1583"/>
      <w:bookmarkEnd w:id="1584"/>
      <w:bookmarkEnd w:id="1585"/>
      <w:bookmarkEnd w:id="1586"/>
      <w:bookmarkEnd w:id="1587"/>
      <w:r>
        <w:rPr>
          <w:rFonts w:ascii="Times New Roman;Times;serif" w:hAnsi="Times New Roman;Times;serif"/>
          <w:b/>
          <w:sz w:val="20"/>
        </w:rPr>
        <w:t>Note 11—Commitments and Contingencies</w:t>
      </w:r>
    </w:p>
    <w:p>
      <w:pPr>
        <w:pStyle w:val="TextBody"/>
        <w:bidi w:val="0"/>
        <w:spacing w:lineRule="auto" w:line="240" w:before="0" w:after="120"/>
        <w:ind w:left="0" w:right="0" w:firstLine="720"/>
        <w:jc w:val="both"/>
        <w:rPr>
          <w:rFonts w:ascii="Times New Roman;Times;serif" w:hAnsi="Times New Roman;Times;serif"/>
          <w:sz w:val="20"/>
        </w:rPr>
      </w:pPr>
      <w:r>
        <w:rPr>
          <w:rFonts w:ascii="Times New Roman;Times;serif" w:hAnsi="Times New Roman;Times;serif"/>
          <w:b/>
          <w:sz w:val="20"/>
        </w:rPr>
        <w:t>Lease Commitments</w:t>
      </w:r>
      <w:r>
        <w:rPr>
          <w:rFonts w:ascii="Times New Roman;Times;serif" w:hAnsi="Times New Roman;Times;serif"/>
          <w:sz w:val="20"/>
        </w:rPr>
        <w:t>—Future minimum lease obligations under non-cancelable operating leases as of June 30, 2026 are as follows ($ in thousands):</w:t>
      </w:r>
      <w:r>
        <w:rPr>
          <w:rFonts w:ascii="Times New Roman;Times;serif" w:hAnsi="Times New Roman;Times;serif"/>
          <w:sz w:val="15"/>
        </w:rPr>
        <w:t xml:space="preserve">(1) </w:t>
      </w:r>
    </w:p>
    <w:tbl>
      <w:tblPr>
        <w:tblW w:w="3817" w:type="dxa"/>
        <w:jc w:val="left"/>
        <w:tblInd w:w="0" w:type="dxa"/>
        <w:tblLayout w:type="fixed"/>
        <w:tblCellMar>
          <w:top w:w="0" w:type="dxa"/>
          <w:left w:w="0" w:type="dxa"/>
          <w:bottom w:w="0" w:type="dxa"/>
          <w:right w:w="0" w:type="dxa"/>
        </w:tblCellMar>
      </w:tblPr>
      <w:tblGrid>
        <w:gridCol w:w="2761"/>
        <w:gridCol w:w="109"/>
        <w:gridCol w:w="211"/>
        <w:gridCol w:w="73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753235" cy="175260"/>
                      <wp:effectExtent l="0" t="0" r="0" b="0"/>
                      <wp:wrapNone/>
                      <wp:docPr id="441" name="Frame44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9215" cy="175260"/>
                      <wp:effectExtent l="0" t="0" r="0" b="0"/>
                      <wp:wrapNone/>
                      <wp:docPr id="442" name="Frame4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67360" cy="175260"/>
                      <wp:effectExtent l="0" t="0" r="0" b="0"/>
                      <wp:wrapNone/>
                      <wp:docPr id="444" name="Frame44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7,190</w:t>
            </w:r>
          </w:p>
        </w:tc>
      </w:tr>
      <w:tr>
        <w:trPr/>
        <w:tc>
          <w:tcPr>
            <w:tcW w:w="27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 undiscounted cash flows</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10,626</w:t>
            </w:r>
          </w:p>
        </w:tc>
      </w:tr>
      <w:tr>
        <w:trPr/>
        <w:tc>
          <w:tcPr>
            <w:tcW w:w="27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Present value discount</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(5,088)</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5,538</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cash flows that relate to a property that is majority-owned by a third party and is ground leased to the Company. The Company is obligated to pay the owner of the property $0.5</w:t>
            </w:r>
            <w:r>
              <w:rPr>
                <w:caps w:val="false"/>
                <w:smallCaps w:val="false"/>
              </w:rPr>
              <w:t> </w:t>
            </w:r>
            <w:r>
              <w:rPr>
                <w:rFonts w:ascii="Times New Roman;Times;serif" w:hAnsi="Times New Roman;Times;serif"/>
                <w:b w:val="false"/>
                <w:i w:val="false"/>
                <w:caps w:val="false"/>
                <w:smallCaps w:val="false"/>
                <w:sz w:val="16"/>
              </w:rPr>
              <w:t>million, subject to adjustment for changes in the CPI, per year through 2044.</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2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lease liability equals the present value of the minimum rental payments due under the lease discounted at the rate implicit in the lease or the Company’s incremental secured borrowing rate for similar collateral. For operating leases, lease liabilities were discounted at the Company’s weighted average incremental secured borrowing rate for similar collateral estimated to be 5.5%</w:t>
            </w:r>
            <w:r>
              <w:rPr>
                <w:caps w:val="false"/>
                <w:smallCaps w:val="false"/>
              </w:rPr>
              <w:t xml:space="preserve"> </w:t>
            </w:r>
            <w:r>
              <w:rPr>
                <w:rFonts w:ascii="Times New Roman;Times;serif" w:hAnsi="Times New Roman;Times;serif"/>
                <w:b w:val="false"/>
                <w:i w:val="false"/>
                <w:caps w:val="false"/>
                <w:smallCaps w:val="false"/>
                <w:sz w:val="16"/>
              </w:rPr>
              <w:t>and the weighted average remaining lease term is 16.5</w:t>
            </w:r>
            <w:r>
              <w:rPr>
                <w:caps w:val="false"/>
                <w:smallCaps w:val="false"/>
              </w:rPr>
              <w:t> </w:t>
            </w:r>
            <w:r>
              <w:rPr>
                <w:rFonts w:ascii="Times New Roman;Times;serif" w:hAnsi="Times New Roman;Times;serif"/>
                <w:b w:val="false"/>
                <w:i w:val="false"/>
                <w:caps w:val="false"/>
                <w:smallCaps w:val="false"/>
                <w:sz w:val="16"/>
              </w:rPr>
              <w:t>years. During the three months ended June 30, 2026 and 2025, the Company made payments of $0.2</w:t>
            </w:r>
            <w:r>
              <w:rPr>
                <w:caps w:val="false"/>
                <w:smallCaps w:val="false"/>
              </w:rPr>
              <w:t xml:space="preserve"> </w:t>
            </w:r>
            <w:r>
              <w:rPr>
                <w:rFonts w:ascii="Times New Roman;Times;serif" w:hAnsi="Times New Roman;Times;serif"/>
                <w:b w:val="false"/>
                <w:i w:val="false"/>
                <w:caps w:val="false"/>
                <w:smallCaps w:val="false"/>
                <w:sz w:val="16"/>
              </w:rPr>
              <w:t>million and $1.4</w:t>
            </w:r>
            <w:r>
              <w:rPr>
                <w:caps w:val="false"/>
                <w:smallCaps w:val="false"/>
              </w:rPr>
              <w:t xml:space="preserve"> </w:t>
            </w:r>
            <w:r>
              <w:rPr>
                <w:rFonts w:ascii="Times New Roman;Times;serif" w:hAnsi="Times New Roman;Times;serif"/>
                <w:b w:val="false"/>
                <w:i w:val="false"/>
                <w:caps w:val="false"/>
                <w:smallCaps w:val="false"/>
                <w:sz w:val="16"/>
              </w:rPr>
              <w:t>million, respectively, related to its operating leases. During the six months ended June 30, 2026 and 2025, the Company made payments of $0.3</w:t>
            </w:r>
            <w:r>
              <w:rPr>
                <w:caps w:val="false"/>
                <w:smallCaps w:val="false"/>
              </w:rPr>
              <w:t> </w:t>
            </w:r>
            <w:r>
              <w:rPr>
                <w:rFonts w:ascii="Times New Roman;Times;serif" w:hAnsi="Times New Roman;Times;serif"/>
                <w:b w:val="false"/>
                <w:i w:val="false"/>
                <w:caps w:val="false"/>
                <w:smallCaps w:val="false"/>
                <w:sz w:val="16"/>
              </w:rPr>
              <w:t>million and $2.8</w:t>
            </w:r>
            <w:r>
              <w:rPr>
                <w:caps w:val="false"/>
                <w:smallCaps w:val="false"/>
              </w:rPr>
              <w:t> </w:t>
            </w:r>
            <w:r>
              <w:rPr>
                <w:rFonts w:ascii="Times New Roman;Times;serif" w:hAnsi="Times New Roman;Times;serif"/>
                <w:b w:val="false"/>
                <w:i w:val="false"/>
                <w:caps w:val="false"/>
                <w:smallCaps w:val="false"/>
                <w:sz w:val="16"/>
              </w:rPr>
              <w:t>million, respectively, related to its operating leases.</w:t>
            </w:r>
          </w:p>
        </w:tc>
      </w:tr>
    </w:tbl>
    <w:p>
      <w:pPr>
        <w:pStyle w:val="TextBody"/>
        <w:bidi w:val="0"/>
        <w:spacing w:before="0" w:after="0"/>
        <w:ind w:left="54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Unfunded Commitments</w:t>
      </w:r>
      <w:r>
        <w:rPr>
          <w:rFonts w:ascii="Times New Roman;Times;serif" w:hAnsi="Times New Roman;Times;serif"/>
          <w:sz w:val="20"/>
        </w:rPr>
        <w:t>—The Company has unfunded commitments to certain of its Ground Lease tenants related to leasehold improvement allowances that it expects to fund upon the completion of certain conditions. As of June 30, 2026, the Company had $188.5 million of such commitments, excluding commitments to be funded by noncontrolling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Other Commitments</w:t>
      </w:r>
      <w:r>
        <w:rPr>
          <w:rFonts w:ascii="Times New Roman;Times;serif" w:hAnsi="Times New Roman;Times;serif"/>
          <w:sz w:val="20"/>
        </w:rPr>
        <w:t>—</w:t>
      </w:r>
      <w:r>
        <w:rPr>
          <w:rFonts w:ascii="Times New Roman;Times;serif" w:hAnsi="Times New Roman;Times;serif"/>
          <w:sz w:val="20"/>
          <w:shd w:fill="FFFFFF" w:val="clear"/>
        </w:rPr>
        <w:t>The Company funds construction and development loans and build-outs of space in real estate assets over a period of time, both individually and through the Leasehold Loan Fund, if and when the borrowers and tenants meet established milestones and other performance criteria. We refer to these arrangements as performance-based commitments. As of June 30, 2026, the Company had $143.8 million of such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Legal Proceedings</w:t>
      </w:r>
      <w:r>
        <w:rPr>
          <w:rFonts w:ascii="Times New Roman;Times;serif" w:hAnsi="Times New Roman;Times;serif"/>
          <w:sz w:val="20"/>
        </w:rPr>
        <w:t xml:space="preserve">—The Company evaluates developments in legal proceedings that could require a liability to be accrued and/or disclosed.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22, 2025, the Company sent the tenant under the Park Hotels master lease (“Park Tenant”) a termination notice for all five hotels and commenced litigation against the Park Tenant and Park Intermediate Holdings LLC, guarantor under the master lease, for certain breaches, among other things, related to the maintenance and operations of the hotels. The litigation is captioned In re Park Hotels Litigation, C.A. No. 2025-1210-LWW, pending in the Delaware Court of Chancery. The Park Tenant has disputed the Company’s right to terminate the lease, and that issue, among others, is subject to the litigation, which includes counterclaims filed by the Park Tenant. Although the Company believes its claims and defenses are meritorious, there are no assurances that it will prevail in its litigation.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May 11, 2026, the Company sent the tenant (TD 135 West 50 LLC a/k/a TD 135 West 50, LLC) under one of its New York office properties a lease termination notice for certain breaches, among other things, related to its failure to pay property taxes as required under the lease. Additionally, the Company commenced a lawsuit against the tenant in the Supreme Court of the State of New York, County of New York, captioned </w:t>
      </w:r>
      <w:r>
        <w:rPr>
          <w:rFonts w:ascii="Times New Roman;Times;serif" w:hAnsi="Times New Roman;Times;serif"/>
          <w:i/>
          <w:sz w:val="20"/>
        </w:rPr>
        <w:t xml:space="preserve">135 West 50th Street Ground Owner LLC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v. TD 135 West 50 LLC</w:t>
      </w:r>
      <w:r>
        <w:rPr>
          <w:rFonts w:ascii="Times New Roman;Times;serif" w:hAnsi="Times New Roman;Times;serif"/>
          <w:sz w:val="20"/>
        </w:rPr>
        <w:t xml:space="preserve">, Index No. 652773/2026 (the “First Action”), asserting claims for declaratory and injunctive relief, including a declaration that the tenant’s lease has been terminated and an order of ejectment, as well as for certain monetary damages. On May 20, 2026, the tenant commenced a separate action against the Company in the Supreme Court of the State of New York, County of New York, captioned </w:t>
      </w:r>
      <w:r>
        <w:rPr>
          <w:rFonts w:ascii="Times New Roman;Times;serif" w:hAnsi="Times New Roman;Times;serif"/>
          <w:i/>
          <w:sz w:val="20"/>
        </w:rPr>
        <w:t>TD 135 West 50 LLC v. 135 West 50th Street Ground Owner LLC</w:t>
      </w:r>
      <w:r>
        <w:rPr>
          <w:rFonts w:ascii="Times New Roman;Times;serif" w:hAnsi="Times New Roman;Times;serif"/>
          <w:sz w:val="20"/>
        </w:rPr>
        <w:t>, Index No. 156448/2026 (the “Second Action” and, collectively, with the First Action, the “Lawsuits”), asserting claims for declaratory and injunctive relief, including a declaration that the Company’s termination notice is not a viable predicate for termination of the lease, as well as damages for an alleged breach of the implied covenant of good faith and fair dealing in an amount to be determined at trial. On June 4, 2026, a Justice of the Supreme Court entered an order to show cause and a temporary restraining order (“TRO”) stating that, pending determination of tenant’s pending motion for a preliminary injunction, the Company is stayed from, inter alia, taking further action upon its termination notice or taking further steps to prosecute its ejectment action, terminate or purport to terminate the lease based on the allegations contained in termination notice, or otherwise interfere with the tenant’s tenancy. On June 12, 2026, the Company filed a motion in the Appellate Division of the Supreme Court, First Department, for an order modifying the TRO, and the tenant filed an answer to the Company’s complaint in the First Action, in which it denied that the Company is entitled to any of the relief sought therein. The tenant’s motion for a preliminary injunction in the Second Action, and the Company’s motion for an order modifying the TRO, both remain pending at this time. The Company maintains that the tenant’s claims and allegations lack merit and the lease has been duly terminated, and it intends to defend vigorously against all claims asserted by the tenant in the Second Action, and to pursue all available rights and remedies in respect of its termination of the tenant’s lease. Although the Company believes that its claims, defenses, and allegations in the Lawsuits are meritorious, there are no assurances that it will prevail in its litigation.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Based on its current knowledge, and after consultation with legal counsel, the Company believes it is not a party to, nor are any of its properties the subject of, any other pending legal proceeding that would have a material adverse effect on the Company’s consolidated financial statements.</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12—Risk Management and Derivatives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its ongoing business operations, the Company encounters credit risk. Credit risk is the risk of default on the Company’s leases that result from a tenant’s inability or unwillingness to make contractually required payments.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 concentrations</w:t>
      </w:r>
      <w:r>
        <w:rPr>
          <w:rFonts w:ascii="Times New Roman;Times;serif" w:hAnsi="Times New Roman;Times;serif"/>
          <w:sz w:val="20"/>
        </w:rPr>
        <w:t>—Concentrations of credit risks arise when the Company has multiple leases with a particular tenant or credit party, or a number of the Company’s tenants are engaged in similar business activities, or activities in the same geographic region, or have similar economic features, such that their ability to meet contractual obligations, including those to the Company, could be similarly affected by changes in economic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the Company’s Ground Leases are geographically diverse and the tenants operate in a variety of industries and property types, to the extent the Company has a significant concentration of interest income from sales-type leases or operating lease income from any tenant, the inability of that tenant to make its payment could have a material adverse effect on the Company. The Company did not have a significant concentration of interest income from sales-type leases or operating lease income from any tenant for the periods presented.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Derivative instruments and hedging activity</w:t>
      </w:r>
      <w:r>
        <w:rPr>
          <w:rFonts w:ascii="Times New Roman;Times;serif" w:hAnsi="Times New Roman;Times;serif"/>
          <w:sz w:val="20"/>
        </w:rPr>
        <w:t>—The Company’s use of derivative financial instruments has been associated with debt issuances and primarily limited to the utilization of interest rate swaps, interest rate caps and treasury locks to manage interest rate risk exposure. The Company does not enter into derivatives for trading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derivatives, if any, as either assets or liabilities on the Company’s consolidated balance sheets at fair value. Interest rate hedge assets are recorded in “Deferred expenses and other assets, net” and interest rate hedge liabilities are recorded in “Accounts payable, accrued expenses and other liabilities” on the Company’s consolidated balance sheets. If certain conditions are met, a derivative may be specifically designated as a hedge of the exposure to changes in the fair value of a recognized asset or liability, a hedge of a forecasted transaction or the variability of cash flows to be received or paid related to a recognized asset or liability.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Company’s derivatives designated and qualifying as cash flow hedges, changes in the fair value of the derivatives are reported as a component of accumulated other comprehensive income (loss) and subsequently reclassified into interest expense in the same periods during which the hedged transaction affects earnings. Amounts reported in accumulated other comprehensive income (loss) related to derivatives will be reclassified to interest expense as interest payments are made on the Company’s debt. If an interest rate hedge is terminated prior to maturity it could result in a net derivative instrument gain or loss that continues to be reported in accumulated other comprehensive (loss) and is reclassified into earnings over the period of the original forecasted hedged transaction. However, if it is probable that the original forecasted hedged transaction will not occur by the end of the original specified time period, the derivative instrument gain or loss reported in accumulated other comprehensive income (loss) will be reclassified into earnings immediately. If a derivative includes an other-than-insignificant financing element at inception, when the Company is deemed to be the lender all cash inflows and outflows of the derivative are considered cash flows from investing activities in the Company’s consolidated statements of cash flows and when the Company is deemed to be the borrower all cash inflows and outflows of the derivative are considered cash flows from financing activities in the Company’s consolidated statements of cash flows.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Company’s derivatives not designated as hedges, the changes in the fair value of the derivatives are reported in “Interest expense” in the Company’s consolidated statements of operations. Derivatives not designated as hedges are not speculative and are used to manage the Company’s exposure to interest rate movements and other identified risks but do not meet the strict hedge accounting requirements.</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lineRule="auto" w:line="240" w:before="0" w:after="0"/>
        <w:ind w:left="0" w:right="0" w:firstLine="720"/>
        <w:jc w:val="both"/>
        <w:rPr>
          <w:rFonts w:ascii="Times New Roman;Times;serif" w:hAnsi="Times New Roman;Times;serif"/>
          <w:sz w:val="14"/>
        </w:rPr>
      </w:pPr>
      <w:bookmarkStart w:id="1588" w:name="Tc_VQpaXQFvJkSq8hycL8R6CA_15_7"/>
      <w:bookmarkStart w:id="1589" w:name="Tc_ySXP1nefiEaKNev5HNuLJQ_15_4"/>
      <w:bookmarkStart w:id="1590" w:name="Tc_Y5jccmFK00e3TvKwixc0Gw_15_2"/>
      <w:bookmarkStart w:id="1591" w:name="Tc_6mSx3kNvC0Gj7PNaiYuaeg_15_0"/>
      <w:bookmarkStart w:id="1592" w:name="Tc_FYGgXS0_tUifsO5Cpd8JcA_14_0"/>
      <w:bookmarkStart w:id="1593" w:name="Tc_MOKHwR3040GxCNk7Acvi9A_13_7"/>
      <w:bookmarkStart w:id="1594" w:name="Tc_PVxMcyK4yE-KlIzIdgrUDg_13_4"/>
      <w:bookmarkStart w:id="1595" w:name="Tc_DUiwzE1r3kaC_W1fLagyvQ_13_2"/>
      <w:bookmarkStart w:id="1596" w:name="Tc_0JgNuAicaUGCvTYj8VYfsA_13_0"/>
      <w:bookmarkStart w:id="1597" w:name="Tc_8-KUx3463UivcJ2L8zl1vQ_12_0"/>
      <w:bookmarkStart w:id="1598" w:name="Tc_ia51MecVkUqfEkqUFaOcbA_11_7"/>
      <w:bookmarkStart w:id="1599" w:name="Tc_Cen_38_TWkO7HtOllrPhmw_11_4"/>
      <w:bookmarkStart w:id="1600" w:name="Tc_L1sFsDZeHUCyKMN5YCAbYg_11_2"/>
      <w:bookmarkStart w:id="1601" w:name="Tc_DfV8zePNtkmRohxNiCntDw_11_0"/>
      <w:bookmarkStart w:id="1602" w:name="Tc_7NzSKgMhDkmCZKSgIWOQfA_10_0"/>
      <w:bookmarkStart w:id="1603" w:name="Tc_uJYuuDhJp0Wm_Tz4Ad9dLQ_9_7"/>
      <w:bookmarkStart w:id="1604" w:name="Tc_wKzIRrKARUaPvMPxF4hZGw_9_4"/>
      <w:bookmarkStart w:id="1605" w:name="Tc_6MWg2dXYjUqnw9_TSDOQpw_9_2"/>
      <w:bookmarkStart w:id="1606" w:name="Tc_O5yHMbCTD0qxUxl52HiKAg_9_0"/>
      <w:bookmarkStart w:id="1607" w:name="Tc_wOJvRh-B602MaYjkj1zXiw_8_0"/>
      <w:bookmarkStart w:id="1608" w:name="Tc_kCMziiPmXUC8HDUPRcB1YQ_7_7"/>
      <w:bookmarkStart w:id="1609" w:name="Tc_Cq3lNtfUKE-RlEn66WNV-Q_7_4"/>
      <w:bookmarkStart w:id="1610" w:name="Tc_fAy8U1J2gkO1eRdnN86Osg_7_2"/>
      <w:bookmarkStart w:id="1611" w:name="Tc_o4GhdOLTYk-cvQNiygHO3Q_7_0"/>
      <w:bookmarkStart w:id="1612" w:name="Tc_FDHiO0gRokSt8jvw-FbXlw_6_7"/>
      <w:bookmarkStart w:id="1613" w:name="Tc_gE4BuUBALkOVPpccyKp-_w_6_4"/>
      <w:bookmarkStart w:id="1614" w:name="Tc_Uzqbay-pD0Sv9Zo4lVdrKA_6_2"/>
      <w:bookmarkStart w:id="1615" w:name="Tc_iE5iJ2kkKk-X2GaU_I_RCg_5_7"/>
      <w:bookmarkStart w:id="1616" w:name="Tc_0Bmnpw83s0OdqMBq203nCA_5_4"/>
      <w:bookmarkStart w:id="1617" w:name="Tc_KkUamW_wKUCTn0EDQAAfiQ_5_2"/>
      <w:bookmarkStart w:id="1618" w:name="Tc_zyoQaLK2V0WNgmYxlzCqsg_4_7"/>
      <w:bookmarkStart w:id="1619" w:name="Tc_448MhnqC8kGfa5RxNF-Y4g_4_4"/>
      <w:bookmarkStart w:id="1620" w:name="Tc_tdeK6CKsQ0ucAii2I4xPjA_3_7"/>
      <w:bookmarkStart w:id="1621" w:name="Tc_KPONF4xq1EWbve4F9f2fsg_3_4"/>
      <w:bookmarkStart w:id="1622" w:name="Tc_kVT0b68dCkq_qkB7vSQeGg_2_7"/>
      <w:bookmarkStart w:id="1623" w:name="Tc_0udn7xoQf0qxri7irYWTtg_2_4"/>
      <w:bookmarkStart w:id="1624" w:name="Tc_7Z2E5BdmNUKIKUK1QwAprg_1_7"/>
      <w:bookmarkStart w:id="1625" w:name="_2611f7ae_e847_40d4_8a53_744a42b3ca1d"/>
      <w:bookmarkStart w:id="1626" w:name="Tc_DkbZQGeTBECl2OJvuhYcRg_6_5"/>
      <w:bookmarkStart w:id="1627" w:name="Tc_Jlklh9Ukdka_eTH3MjvsJw_6_2"/>
      <w:bookmarkStart w:id="1628" w:name="Tc_TVZCIyEWjUykpbI6VKDiwg_6_0"/>
      <w:bookmarkStart w:id="1629" w:name="Tc_3g0jZ1sJ_UebyPuktpIpKQ_5_8"/>
      <w:bookmarkStart w:id="1630" w:name="Tc_537sJSD7R0m2qJ5meE-vQw_5_5"/>
      <w:bookmarkStart w:id="1631" w:name="Tc_dJbVCyXl5Euylo2uHheYTA_5_2"/>
      <w:bookmarkStart w:id="1632" w:name="Tc_PXyNJ4CGo0uEr5kcTagpEw_5_0"/>
      <w:bookmarkStart w:id="1633" w:name="Tc_KejI_NiyE06dGhfMGR3s0A_4_0"/>
      <w:bookmarkStart w:id="1634" w:name="Tc_OXcnObXRv0yJxyqOBMrVdg_3_8"/>
      <w:bookmarkStart w:id="1635" w:name="Tc_-PUSpGRsBEGiqr84j787ZA_3_5"/>
      <w:bookmarkStart w:id="1636" w:name="Tc_1XtfuKe60UmG9Xb0GHZFBw_3_2"/>
      <w:bookmarkStart w:id="1637" w:name="Tc_fGRKsKo8wkiCfB8GNXvPWQ_3_0"/>
      <w:bookmarkStart w:id="1638" w:name="Tc_ZWT_2JCp5kqwNuz5itX4sQ_2_8"/>
      <w:bookmarkStart w:id="1639" w:name="Tc_VAa4PmYUIU-sVun4oUaJSg_2_5"/>
      <w:bookmarkStart w:id="1640" w:name="Tc_i5WYOD2ssE6qRNdAywHrOA_2_2"/>
      <w:bookmarkStart w:id="1641" w:name="Tc_3DocaSGBuUyAW83sbaxa0w_1_5"/>
      <w:bookmarkStart w:id="1642" w:name="Tc_hpu0nFPDC0Wb-1LKOo2dGQ_1_2"/>
      <w:bookmarkStart w:id="1643" w:name="_876cdd55_f44e_44a1_8352_fad806464e94"/>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r>
        <w:rPr>
          <w:rFonts w:ascii="Times New Roman;Times;serif" w:hAnsi="Times New Roman;Times;serif"/>
          <w:sz w:val="20"/>
        </w:rPr>
        <w:t>The table below presents the Company’s derivatives as well as their classification on the consolidated balance sheets as of June 30, 2026 and December 31, 2025 ($ in thousands):</w:t>
      </w:r>
      <w:r>
        <w:rPr>
          <w:rFonts w:ascii="Times New Roman;Times;serif" w:hAnsi="Times New Roman;Times;serif"/>
          <w:sz w:val="11"/>
        </w:rPr>
        <w:t>(1)(2)  </w:t>
      </w:r>
    </w:p>
    <w:p>
      <w:pPr>
        <w:pStyle w:val="TextBody"/>
        <w:bidi w:val="0"/>
        <w:spacing w:before="0" w:after="240"/>
        <w:ind w:left="0" w:right="0" w:firstLine="720"/>
        <w:jc w:val="both"/>
        <w:rPr/>
      </w:pPr>
      <w:r>
        <w:rPr/>
        <w:t>​</w:t>
      </w:r>
    </w:p>
    <w:tbl>
      <w:tblPr>
        <w:tblW w:w="8542" w:type="dxa"/>
        <w:jc w:val="left"/>
        <w:tblInd w:w="0" w:type="dxa"/>
        <w:tblLayout w:type="fixed"/>
        <w:tblCellMar>
          <w:top w:w="0" w:type="dxa"/>
          <w:left w:w="0" w:type="dxa"/>
          <w:bottom w:w="0" w:type="dxa"/>
          <w:right w:w="0" w:type="dxa"/>
        </w:tblCellMar>
      </w:tblPr>
      <w:tblGrid>
        <w:gridCol w:w="1591"/>
        <w:gridCol w:w="346"/>
        <w:gridCol w:w="267"/>
        <w:gridCol w:w="859"/>
        <w:gridCol w:w="346"/>
        <w:gridCol w:w="357"/>
        <w:gridCol w:w="1144"/>
        <w:gridCol w:w="346"/>
        <w:gridCol w:w="3286"/>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010285" cy="175260"/>
                      <wp:effectExtent l="0" t="0" r="0" b="0"/>
                      <wp:wrapNone/>
                      <wp:docPr id="445" name="Frame445"/>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46"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69545" cy="175260"/>
                      <wp:effectExtent l="0" t="0" r="0" b="0"/>
                      <wp:wrapNone/>
                      <wp:docPr id="447" name="Frame44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45465" cy="175260"/>
                      <wp:effectExtent l="0" t="0" r="0" b="0"/>
                      <wp:wrapNone/>
                      <wp:docPr id="448" name="Frame448"/>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49"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26695" cy="175260"/>
                      <wp:effectExtent l="0" t="0" r="0" b="0"/>
                      <wp:wrapNone/>
                      <wp:docPr id="450" name="Frame450"/>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726440" cy="175260"/>
                      <wp:effectExtent l="0" t="0" r="0" b="0"/>
                      <wp:wrapNone/>
                      <wp:docPr id="451" name="Frame451"/>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52" name="Frame4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86610" cy="175260"/>
                      <wp:effectExtent l="0" t="0" r="0" b="0"/>
                      <wp:wrapNone/>
                      <wp:docPr id="453" name="Frame453"/>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3286" w:type="dxa"/>
            <w:tcBorders/>
            <w:vAlign w:val="center"/>
          </w:tcPr>
          <w:p>
            <w:pPr>
              <w:pStyle w:val="TableContents"/>
              <w:bidi w:val="0"/>
              <w:spacing w:before="0" w:after="1"/>
              <w:ind w:left="0" w:right="0" w:hanging="0"/>
              <w:jc w:val="center"/>
              <w:rPr/>
            </w:pPr>
            <w:r>
              <w:rPr/>
              <w:t>​</w:t>
            </w:r>
          </w:p>
        </w:tc>
      </w:tr>
      <w:tr>
        <w:trPr/>
        <w:tc>
          <w:tcPr>
            <w:tcW w:w="1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before="0" w:after="1"/>
              <w:ind w:left="0" w:right="0" w:hanging="0"/>
              <w:jc w:val="center"/>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before="0" w:after="1"/>
              <w:ind w:left="0" w:right="0" w:hanging="0"/>
              <w:jc w:val="center"/>
              <w:rPr/>
            </w:pPr>
            <w:r>
              <w:rPr/>
              <w:t>​</w:t>
            </w:r>
          </w:p>
        </w:tc>
        <w:tc>
          <w:tcPr>
            <w:tcW w:w="32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Balance Sheet</w:t>
            </w:r>
            <w:r>
              <w:rPr>
                <w:rFonts w:ascii="Times New Roman;Times;serif" w:hAnsi="Times New Roman;Times;serif"/>
                <w:sz w:val="16"/>
              </w:rPr>
              <w:t> </w:t>
            </w:r>
          </w:p>
        </w:tc>
      </w:tr>
      <w:tr>
        <w:trPr/>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Type</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center"/>
              <w:rPr/>
            </w:pPr>
            <w:r>
              <w:rPr/>
              <w:t>  ​ ​ ​</w:t>
            </w:r>
          </w:p>
        </w:tc>
        <w:tc>
          <w:tcPr>
            <w:tcW w:w="32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67"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357" w:type="dxa"/>
            <w:tcBorders/>
            <w:shd w:fill="CCEEFF" w:val="clear"/>
            <w:vAlign w:val="center"/>
          </w:tcPr>
          <w:p>
            <w:pPr>
              <w:pStyle w:val="TableContents"/>
              <w:bidi w:val="0"/>
              <w:spacing w:before="0" w:after="1"/>
              <w:ind w:left="0" w:right="0" w:hanging="0"/>
              <w:jc w:val="left"/>
              <w:rPr/>
            </w:pPr>
            <w:r>
              <w:rPr/>
              <w:t>​</w:t>
            </w:r>
          </w:p>
        </w:tc>
        <w:tc>
          <w:tcPr>
            <w:tcW w:w="114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286" w:type="dxa"/>
            <w:tcBorders/>
            <w:shd w:fill="CCEEFF" w:val="clear"/>
            <w:vAlign w:val="center"/>
          </w:tcPr>
          <w:p>
            <w:pPr>
              <w:pStyle w:val="TableContents"/>
              <w:bidi w:val="0"/>
              <w:spacing w:before="0" w:after="1"/>
              <w:ind w:left="0" w:right="0" w:hanging="0"/>
              <w:jc w:val="right"/>
              <w:rPr/>
            </w:pPr>
            <w:r>
              <w:rPr/>
              <w:t>  ​</w:t>
            </w:r>
          </w:p>
        </w:tc>
      </w:tr>
      <w:tr>
        <w:trPr/>
        <w:tc>
          <w:tcPr>
            <w:tcW w:w="15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11,202</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21,315</w:t>
            </w:r>
          </w:p>
        </w:tc>
        <w:tc>
          <w:tcPr>
            <w:tcW w:w="346" w:type="dxa"/>
            <w:tcBorders/>
            <w:vAlign w:val="center"/>
          </w:tcPr>
          <w:p>
            <w:pPr>
              <w:pStyle w:val="TableContents"/>
              <w:bidi w:val="0"/>
              <w:spacing w:before="0" w:after="1"/>
              <w:ind w:left="0" w:right="0" w:hanging="0"/>
              <w:jc w:val="left"/>
              <w:rPr/>
            </w:pPr>
            <w:r>
              <w:rPr/>
              <w:t> </w:t>
            </w:r>
          </w:p>
        </w:tc>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expenses and other assets, net</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11,202</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21,315</w:t>
            </w:r>
          </w:p>
        </w:tc>
        <w:tc>
          <w:tcPr>
            <w:tcW w:w="346" w:type="dxa"/>
            <w:tcBorders/>
            <w:shd w:fill="CCEEFF" w:val="clear"/>
            <w:vAlign w:val="center"/>
          </w:tcPr>
          <w:p>
            <w:pPr>
              <w:pStyle w:val="TableContents"/>
              <w:bidi w:val="0"/>
              <w:spacing w:before="0" w:after="1"/>
              <w:ind w:left="0" w:right="0" w:hanging="0"/>
              <w:jc w:val="left"/>
              <w:rPr/>
            </w:pPr>
            <w:r>
              <w:rPr/>
              <w:t>​</w:t>
            </w:r>
          </w:p>
        </w:tc>
        <w:tc>
          <w:tcPr>
            <w:tcW w:w="3286"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June 30, 2026, the Company has two</w:t>
            </w:r>
            <w:r>
              <w:rPr>
                <w:caps w:val="false"/>
                <w:smallCaps w:val="false"/>
              </w:rPr>
              <w:t xml:space="preserve"> </w:t>
            </w:r>
            <w:r>
              <w:rPr>
                <w:rFonts w:ascii="Times New Roman;Times;serif" w:hAnsi="Times New Roman;Times;serif"/>
                <w:b w:val="false"/>
                <w:i w:val="false"/>
                <w:caps w:val="false"/>
                <w:smallCaps w:val="false"/>
                <w:sz w:val="16"/>
              </w:rPr>
              <w:t>interest rate swap derivatives outstanding that mature in April 2028 and have an aggregate $500.0</w:t>
            </w:r>
            <w:r>
              <w:rPr>
                <w:caps w:val="false"/>
                <w:smallCaps w:val="false"/>
              </w:rPr>
              <w:t xml:space="preserve"> </w:t>
            </w:r>
            <w:r>
              <w:rPr>
                <w:rFonts w:ascii="Times New Roman;Times;serif" w:hAnsi="Times New Roman;Times;serif"/>
                <w:b w:val="false"/>
                <w:i w:val="false"/>
                <w:caps w:val="false"/>
                <w:smallCaps w:val="false"/>
                <w:sz w:val="16"/>
              </w:rPr>
              <w:t>million notional amount, which hedge in-place floating-rate debt. The Company also has a</w:t>
            </w:r>
            <w:r>
              <w:rPr>
                <w:caps w:val="false"/>
                <w:smallCaps w:val="false"/>
              </w:rPr>
              <w:t xml:space="preserve"> </w:t>
            </w:r>
            <w:r>
              <w:rPr>
                <w:rFonts w:ascii="Times New Roman;Times;serif" w:hAnsi="Times New Roman;Times;serif"/>
                <w:b w:val="false"/>
                <w:i w:val="false"/>
                <w:caps w:val="false"/>
                <w:smallCaps w:val="false"/>
                <w:sz w:val="16"/>
              </w:rPr>
              <w:t>designated derivative outstanding with a $25.0</w:t>
            </w:r>
            <w:r>
              <w:rPr>
                <w:caps w:val="false"/>
                <w:smallCaps w:val="false"/>
              </w:rPr>
              <w:t xml:space="preserve"> </w:t>
            </w:r>
            <w:r>
              <w:rPr>
                <w:rFonts w:ascii="Times New Roman;Times;serif" w:hAnsi="Times New Roman;Times;serif"/>
                <w:b w:val="false"/>
                <w:i w:val="false"/>
                <w:caps w:val="false"/>
                <w:smallCaps w:val="false"/>
                <w:sz w:val="16"/>
              </w:rPr>
              <w:t xml:space="preserve">million notional amount that matures in December 2026 that protects the Company against interest rate volatility with respect to future long-term debt with a tenor of approximately 30 years.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Over the next 12 months, the Company expects that $1.1</w:t>
            </w:r>
            <w:r>
              <w:rPr>
                <w:caps w:val="false"/>
                <w:smallCaps w:val="false"/>
              </w:rPr>
              <w:t xml:space="preserve"> </w:t>
            </w:r>
            <w:r>
              <w:rPr>
                <w:rFonts w:ascii="Times New Roman;Times;serif" w:hAnsi="Times New Roman;Times;serif"/>
                <w:b w:val="false"/>
                <w:i w:val="false"/>
                <w:caps w:val="false"/>
                <w:smallCaps w:val="false"/>
                <w:sz w:val="16"/>
              </w:rPr>
              <w:t>million related to cash flow hedges will be reclassified from “Accumulated other comprehensive income (loss)” as an increase to interest expense. The fair value of the Company’s derivatives is estimated using valuation techniques utilized by a third-party specialist using observable inputs such as interest rates and contractual cash flow and are classified as Level 2 within the fair value hierarchy.</w:t>
            </w:r>
          </w:p>
        </w:tc>
      </w:tr>
    </w:tbl>
    <w:p>
      <w:pPr>
        <w:pStyle w:val="TextBody"/>
        <w:bidi w:val="0"/>
        <w:spacing w:before="0" w:after="240"/>
        <w:ind w:left="547"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Credit Risk-Related Contingent Features</w:t>
      </w:r>
      <w:r>
        <w:rPr>
          <w:rFonts w:ascii="Times New Roman;Times;serif" w:hAnsi="Times New Roman;Times;serif"/>
          <w:sz w:val="20"/>
        </w:rPr>
        <w:t xml:space="preserve">—The Company reports derivative instruments, if any, on a gross basis in its consolidated financial statements. The Company has agreements with each of its derivative counterparties that contain a provision whereby if the Company either defaults or is capable of being declared in default on any of its indebtedness, then the Company could also be declared in default on its derivative obligations. </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table below presents the effect of the Company’s derivative financial instruments in the consolidated statements of operations and the consolidated statements of comprehensive income (loss) for the three and six months ended June 30, 2026 and 2025 ($ in thousands):</w:t>
      </w:r>
    </w:p>
    <w:tbl>
      <w:tblPr>
        <w:tblW w:w="9210" w:type="dxa"/>
        <w:jc w:val="left"/>
        <w:tblInd w:w="0" w:type="dxa"/>
        <w:tblLayout w:type="fixed"/>
        <w:tblCellMar>
          <w:top w:w="0" w:type="dxa"/>
          <w:left w:w="0" w:type="dxa"/>
          <w:bottom w:w="0" w:type="dxa"/>
          <w:right w:w="0" w:type="dxa"/>
        </w:tblCellMar>
      </w:tblPr>
      <w:tblGrid>
        <w:gridCol w:w="3631"/>
        <w:gridCol w:w="146"/>
        <w:gridCol w:w="1831"/>
        <w:gridCol w:w="346"/>
        <w:gridCol w:w="329"/>
        <w:gridCol w:w="1081"/>
        <w:gridCol w:w="346"/>
        <w:gridCol w:w="356"/>
        <w:gridCol w:w="1144"/>
      </w:tblGrid>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92710" cy="175260"/>
                      <wp:effectExtent l="0" t="0" r="0" b="0"/>
                      <wp:wrapNone/>
                      <wp:docPr id="454" name="Frame4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162685" cy="175260"/>
                      <wp:effectExtent l="0" t="0" r="0" b="0"/>
                      <wp:wrapNone/>
                      <wp:docPr id="455" name="Frame455"/>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56"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8915" cy="175260"/>
                      <wp:effectExtent l="0" t="0" r="0" b="0"/>
                      <wp:wrapNone/>
                      <wp:docPr id="457" name="Frame457"/>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86435" cy="175260"/>
                      <wp:effectExtent l="0" t="0" r="0" b="0"/>
                      <wp:wrapNone/>
                      <wp:docPr id="458" name="Frame45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59"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26060" cy="175260"/>
                      <wp:effectExtent l="0" t="0" r="0" b="0"/>
                      <wp:wrapNone/>
                      <wp:docPr id="460" name="Frame460"/>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726440" cy="175260"/>
                      <wp:effectExtent l="0" t="0" r="0" b="0"/>
                      <wp:wrapNone/>
                      <wp:docPr id="461" name="Frame461"/>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9"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Reclassified</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Recognized</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Accumulated</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Accumulated</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 of Gain (Loss)</w:t>
            </w:r>
          </w:p>
        </w:tc>
        <w:tc>
          <w:tcPr>
            <w:tcW w:w="34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36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When Recognized in</w:t>
            </w:r>
          </w:p>
        </w:tc>
        <w:tc>
          <w:tcPr>
            <w:tcW w:w="346" w:type="dxa"/>
            <w:tcBorders/>
            <w:vAlign w:val="center"/>
          </w:tcPr>
          <w:p>
            <w:pPr>
              <w:pStyle w:val="TableContents"/>
              <w:bidi w:val="0"/>
              <w:spacing w:before="0" w:after="0"/>
              <w:ind w:left="0" w:right="0" w:hanging="0"/>
              <w:jc w:val="center"/>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into</w:t>
            </w:r>
          </w:p>
        </w:tc>
      </w:tr>
      <w:tr>
        <w:trPr/>
        <w:tc>
          <w:tcPr>
            <w:tcW w:w="36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Derivatives Designated in Hedging Relationships</w:t>
            </w:r>
          </w:p>
        </w:tc>
        <w:tc>
          <w:tcPr>
            <w:tcW w:w="146" w:type="dxa"/>
            <w:tcBorders/>
            <w:vAlign w:val="center"/>
          </w:tcPr>
          <w:p>
            <w:pPr>
              <w:pStyle w:val="TableContents"/>
              <w:bidi w:val="0"/>
              <w:spacing w:before="0" w:after="0"/>
              <w:ind w:left="0" w:right="0" w:hanging="0"/>
              <w:jc w:val="center"/>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0"/>
              <w:ind w:left="0" w:right="0" w:hanging="0"/>
              <w:jc w:val="center"/>
              <w:rPr/>
            </w:pPr>
            <w:r>
              <w:rPr/>
              <w:t>  ​ ​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0"/>
              <w:ind w:left="0" w:right="0" w:hanging="0"/>
              <w:jc w:val="center"/>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Three Months Ended June 30, 2026</w:t>
            </w:r>
          </w:p>
        </w:tc>
        <w:tc>
          <w:tcPr>
            <w:tcW w:w="146" w:type="dxa"/>
            <w:tcBorders/>
            <w:shd w:fill="CCEEFF" w:val="clear"/>
            <w:vAlign w:val="center"/>
          </w:tcPr>
          <w:p>
            <w:pPr>
              <w:pStyle w:val="TableContents"/>
              <w:bidi w:val="0"/>
              <w:spacing w:before="0" w:after="0"/>
              <w:ind w:left="0" w:right="0" w:hanging="0"/>
              <w:jc w:val="left"/>
              <w:rPr/>
            </w:pPr>
            <w:r>
              <w:rPr/>
              <w:t> </w:t>
            </w:r>
          </w:p>
        </w:tc>
        <w:tc>
          <w:tcPr>
            <w:tcW w:w="18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  ​</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rate swaps</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4,255</w:t>
            </w:r>
          </w:p>
        </w:tc>
        <w:tc>
          <w:tcPr>
            <w:tcW w:w="34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Three Months Ended June 30, 2025</w:t>
            </w:r>
          </w:p>
        </w:tc>
        <w:tc>
          <w:tcPr>
            <w:tcW w:w="146" w:type="dxa"/>
            <w:tcBorders/>
            <w:shd w:fill="CCEEFF" w:val="clear"/>
            <w:vAlign w:val="center"/>
          </w:tcPr>
          <w:p>
            <w:pPr>
              <w:pStyle w:val="TableContents"/>
              <w:bidi w:val="0"/>
              <w:spacing w:before="0" w:after="0"/>
              <w:ind w:left="0" w:right="0" w:hanging="0"/>
              <w:jc w:val="left"/>
              <w:rPr/>
            </w:pPr>
            <w:r>
              <w:rPr/>
              <w:t>​</w:t>
            </w:r>
          </w:p>
        </w:tc>
        <w:tc>
          <w:tcPr>
            <w:tcW w:w="18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0"/>
              <w:ind w:left="0" w:right="0" w:hanging="0"/>
              <w:jc w:val="right"/>
              <w:rPr/>
            </w:pPr>
            <w:r>
              <w:rPr/>
              <w:t>​</w:t>
            </w:r>
          </w:p>
        </w:tc>
        <w:tc>
          <w:tcPr>
            <w:tcW w:w="1144" w:type="dxa"/>
            <w:tcBorders/>
            <w:shd w:fill="CCEEFF" w:val="clear"/>
            <w:vAlign w:val="center"/>
          </w:tcPr>
          <w:p>
            <w:pPr>
              <w:pStyle w:val="TableContents"/>
              <w:bidi w:val="0"/>
              <w:spacing w:before="0" w:after="0"/>
              <w:ind w:left="0" w:right="0" w:hanging="0"/>
              <w:jc w:val="right"/>
              <w:rPr/>
            </w:pPr>
            <w:r>
              <w:rPr/>
              <w:t>  ​</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rate swaps</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w:t>
            </w:r>
          </w:p>
        </w:tc>
        <w:tc>
          <w:tcPr>
            <w:tcW w:w="34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Six Months Ended June 30, 2026</w:t>
            </w:r>
          </w:p>
        </w:tc>
        <w:tc>
          <w:tcPr>
            <w:tcW w:w="146" w:type="dxa"/>
            <w:tcBorders/>
            <w:shd w:fill="CCEEFF" w:val="clear"/>
            <w:vAlign w:val="center"/>
          </w:tcPr>
          <w:p>
            <w:pPr>
              <w:pStyle w:val="TableContents"/>
              <w:bidi w:val="0"/>
              <w:spacing w:before="0" w:after="0"/>
              <w:ind w:left="0" w:right="0" w:hanging="0"/>
              <w:jc w:val="left"/>
              <w:rPr/>
            </w:pPr>
            <w:r>
              <w:rPr/>
              <w:t>​</w:t>
            </w:r>
          </w:p>
        </w:tc>
        <w:tc>
          <w:tcPr>
            <w:tcW w:w="18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  ​</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rate swaps</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8,825</w:t>
            </w:r>
          </w:p>
        </w:tc>
        <w:tc>
          <w:tcPr>
            <w:tcW w:w="34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Six Months Ended June 30, 2025</w:t>
            </w:r>
          </w:p>
        </w:tc>
        <w:tc>
          <w:tcPr>
            <w:tcW w:w="146" w:type="dxa"/>
            <w:tcBorders/>
            <w:shd w:fill="CCEEFF" w:val="clear"/>
            <w:vAlign w:val="center"/>
          </w:tcPr>
          <w:p>
            <w:pPr>
              <w:pStyle w:val="TableContents"/>
              <w:bidi w:val="0"/>
              <w:spacing w:before="0" w:after="0"/>
              <w:ind w:left="0" w:right="0" w:hanging="0"/>
              <w:jc w:val="left"/>
              <w:rPr/>
            </w:pPr>
            <w:r>
              <w:rPr/>
              <w:t>​</w:t>
            </w:r>
          </w:p>
        </w:tc>
        <w:tc>
          <w:tcPr>
            <w:tcW w:w="18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56" w:type="dxa"/>
            <w:tcBorders/>
            <w:shd w:fill="CCEEFF" w:val="clear"/>
            <w:vAlign w:val="center"/>
          </w:tcPr>
          <w:p>
            <w:pPr>
              <w:pStyle w:val="TableContents"/>
              <w:bidi w:val="0"/>
              <w:spacing w:before="0" w:after="0"/>
              <w:ind w:left="0" w:right="0" w:hanging="0"/>
              <w:jc w:val="right"/>
              <w:rPr/>
            </w:pPr>
            <w:r>
              <w:rPr/>
              <w:t>​</w:t>
            </w:r>
          </w:p>
        </w:tc>
        <w:tc>
          <w:tcPr>
            <w:tcW w:w="1144" w:type="dxa"/>
            <w:tcBorders/>
            <w:shd w:fill="CCEEFF" w:val="clear"/>
            <w:vAlign w:val="center"/>
          </w:tcPr>
          <w:p>
            <w:pPr>
              <w:pStyle w:val="TableContents"/>
              <w:bidi w:val="0"/>
              <w:spacing w:before="0" w:after="0"/>
              <w:ind w:left="0" w:right="0" w:hanging="0"/>
              <w:jc w:val="right"/>
              <w:rPr/>
            </w:pPr>
            <w:r>
              <w:rPr/>
              <w:t>  ​</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rate swaps</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(6,213)</w:t>
            </w:r>
          </w:p>
        </w:tc>
        <w:tc>
          <w:tcPr>
            <w:tcW w:w="34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13—Equity</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Common Stock</w:t>
      </w:r>
      <w:r>
        <w:rPr>
          <w:rFonts w:ascii="Times New Roman;Times;serif" w:hAnsi="Times New Roman;Times;serif"/>
          <w:sz w:val="20"/>
        </w:rPr>
        <w:t>—As of June 30, 2026, the Company has one class of common stock outstanding.</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April 2023, the Company and Portfolio Holdings entered into an ATM Equity Offering Sales Agreement (the “Primary Sales Agreement”) with the sales agents named therein pursuant to which the Company may sell, from time to time, shares of its common stock having an aggregate gross sales price of up to $300.0 million (the “Primary Shares”) through or to the sales agents. The Company may sell the Primary Shares in amounts and at times to be determined by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Company from time to time but has no obligation to sell any of the Primary Shares. Actual sales, if any, will depend on a variety of factors to be determined by the Company from time to time, including, among other things, market conditions, the trading price of the Company’s common stock, capital needs and determinations by the Company of the appropriate sources of its funding. Through June 30, 2026, the Company has not sold any shares of its common stock through the Primary Sales Agreement.</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4, 2025, the Company’s board of directors authorized the repurchase of up to $50.0 million of the Company’s common stock. The Company has </w:t>
      </w:r>
      <w:r>
        <w:rPr>
          <w:rFonts w:ascii="Times New Roman;Times;serif" w:hAnsi="Times New Roman;Times;serif"/>
          <w:sz w:val="20"/>
          <w:shd w:fill="FFFFFF" w:val="clear"/>
        </w:rPr>
        <w:t xml:space="preserve">no obligation to repurchase additional shares, and the timing, actual number and value of the shares that are repurchased, if any, will be at the discretion of management and will depend on a number of factors, including market conditions, the cost of repurchasing shares, the availability of alternative investment opportunities, liquidity, and other factors deemed appropriate. Repurchases may be suspended, terminated or modified at any time for any reason. </w:t>
      </w:r>
      <w:r>
        <w:rPr>
          <w:rFonts w:ascii="Times New Roman;Times;serif" w:hAnsi="Times New Roman;Times;serif"/>
          <w:sz w:val="20"/>
        </w:rPr>
        <w:t xml:space="preserve">The share repurchase program does not have an expiration date. </w:t>
      </w:r>
      <w:r>
        <w:rPr>
          <w:rFonts w:ascii="Times New Roman;Times;serif" w:hAnsi="Times New Roman;Times;serif"/>
          <w:sz w:val="20"/>
          <w:shd w:fill="FFFFFF" w:val="clear"/>
        </w:rPr>
        <w:t>Any repurchased shares will be returned to the status of authorized but unissued shares of common stock. During the six months ended June 30, 2026, the Company repurchased </w:t>
      </w:r>
      <w:r>
        <w:rPr>
          <w:rFonts w:ascii="Times New Roman;Times;serif" w:hAnsi="Times New Roman;Times;serif"/>
          <w:sz w:val="20"/>
        </w:rPr>
        <w:t>1.1</w:t>
      </w:r>
      <w:r>
        <w:rPr>
          <w:rFonts w:ascii="Times New Roman;Times;serif" w:hAnsi="Times New Roman;Times;serif"/>
          <w:sz w:val="20"/>
          <w:shd w:fill="FFFFFF" w:val="clear"/>
        </w:rPr>
        <w:t> million shares of its outstanding common stock for $</w:t>
      </w:r>
      <w:r>
        <w:rPr>
          <w:rFonts w:ascii="Times New Roman;Times;serif" w:hAnsi="Times New Roman;Times;serif"/>
          <w:sz w:val="20"/>
        </w:rPr>
        <w:t>16.3</w:t>
      </w:r>
      <w:r>
        <w:rPr>
          <w:rFonts w:ascii="Times New Roman;Times;serif" w:hAnsi="Times New Roman;Times;serif"/>
          <w:sz w:val="20"/>
          <w:shd w:fill="FFFFFF" w:val="clear"/>
        </w:rPr>
        <w:t> million, representing an average cost of $</w:t>
      </w:r>
      <w:r>
        <w:rPr>
          <w:rFonts w:ascii="Times New Roman;Times;serif" w:hAnsi="Times New Roman;Times;serif"/>
          <w:sz w:val="20"/>
        </w:rPr>
        <w:t>15.00</w:t>
      </w:r>
      <w:r>
        <w:rPr>
          <w:rFonts w:ascii="Times New Roman;Times;serif" w:hAnsi="Times New Roman;Times;serif"/>
          <w:sz w:val="20"/>
          <w:shd w:fill="FFFFFF" w:val="clear"/>
        </w:rPr>
        <w:t> per share, including fees. As of June 30, 2026, the Company had $</w:t>
      </w:r>
      <w:r>
        <w:rPr>
          <w:rFonts w:ascii="Times New Roman;Times;serif" w:hAnsi="Times New Roman;Times;serif"/>
          <w:sz w:val="20"/>
        </w:rPr>
        <w:t>33.7</w:t>
      </w:r>
      <w:r>
        <w:rPr>
          <w:rFonts w:ascii="Times New Roman;Times;serif" w:hAnsi="Times New Roman;Times;serif"/>
          <w:sz w:val="20"/>
          <w:shd w:fill="FFFFFF" w:val="clear"/>
        </w:rPr>
        <w:t> million remaining under the share repurchase authorization. Subsequent to June 30, 2026, the Company repurchased </w:t>
      </w:r>
      <w:r>
        <w:rPr>
          <w:rFonts w:ascii="Times New Roman;Times;serif" w:hAnsi="Times New Roman;Times;serif"/>
          <w:sz w:val="20"/>
        </w:rPr>
        <w:t>0.2</w:t>
      </w:r>
      <w:r>
        <w:rPr>
          <w:rFonts w:ascii="Times New Roman;Times;serif" w:hAnsi="Times New Roman;Times;serif"/>
          <w:sz w:val="20"/>
          <w:shd w:fill="FFFFFF" w:val="clear"/>
        </w:rPr>
        <w:t> million shares of its outstanding common stock for $</w:t>
      </w:r>
      <w:r>
        <w:rPr>
          <w:rFonts w:ascii="Times New Roman;Times;serif" w:hAnsi="Times New Roman;Times;serif"/>
          <w:sz w:val="20"/>
        </w:rPr>
        <w:t>3.7</w:t>
      </w:r>
      <w:r>
        <w:rPr>
          <w:rFonts w:ascii="Times New Roman;Times;serif" w:hAnsi="Times New Roman;Times;serif"/>
          <w:sz w:val="20"/>
          <w:shd w:fill="FFFFFF" w:val="clear"/>
        </w:rPr>
        <w:t> million, representing an average cost of $</w:t>
      </w:r>
      <w:r>
        <w:rPr>
          <w:rFonts w:ascii="Times New Roman;Times;serif" w:hAnsi="Times New Roman;Times;serif"/>
          <w:sz w:val="20"/>
        </w:rPr>
        <w:t>16.40</w:t>
      </w:r>
      <w:r>
        <w:rPr>
          <w:rFonts w:ascii="Times New Roman;Times;serif" w:hAnsi="Times New Roman;Times;serif"/>
          <w:sz w:val="20"/>
          <w:shd w:fill="FFFFFF" w:val="clear"/>
        </w:rPr>
        <w:t xml:space="preserve"> per share, including fees. </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Equity Plans</w:t>
      </w:r>
      <w:r>
        <w:rPr>
          <w:rFonts w:ascii="Times New Roman;Times;serif" w:hAnsi="Times New Roman;Times;serif"/>
          <w:sz w:val="20"/>
        </w:rPr>
        <w:t>—</w:t>
      </w:r>
      <w:r>
        <w:rPr>
          <w:rFonts w:ascii="Times New Roman;Times;serif" w:hAnsi="Times New Roman;Times;serif"/>
          <w:sz w:val="20"/>
          <w:shd w:fill="FFFFFF" w:val="clear"/>
        </w:rPr>
        <w:t xml:space="preserve">The Company has a Long-Term Incentive Program (the “LTIP”), originally adopted by iStar’s board of directors and approved by iStar’s stockholders in 2021, designed to provide incentive compensation for officers, key employees, directors and advisors of the Company. The LTIP provides for awards of stock options, shares of restricted stock, phantom shares, restricted stock units, dividend equivalent rights and other share-based performance awards. All awards under the LTIP are made at the discretion of the Company’s Board of Directors. </w:t>
      </w:r>
      <w:r>
        <w:rPr>
          <w:rFonts w:ascii="Times New Roman;Times;serif" w:hAnsi="Times New Roman;Times;serif"/>
          <w:sz w:val="20"/>
        </w:rPr>
        <w:t xml:space="preserve">Grants under the LTIP are recognized as compensation costs ratably over the applicable vesting period and recorded in “General and administrative” in the Company’s consolidated statements of operations. </w:t>
      </w:r>
      <w:r>
        <w:rPr>
          <w:rFonts w:ascii="Times New Roman;Times;serif" w:hAnsi="Times New Roman;Times;serif"/>
          <w:sz w:val="20"/>
          <w:shd w:fill="FFFFFF" w:val="clear"/>
        </w:rPr>
        <w:t>In May 2026, the Company issued an aggregate </w:t>
      </w:r>
      <w:r>
        <w:rPr>
          <w:rFonts w:ascii="Times New Roman;Times;serif" w:hAnsi="Times New Roman;Times;serif"/>
          <w:sz w:val="20"/>
        </w:rPr>
        <w:t>39,989</w:t>
      </w:r>
      <w:r>
        <w:rPr>
          <w:rFonts w:ascii="Times New Roman;Times;serif" w:hAnsi="Times New Roman;Times;serif"/>
          <w:sz w:val="20"/>
          <w:shd w:fill="FFFFFF" w:val="clear"/>
        </w:rPr>
        <w:t> shares of its common stock with a grant date fair value of $</w:t>
      </w:r>
      <w:r>
        <w:rPr>
          <w:rFonts w:ascii="Times New Roman;Times;serif" w:hAnsi="Times New Roman;Times;serif"/>
          <w:sz w:val="20"/>
        </w:rPr>
        <w:t>14.61</w:t>
      </w:r>
      <w:r>
        <w:rPr>
          <w:rFonts w:ascii="Times New Roman;Times;serif" w:hAnsi="Times New Roman;Times;serif"/>
          <w:sz w:val="20"/>
          <w:shd w:fill="FFFFFF" w:val="clear"/>
        </w:rPr>
        <w:t> per share to its directors that vest after </w:t>
      </w:r>
      <w:r>
        <w:rPr>
          <w:rFonts w:ascii="Times New Roman;Times;serif" w:hAnsi="Times New Roman;Times;serif"/>
          <w:sz w:val="20"/>
        </w:rPr>
        <w:t>one year</w:t>
      </w:r>
      <w:r>
        <w:rPr>
          <w:rFonts w:ascii="Times New Roman;Times;serif" w:hAnsi="Times New Roman;Times;serif"/>
          <w:sz w:val="20"/>
          <w:shd w:fill="FFFFFF" w:val="clear"/>
        </w:rPr>
        <w:t> in consideration for their annual service as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2026, the Company issued awards under the LTIP to certain employees that are subject to certain stock price hurdles that are market conditions. These awards have seven tranches, each representing a different stock price hurdle. For each tranche to vest, during the performance period ending February 2031, the Company’s 30 trading day trailing average trading price must equal or exceed the stock price targets. In addition, an investment origination hurdle must be met alongside a continuous service requirement for each employee. Upon attainment of these metrics, the awards will vest in February 2031, subject to earlier vesting in the case of certain terminations of employment.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2026, the Company issued awards under the LTIP to certain employees subject to performance obligations. These awards have three tranches each representing a different investment origination hurdle. Each tranche of awards will vest in December 2028 provided the investment origination hurdle has been met prior to July 2028 and subject to earlier vesting in the case of certain terminations of employment. In addition to the investment origination hurdles, there is also a continuous service requirement for each employee.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2026, the LTIP was amended to increase the aggregate number of shares of the Company’s common stock available for issuance. As of June 30, 2026, an aggregate of 2,720,900 shares of the Company’s common stock remains available for issuance under the LTIP. As of June 30, 2026, there was $22.2 million of total unrecognized compensation cost related to all unvested restricted stock units that is expected to be recognized over a weighted average remaining vesting/service period of 3.6 years</w:t>
      </w:r>
      <w:r>
        <w:rPr>
          <w:rFonts w:ascii="Times New Roman;Times;serif" w:hAnsi="Times New Roman;Times;serif"/>
          <w:sz w:val="20"/>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shd w:fill="FFFFFF" w:val="clear"/>
        </w:rPr>
        <w:t>Caret Performance Incentive Plan</w:t>
      </w:r>
      <w:r>
        <w:rPr>
          <w:rFonts w:ascii="Times New Roman;Times;serif" w:hAnsi="Times New Roman;Times;serif"/>
          <w:sz w:val="20"/>
        </w:rPr>
        <w:t>—</w:t>
      </w:r>
      <w:r>
        <w:rPr>
          <w:rFonts w:ascii="Times New Roman;Times;serif" w:hAnsi="Times New Roman;Times;serif"/>
          <w:sz w:val="20"/>
          <w:shd w:fill="FFFFFF" w:val="clear"/>
        </w:rPr>
        <w:t>The Company has a Caret performance incentive plan pursuant to which Caret units of Portfolio Holdings are reserved for grants of performance-based awards to participants, including certain officers, key employees, directors and service providers (the “Caret Performance Incentive Plan”). As of June 30, 2026, all outstanding Caret units awarded under the Caret Performance Incentive Plan are fully vested except for (i)</w:t>
      </w:r>
      <w:r>
        <w:rPr>
          <w:rFonts w:ascii="Times New Roman;Times;serif" w:hAnsi="Times New Roman;Times;serif"/>
          <w:sz w:val="20"/>
        </w:rPr>
        <w:t xml:space="preserve"> Caret units granted to executive officers and other employees, which are subject to cliff vesting </w:t>
      </w:r>
      <w:r>
        <w:rPr>
          <w:rFonts w:ascii="Times New Roman;Times;serif" w:hAnsi="Times New Roman;Times;serif"/>
          <w:sz w:val="20"/>
          <w:shd w:fill="FFFFFF" w:val="clear"/>
        </w:rPr>
        <w:t>on March 31, 2027 if the Company’s common stock has traded at an average per share price of $60.00 or more for at least 30 consecutive trading days since the grant date; (ii) Caret units granted to one employee in December 2025 that will vest pro rata annually over a five-year period, subject to continued employment and service conditions; (iii) Caret units granted to one employee in May 2026 that will vest pro rata annually over a five-year period, subject to continued employment and service conditions; and (iv) Caret units granted to employees in May 2026 that will cliff vest on May 15, 2031, subject to continued employment and service conditions. As of June 30, 2026, there was $9.7 million of total unrecognized compensation cost related to all unvested Caret units that is expected to be recognized over a remaining vesting/service period of 2.8 years.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As of June 30, 2026, Caret Performance Incentive Plan participants held 1,475,604 Caret units, representing 15.4% of the outstanding Caret units and 12.3% of the authorized Caret units, and 14,396 Caret units remain available for issuance under the Caret Performance Incentive Plan.</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2026 and 2025, the Company recognized $1.0 million and $0.3 million, respectively, of expense from Caret units, which is recorded in “General and administrative” in the Company’s consolidated statements of operations and “Noncontrolling interests” on the Company’s consolidated balance sheets. During the six months ended June 30, 2026 and 2025, the Company recognized $1.8 million and $0.7 million, respectively, of expense from Caret units, which is recorded in “General and administrative” in the Company’s consolidated statements of operations and “Noncontrolling interests” on the Company’s consolidated balance sheets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401(K) Plan</w:t>
      </w:r>
      <w:r>
        <w:rPr>
          <w:rFonts w:ascii="Times New Roman;Times;serif" w:hAnsi="Times New Roman;Times;serif"/>
          <w:sz w:val="20"/>
        </w:rPr>
        <w:t>—The Company has a savings and retirement plan (the "401(k) Plan"), which is a voluntary, defined contribution plan. All employees are eligible to participate in the 401(k) Plan following completion of three months of continuous service with the Company. Each participant may contribute on a pretax basis up to the maximum percentage of compensation and dollar amount permissible under Section 402(g) of the Internal Revenue Code not to exceed the limits of Code Sections 401(k), 404 and 415. At the discretion of the Company’s Board of Directors, the Company may make matching contributions on the participant’s behalf of up to 50% of the participant’s contributions, up to a maximum of 10% of the participants’ compensation. The Company made gross contributions of $0.5 million and $0.5 million, respectively, for the six months ended June 30, 2026 and 2025.</w:t>
      </w:r>
    </w:p>
    <w:p>
      <w:pPr>
        <w:pStyle w:val="TextBody"/>
        <w:shd w:fill="FFFFFF" w:val="clear"/>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Accumulated Other Comprehensive Income (Loss)</w:t>
      </w:r>
      <w:r>
        <w:rPr>
          <w:rFonts w:ascii="Times New Roman;Times;serif" w:hAnsi="Times New Roman;Times;serif"/>
          <w:sz w:val="20"/>
        </w:rPr>
        <w:t>—Accumulated other comprehensive income (loss) consists of net unrealized gains (losses) on the Company’s derivative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Noncontrolling Interests</w:t>
      </w:r>
      <w:r>
        <w:rPr>
          <w:rFonts w:ascii="Times New Roman;Times;serif" w:hAnsi="Times New Roman;Times;serif"/>
          <w:sz w:val="20"/>
        </w:rPr>
        <w:t xml:space="preserve">—Noncontrolling interests includes unrelated third-party equity interests in ventures that are consolidated in the Company’s consolidated financial statements and Caret units that have been sold to third-parties or have been granted to employees or former employees.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Dividends</w:t>
      </w:r>
      <w:r>
        <w:rPr>
          <w:rFonts w:ascii="Times New Roman;Times;serif" w:hAnsi="Times New Roman;Times;serif"/>
          <w:sz w:val="20"/>
        </w:rPr>
        <w:t xml:space="preserve">—The Company (then known as iStar) elected to be taxed as a REIT beginning with its taxable year ended December 31, 1998. To qualify as a REIT, the Company must annually distribute, at a minimum, an amount equal to 90% of its taxable income, excluding net capital gains, and must distribute 100% of its taxable income (including net capital gains) to eliminate corporate federal income taxes payable by the REIT.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six months ended June 30, 2026 and 2025,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Company declared cash dividends on its common stock of $25.5 million, or $0.354 per share, and $25.6 million, or $0.354 per share, respectively.</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644" w:name="Tc_kGJlTQ6k5ka2xq--yI6ovA_16_11"/>
      <w:bookmarkStart w:id="1645" w:name="Tc_laLuP9t1YEWGDmDBpAKiqQ_16_8"/>
      <w:bookmarkStart w:id="1646" w:name="Tc__ewk8cr_1UmMuufBS4GB_g_16_5"/>
      <w:bookmarkStart w:id="1647" w:name="Tc_xNiAe0xM5UypLuQuJ-T18w_16_2"/>
      <w:bookmarkStart w:id="1648" w:name="Tc_OOYWbmRpqUC32Ty87detLQ_16_0"/>
      <w:bookmarkStart w:id="1649" w:name="Tc_Wljfty_mikyxqY6Cn5V77g_15_11"/>
      <w:bookmarkStart w:id="1650" w:name="Tc_RRl7uJHeQUGI60XAXio4uw_15_8"/>
      <w:bookmarkStart w:id="1651" w:name="Tc_9l0-F1aNfk-6QSHdufTeeA_15_5"/>
      <w:bookmarkStart w:id="1652" w:name="Tc_RrllWwJBUku8b-GT6hF_qQ_15_2"/>
      <w:bookmarkStart w:id="1653" w:name="Tc_6bnPjGqmMk6jD-7ATUEhmQ_15_0"/>
      <w:bookmarkStart w:id="1654" w:name="Tc_uPmP61BmJEKS8hDv5o64Sg_14_0"/>
      <w:bookmarkStart w:id="1655" w:name="Tc_tfJdIydJ0UWhhhJ-Y1f1bA_12_0"/>
      <w:bookmarkStart w:id="1656" w:name="Tc_p_9aRHMuFUyQFfOx6VAE6g_11_0"/>
      <w:bookmarkStart w:id="1657" w:name="Tc_QfjPxw_WZ0W5ULBH0Joowg_10_0"/>
      <w:bookmarkStart w:id="1658" w:name="Tc_Rt5a1G5LX0Gec-dlsbPLhg_9_0"/>
      <w:bookmarkStart w:id="1659" w:name="Tc_U-hGkGUhdkSdGmZtPMHY0Q_7_11"/>
      <w:bookmarkStart w:id="1660" w:name="Tc_3GSfEJcoBkKdPL0QSCeCRA_7_8"/>
      <w:bookmarkStart w:id="1661" w:name="Tc_6eVs4cdKXUikLgkyXvnQiA_7_5"/>
      <w:bookmarkStart w:id="1662" w:name="Tc_NJiDanqtWUCccwxlTbUcQg_7_2"/>
      <w:bookmarkStart w:id="1663" w:name="Tc_VWVrj0t4uEKRphfeoIrDxQ_7_0"/>
      <w:bookmarkStart w:id="1664" w:name="Tc_ev3PDLIaZEWvwbheiCXTCQ_6_11"/>
      <w:bookmarkStart w:id="1665" w:name="Tc_kzO-z3ilEkSh1vuYFia4Wg_6_8"/>
      <w:bookmarkStart w:id="1666" w:name="Tc_1UkUjFbJ2kyoh0expepXsg_6_5"/>
      <w:bookmarkStart w:id="1667" w:name="Tc_MtxJxrTbjUGB_T-ro_rMtg_6_2"/>
      <w:bookmarkStart w:id="1668" w:name="Tc_LTULUsAxmkK0Y7Kjuie9gQ_6_0"/>
      <w:bookmarkStart w:id="1669" w:name="Tc_xhXij9diF0SSchAF2L9A-Q_5_0"/>
      <w:bookmarkStart w:id="1670" w:name="Tc_NM57h5o0LkSyToq6_ck6Kg_4_0"/>
      <w:bookmarkStart w:id="1671" w:name="Tc_PcBsJ3qNqES-P8W93ANKRg_3_11"/>
      <w:bookmarkStart w:id="1672" w:name="Tc_OcU13T1mw0-CsbUUCThDjA_3_8"/>
      <w:bookmarkStart w:id="1673" w:name="Tc_x1u5LRLXLEm_drXOGHg9bQ_3_5"/>
      <w:bookmarkStart w:id="1674" w:name="Tc_BfzxTZ5Wrkes_m4DWIMSAQ_3_2"/>
      <w:bookmarkStart w:id="1675" w:name="Tc_85r6vfr7u0GqIIanI0dagw_2_8"/>
      <w:bookmarkStart w:id="1676" w:name="Tc_VBrKOn8tsUq5WJhqzuEzbA_2_2"/>
      <w:bookmarkStart w:id="1677" w:name="Tc_IphQvDJhZU2THn_JA9YHZw_1_8"/>
      <w:bookmarkStart w:id="1678" w:name="Tc_5XO2PzYGBkybmJ0WNPJ0MA_1_2"/>
      <w:bookmarkStart w:id="1679" w:name="Tc_76shwDsjF06Udkkcoe5ZUQ_6_11"/>
      <w:bookmarkStart w:id="1680" w:name="Tc_dOLslqJOLE-8dZjunI10Yg_6_8"/>
      <w:bookmarkStart w:id="1681" w:name="Tc_HhYIfNkwt0O1bSBJGu2glQ_6_5"/>
      <w:bookmarkStart w:id="1682" w:name="Tc_jEWVptPtpUuaC6pJX1c6Lw_6_2"/>
      <w:bookmarkStart w:id="1683" w:name="Tc_EG2rUrac8kKQLomM4HHh9A_6_0"/>
      <w:bookmarkStart w:id="1684" w:name="Tc_j2WdOX7itEeTfc0uqLHPVg_5_0"/>
      <w:bookmarkStart w:id="1685" w:name="Tc_msPtUVIXDkW9FKX9eIffdA_4_11"/>
      <w:bookmarkStart w:id="1686" w:name="Tc_FcXMbcPIAU-5PbWRN_Asww_4_8"/>
      <w:bookmarkStart w:id="1687" w:name="Tc_n59vU10gZkOaZvj3jHbPgg_4_5"/>
      <w:bookmarkStart w:id="1688" w:name="Tc_d8OS8NaUdkOu5J9Jr_pyAA_4_2"/>
      <w:bookmarkStart w:id="1689" w:name="Tc_UqOREyksO0u1lOGVEXfzKA_4_0"/>
      <w:bookmarkStart w:id="1690" w:name="Tc_aPFBuIKCmU-ffDJRM9tbbA_3_11"/>
      <w:bookmarkStart w:id="1691" w:name="Tc_kbgcxDsZaUykNTkHiI3f-A_3_8"/>
      <w:bookmarkStart w:id="1692" w:name="Tc_cQYtJ0iPB0qdXcziWYYSrA_3_5"/>
      <w:bookmarkStart w:id="1693" w:name="Tc_QWam5D9lVE22yEOzIk_amA_3_2"/>
      <w:bookmarkStart w:id="1694" w:name="Tc_JGgLzIvCTkeW0fi1apbILQ_2_8"/>
      <w:bookmarkStart w:id="1695" w:name="Tc_acpHkVLE2USjNBGepS6TPw_2_2"/>
      <w:bookmarkStart w:id="1696" w:name="Tc_veQuwNwg2EKQs5NyHWGW_Q_1_8"/>
      <w:bookmarkStart w:id="1697" w:name="Tc_9wJzhTC-8kmA_LrmL1-qnA_1_2"/>
      <w:bookmarkStart w:id="1698" w:name="_832b986f_7e48_498c_b44f_255fde30d58d"/>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r>
        <w:rPr>
          <w:rFonts w:ascii="Times New Roman;Times;serif" w:hAnsi="Times New Roman;Times;serif"/>
          <w:b/>
          <w:sz w:val="20"/>
        </w:rPr>
        <w:t>Note 14—Earnings Per Share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Earnings per share (“EPS”) is calculated by dividing net income attributable to common shareholders by the weighted average number of shares outstanding for the period. The following tables present a reconciliation of net income used in the basic and diluted EPS calculations ($ and shares in thousands, except for per share data): </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5168"/>
        <w:gridCol w:w="346"/>
        <w:gridCol w:w="211"/>
        <w:gridCol w:w="676"/>
        <w:gridCol w:w="346"/>
        <w:gridCol w:w="211"/>
        <w:gridCol w:w="676"/>
        <w:gridCol w:w="346"/>
        <w:gridCol w:w="211"/>
        <w:gridCol w:w="676"/>
        <w:gridCol w:w="346"/>
        <w:gridCol w:w="211"/>
        <w:gridCol w:w="781"/>
      </w:tblGrid>
      <w:tr>
        <w:trPr/>
        <w:tc>
          <w:tcPr>
            <w:tcW w:w="5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281680" cy="175260"/>
                      <wp:effectExtent l="0" t="0" r="0" b="0"/>
                      <wp:wrapNone/>
                      <wp:docPr id="462" name="Frame462"/>
                      <a:graphic xmlns:a="http://schemas.openxmlformats.org/drawingml/2006/main">
                        <a:graphicData uri="http://schemas.microsoft.com/office/word/2010/wordprocessingShape">
                          <wps:wsp>
                            <wps:cNvSpPr txBox="1"/>
                            <wps:spPr>
                              <a:xfrm>
                                <a:off x="0" y="0"/>
                                <a:ext cx="3281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63"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64" name="Frame4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29260" cy="175260"/>
                      <wp:effectExtent l="0" t="0" r="0" b="0"/>
                      <wp:wrapNone/>
                      <wp:docPr id="465" name="Frame4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66"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67"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29260" cy="175260"/>
                      <wp:effectExtent l="0" t="0" r="0" b="0"/>
                      <wp:wrapNone/>
                      <wp:docPr id="468" name="Frame4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69"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70" name="Frame4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29260" cy="175260"/>
                      <wp:effectExtent l="0" t="0" r="0" b="0"/>
                      <wp:wrapNone/>
                      <wp:docPr id="471" name="Frame4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72"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3985" cy="175260"/>
                      <wp:effectExtent l="0" t="0" r="0" b="0"/>
                      <wp:wrapNone/>
                      <wp:docPr id="473" name="Frame4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95935" cy="175260"/>
                      <wp:effectExtent l="0" t="0" r="0" b="0"/>
                      <wp:wrapNone/>
                      <wp:docPr id="474" name="Frame4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1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16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57,379</w:t>
            </w:r>
          </w:p>
        </w:tc>
      </w:tr>
      <w:tr>
        <w:trPr/>
        <w:tc>
          <w:tcPr>
            <w:tcW w:w="51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51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for basic and diluted earnings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57,311</w:t>
            </w:r>
          </w:p>
        </w:tc>
      </w:tr>
    </w:tbl>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5228"/>
        <w:gridCol w:w="346"/>
        <w:gridCol w:w="211"/>
        <w:gridCol w:w="676"/>
        <w:gridCol w:w="346"/>
        <w:gridCol w:w="211"/>
        <w:gridCol w:w="676"/>
        <w:gridCol w:w="346"/>
        <w:gridCol w:w="211"/>
        <w:gridCol w:w="676"/>
        <w:gridCol w:w="346"/>
        <w:gridCol w:w="211"/>
        <w:gridCol w:w="721"/>
      </w:tblGrid>
      <w:tr>
        <w:trPr/>
        <w:tc>
          <w:tcPr>
            <w:tcW w:w="5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3319780" cy="175260"/>
                      <wp:effectExtent l="0" t="0" r="0" b="0"/>
                      <wp:wrapNone/>
                      <wp:docPr id="475" name="Frame475"/>
                      <a:graphic xmlns:a="http://schemas.openxmlformats.org/drawingml/2006/main">
                        <a:graphicData uri="http://schemas.microsoft.com/office/word/2010/wordprocessingShape">
                          <wps:wsp>
                            <wps:cNvSpPr txBox="1"/>
                            <wps:spPr>
                              <a:xfrm>
                                <a:off x="0" y="0"/>
                                <a:ext cx="3319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710" cy="175260"/>
                      <wp:effectExtent l="0" t="0" r="0" b="0"/>
                      <wp:wrapNone/>
                      <wp:docPr id="476"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33985" cy="175260"/>
                      <wp:effectExtent l="0" t="0" r="0" b="0"/>
                      <wp:wrapNone/>
                      <wp:docPr id="477" name="Frame4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429260" cy="175260"/>
                      <wp:effectExtent l="0" t="0" r="0" b="0"/>
                      <wp:wrapNone/>
                      <wp:docPr id="478" name="Frame4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19710" cy="175260"/>
                      <wp:effectExtent l="0" t="0" r="0" b="0"/>
                      <wp:wrapNone/>
                      <wp:docPr id="479" name="Frame4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3985" cy="175260"/>
                      <wp:effectExtent l="0" t="0" r="0" b="0"/>
                      <wp:wrapNone/>
                      <wp:docPr id="480" name="Frame4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429260" cy="175260"/>
                      <wp:effectExtent l="0" t="0" r="0" b="0"/>
                      <wp:wrapNone/>
                      <wp:docPr id="481" name="Frame4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82"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33985" cy="175260"/>
                      <wp:effectExtent l="0" t="0" r="0" b="0"/>
                      <wp:wrapNone/>
                      <wp:docPr id="483" name="Frame4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29260" cy="175260"/>
                      <wp:effectExtent l="0" t="0" r="0" b="0"/>
                      <wp:wrapNone/>
                      <wp:docPr id="484" name="Frame4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85" name="Frame4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33985" cy="175260"/>
                      <wp:effectExtent l="0" t="0" r="0" b="0"/>
                      <wp:wrapNone/>
                      <wp:docPr id="486" name="Frame4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57835" cy="175260"/>
                      <wp:effectExtent l="0" t="0" r="0" b="0"/>
                      <wp:wrapNone/>
                      <wp:docPr id="487" name="Frame48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1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2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1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2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2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attributable to common shares: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5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 for basic and diluted earnings per share:</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  ​</w:t>
            </w:r>
          </w:p>
        </w:tc>
      </w:tr>
      <w:tr>
        <w:trPr/>
        <w:tc>
          <w:tcPr>
            <w:tcW w:w="5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basic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57,311</w:t>
            </w:r>
          </w:p>
        </w:tc>
      </w:tr>
      <w:tr>
        <w:trPr/>
        <w:tc>
          <w:tcPr>
            <w:tcW w:w="5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30,155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27,947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59,016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57,311</w:t>
            </w:r>
          </w:p>
        </w:tc>
      </w:tr>
      <w:tr>
        <w:trPr/>
        <w:tc>
          <w:tcPr>
            <w:tcW w:w="522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r>
        <w:trPr/>
        <w:tc>
          <w:tcPr>
            <w:tcW w:w="5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 for basic and diluted earnings per share: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5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for basic earnings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71,631</w:t>
            </w:r>
          </w:p>
        </w:tc>
      </w:tr>
      <w:tr>
        <w:trPr/>
        <w:tc>
          <w:tcPr>
            <w:tcW w:w="5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 Effect of assumed shares under treasury stock method for restricted stock units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5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for diluted earnings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71,718</w:t>
            </w:r>
          </w:p>
        </w:tc>
      </w:tr>
      <w:tr>
        <w:trPr/>
        <w:tc>
          <w:tcPr>
            <w:tcW w:w="52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5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earnings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5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0.80</w:t>
            </w:r>
          </w:p>
        </w:tc>
      </w:tr>
      <w:tr>
        <w:trPr/>
        <w:tc>
          <w:tcPr>
            <w:tcW w:w="5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Safehold Inc. common shareholders -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0.80</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15—Related Party Transactions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Acquisitions and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is a list of transactions in which the Company and other persons deemed to be related parties have participated for the periods presented. These transactions were approved by the Company’s independent directors in accordance with the Company’s policy with respect to related party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entered into a discretionary commitment to fund up to $9.0 million of preferred equity in an entity that owned the leasehold interest under one of the Company’s office Ground Leases located in Washington, DC and through March 31, 2025, the Company funded $1.5 million of the commitment amount. At inception in April 2024, the Company incurred $0.4 million of costs creating the entity formed to own the leasehold interest, which resulted in a total investment balance of $1.9 million. In May 2025, the leasehold interest was acquired by a new sponsor and the Company determined its investment was not recoverable, which resulted in a $1.9 million write-off of the Company’s preferred equity investment as of March 31, 2025. The write-off is included in “Other expense” in the Company’s consolidated statement of operations.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Star Holdings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March 31, 2023, immediately prior to the closing of the Merger, the Company (then known as iStar Inc.) spun-off of its remaining legacy assets and certain other assets (the “Spin-Off”) pursuant to a separation and distribution agreement (the “Separation and Distribution Agreement”), dated as of March 31, 2023, by and between the Company and Star Holdings. The Separation and Distribution Agreement sets forth, among other things, Star Holdings’ agreements with the Company regarding the principal transactions necessary to separate Star Holdings from the Company. It also sets forth other agreements that govern certain aspects of Star Holdings’ relationship with the Company after the Spin-Off relating to the transfer of assets and assumption of liabilities, cash assets, release of claims, insurance, non-solicitation, segregation of accounts and other matters. The Separation and Distribution Agreement also includes a mutual release by Star Holdings, on the one hand, and the Company, on the other hand, of the other party from certain specified liabilities, as well as mutual indemnification covenants pursuant to which Star Holdings and the Company have agreed to indemnify each other from certain specified liabilities.</w:t>
      </w:r>
    </w:p>
    <w:p>
      <w:pPr>
        <w:pStyle w:val="TextBody"/>
        <w:shd w:fill="FFFFFF" w:val="clear"/>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SpinCo Manager is party to a management agreement with Star Holdings, pursuant to which it will operate and pursue the orderly monetization of Star Holding’s assets. On March 28, 2025, the Company and Star Holdings entered into an amendment to the Management Agreement that increased the management fee payable in year four of the contract from $5.0 million to $7.5 million and increased the termination fee payable by Star Holdings in certain circumstances from $50.0 million to $55.0 million. Pursuant to the management agreement, Star Holdings paid to SpinCo Manager an annual management fee of $25.0 million for the annual term ended March 31, 2024, $15.0 million for the annual term ended March 31, 2025 and $10.0 million for the annual term ended March 31, 2026. The annual fee declined to $7.5 million for the next annual term and adjusts to 2.0% of the gross book value of Star Holding's assets, excluding shares of the Company’s common stock held by Star Holdings, thereafter. The management agreement had an initial one-year term and now automatically renews for successive one-year terms each anniversary date thereafter unless previously terminated. The management agreement may be terminated by Star Holdings without cause by not less than one hundred eighty days’ written notice to SpinCo Manager upon the affirmative vote of at least </w:t>
      </w:r>
      <w:r>
        <w:rPr>
          <w:rFonts w:ascii="Times New Roman;Times;serif" w:hAnsi="Times New Roman;Times;serif"/>
          <w:b w:val="false"/>
          <w:i w:val="false"/>
          <w:caps w:val="false"/>
          <w:smallCaps w:val="false"/>
          <w:sz w:val="20"/>
        </w:rPr>
        <w:t>two-thirds</w:t>
      </w:r>
      <w:r>
        <w:rPr>
          <w:rFonts w:ascii="Times New Roman;Times;serif" w:hAnsi="Times New Roman;Times;serif"/>
          <w:sz w:val="20"/>
        </w:rPr>
        <w:t xml:space="preserve"> of Star Holdings’ independent directors, provided, however, that if the date of termination occurs prior to March 31, 2027, the termination will be subject to payment of the applicable termination fee to SpinCo Manager. Star Holdings may also terminate the management agreement at any time with 30 days’ prior written notice from Star Holdings’ board of trustees for “cause,” as defined in the management agreement.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event of a termination without cause by Star Holdings prior to March 31, 2027, Star Holdings will pay SpinCo Manager a termination fee of $55.0 million minus the aggregate amount of management fees actually paid to SpinCo Manager prior to the termination date. However, if Star Holdings has completed the liquidation of its assets on or before the termination date, the termination fee will consist of any portion of the annual management fee that remained unpaid for the remainder of the then current annual term.</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During the three months ended June 30, 2026 and 2025, the Company recorded $1.9 million and $2.7 million, respectively, in management fees from Star Holdings. During the six months ended June 30, 2026 and 2025,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recorded $4.0 million and $6.3 million, respectively, in management fees from Star Holdings. The management fees are included in “Other income” in the Company’s consolidated statements of operations.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and Star Holdings also entered into a governance agreement that places certain restrictions on the transfer and voting of the shares of the Company owned by Star Holdings, and a registration rights agreement under which the Company agreed to register such shares for resale in accordance with applicable securities laws. As of June 30, 2026, Star Holdings owned approximately 19.0% of the Company’s common stock outstanding through a wholly-owned subsidiary.</w:t>
      </w:r>
    </w:p>
    <w:p>
      <w:pPr>
        <w:pStyle w:val="TextBody"/>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April 2023, the Company, Portfolio Holdings and Star Investment Holdings SPV LLC (“Star Investment Holdings”), a subsidiary of Star Holdings, entered into an ATM Equity Offering Sales Agreement (the “Selling Stockholder Sales Agreement”) with the sales agents named therein pursuant to which Star Investment Holdings may sell, from time to time, subject to receiving the Company’s consent, up to 1,000,000 shares of the Company’s common stock (the “Selling Stockholder Shares”) through or to the sales agents. Star Investment Holdings may sell the Selling Stockholder Shares in amounts and at times to be determined by Star Investment Holdings, subject to receiving the Company’s consent, from time to time but has no obligation to sell any of the Selling Stockholder Shares. Actual sales, if any, will depend on a variety of factors to be determined by Star Investment Holdings from time to time, including, among other things, market conditions, the trading price of the Company’s common stock, capital needs and determinations by Star Investment Holdings of the appropriate sources of its funding.</w:t>
      </w:r>
    </w:p>
    <w:p>
      <w:pPr>
        <w:pStyle w:val="TextBody"/>
        <w:shd w:fill="FFFFFF" w:val="clear"/>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16—Segment Reporting</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Prior to January 1, 2026, the Company conducted its business through one reportable and one operating segment by acquiring, managing and capitalizing Ground Leases, which the Company believes provides an opportunity for safe, growing income. On January 1, 2026, the Company became responsible for operating two hotel properties that reverted to it following the expiration of a master lease (refer to Note 3). Subsequent to January 1, 2026, the Company operates its two hotel properties under a new reportable and operating “Hotel Operations” segment. All of the Company’s interest expense and general and administrative expenses are included in its Ground Leases segment. The Company’s chief executive officer is the chief operating decision maker (“CODM”) and uses net income (loss) before income taxes to measure segment operating performance and allocate resources in line with its business and operating needs.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All of the Company’s expenses are included in segment operating performance and are reviewed regularly. However, the CODM reviews interest expense and general and administrative expense on a more disaggregated basis. The CODM reviews interest expense in more detail because the Company uses its cost of capital to price its investments. The CODM also reviews general and administrative expense, which includes public company costs consisting of compensation, occupancy, and other corporate costs, in more detail to ensure its resources are in line with its business and operating needs.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Safehold Inc.</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720"/>
        <w:jc w:val="both"/>
        <w:rPr/>
      </w:pPr>
      <w:bookmarkStart w:id="1699" w:name="Tc_hrTOd9klgk-d3ZxJNTwLhQ_40_8"/>
      <w:bookmarkStart w:id="1700" w:name="Tc_Vw6BKSZqMU-vvmvnZX84rA_40_5"/>
      <w:bookmarkStart w:id="1701" w:name="Tc_ctCujATDgk-2-gXKIZNr8Q_40_2"/>
      <w:bookmarkStart w:id="1702" w:name="Tc_MGhtH29ki0u9RliLF-Ijuw_40_0"/>
      <w:bookmarkStart w:id="1703" w:name="Tc_W1mJENO7tEaUo3GhumPaKw_39_0"/>
      <w:bookmarkStart w:id="1704" w:name="Tc_qGzEtpmebkubgzEZqmae4w_38_6"/>
      <w:bookmarkStart w:id="1705" w:name="Tc_7s0lrWI_XU6pMsj8BNmyQg_38_0"/>
      <w:bookmarkStart w:id="1706" w:name="Tc_48urYmpFpUi3TZKerkI8Vw_37_6"/>
      <w:bookmarkStart w:id="1707" w:name="Tc_uNnRgznFwE2_g_AcOukv2g_37_0"/>
      <w:bookmarkStart w:id="1708" w:name="Tc_hyc6ZGpvr0Sr2RPo7MUfGQ_36_6"/>
      <w:bookmarkStart w:id="1709" w:name="Tc_I4eTZ3qi6UCSExhHtlH2rA_36_0"/>
      <w:bookmarkStart w:id="1710" w:name="Tc_3DUBkmoimkq7eUbuqEIkjQ_35_6"/>
      <w:bookmarkStart w:id="1711" w:name="Tc_ZFP_H-pFwEKwg0xph-LTbQ_35_0"/>
      <w:bookmarkStart w:id="1712" w:name="Tc_2vx0j6rtkE2t3cZIxJnUOA_34_0"/>
      <w:bookmarkStart w:id="1713" w:name="Tc_i3Fw2l-UN0yMGDMK-J4MRQ_33_3"/>
      <w:bookmarkStart w:id="1714" w:name="Tc_RPAPcLcqrEOV4pDHcPSDhQ_33_0"/>
      <w:bookmarkStart w:id="1715" w:name="Tc_2rDBASZbFEiL4sebIZux-g_32_6"/>
      <w:bookmarkStart w:id="1716" w:name="Tc_4TGQdUk-nUu6fB1cxYrtQw_32_0"/>
      <w:bookmarkStart w:id="1717" w:name="Tc_fi4l5PwzPEuJZzwRoxKO8g_31_6"/>
      <w:bookmarkStart w:id="1718" w:name="Tc_thSjxTP7O0uCXYxJgyqFOQ_31_0"/>
      <w:bookmarkStart w:id="1719" w:name="Tc_96BDaBDBEEmuqvRWpWS50w_30_0"/>
      <w:bookmarkStart w:id="1720" w:name="Tc_0_3rSccW80OoHr0onr2fjA_29_0"/>
      <w:bookmarkStart w:id="1721" w:name="Tc_nZgxLTaexUaoPrBqGeF61w_28_6"/>
      <w:bookmarkStart w:id="1722" w:name="Tc_xJkpXQq2eE-oLITt9ng8fw_28_0"/>
      <w:bookmarkStart w:id="1723" w:name="Tc_tJOEsY_r0UWa6pJ3ccQiaA_27_6"/>
      <w:bookmarkStart w:id="1724" w:name="Tc_XrvVgALEQ0G6ZN9zPNNVgw_27_0"/>
      <w:bookmarkStart w:id="1725" w:name="Tc_bRQLeEQmTUyUUvvBb8T77A_26_3"/>
      <w:bookmarkStart w:id="1726" w:name="Tc_ltpkKny0WkKy9Qogkqn4eQ_26_0"/>
      <w:bookmarkStart w:id="1727" w:name="Tc_7_JSI3W6xUanXnsfPhFpbQ_25_6"/>
      <w:bookmarkStart w:id="1728" w:name="Tc_bpQhQUpE0Eehxjv-WOy_0w_25_0"/>
      <w:bookmarkStart w:id="1729" w:name="Tc_tZmOffkb4kS6hdmzbjn79w_24_8"/>
      <w:bookmarkStart w:id="1730" w:name="Tc_pW0ZUuQY7EiquXaQDvirmA_24_6"/>
      <w:bookmarkStart w:id="1731" w:name="Tc_1rRO3n_bnUWqdwELSscqhw_24_5"/>
      <w:bookmarkStart w:id="1732" w:name="Tc_PiUj2IINjUWMaFgDoYQ9Xw_24_2"/>
      <w:bookmarkStart w:id="1733" w:name="Tc_uAgZmnxDZEm0p-vj6qRR_A_24_0"/>
      <w:bookmarkStart w:id="1734" w:name="Tc_k2U0fS2MC069lh4Xt6GBBA_23_0"/>
      <w:bookmarkStart w:id="1735" w:name="Tc_z-Qa3zn--kSB0aK6VVNyMw_22_0"/>
      <w:bookmarkStart w:id="1736" w:name="Tc_vcuY6vhAH0OHAmyU9rDSTQ_20_8"/>
      <w:bookmarkStart w:id="1737" w:name="Tc_OrIzV0XAdUCvjQB8zQzmkQ_20_5"/>
      <w:bookmarkStart w:id="1738" w:name="Tc_GVBmUIxFzEGXvbaQwNVHVQ_20_2"/>
      <w:bookmarkStart w:id="1739" w:name="Tc_4hjpOy6xyUSJQtPGCpdduA_20_0"/>
      <w:bookmarkStart w:id="1740" w:name="Tc_yqCHI0eA5UabpEd9BgBJlA_19_0"/>
      <w:bookmarkStart w:id="1741" w:name="Tc_k5QJTSOSlUaEmrfzbVyVrg_18_6"/>
      <w:bookmarkStart w:id="1742" w:name="Tc_Md0rIiNz30my3bURcQJhgw_18_0"/>
      <w:bookmarkStart w:id="1743" w:name="Tc_3eLNr9chiUuPGrZ0yyDMvA_17_6"/>
      <w:bookmarkStart w:id="1744" w:name="Tc_aAYZaU_WukSNIlmR_7qrtg_17_0"/>
      <w:bookmarkStart w:id="1745" w:name="Tc_UHv0AtwSJ0CgfRS3Sj2RGA_16_6"/>
      <w:bookmarkStart w:id="1746" w:name="Tc_NHc2tOqwr0imWhSJamlPMQ_16_0"/>
      <w:bookmarkStart w:id="1747" w:name="Tc_6RrRGYUDYUavxRkJ71o52g_15_6"/>
      <w:bookmarkStart w:id="1748" w:name="Tc_Vq1XEvN0F0CSOVVSNeIfow_15_0"/>
      <w:bookmarkStart w:id="1749" w:name="Tc_mV3UL0TkfUO8ei1L3qCFDg_14_0"/>
      <w:bookmarkStart w:id="1750" w:name="Tc_rJ8Quvi9CUiH5Qm5c13NDw_13_3"/>
      <w:bookmarkStart w:id="1751" w:name="Tc_FkWuju891EmA-fSb3rEv4A_13_0"/>
      <w:bookmarkStart w:id="1752" w:name="Tc_vMxZ2iOivUKbA-z4G0E7TQ_12_6"/>
      <w:bookmarkStart w:id="1753" w:name="Tc_Yv8vWgPIgUGXjwfwtyRWXQ_12_0"/>
      <w:bookmarkStart w:id="1754" w:name="Tc_yh3Kwh7ADk60CHDsCYbuOw_11_6"/>
      <w:bookmarkStart w:id="1755" w:name="Tc_Tvpm1N4Ye0OljJauU5WNnA_11_0"/>
      <w:bookmarkStart w:id="1756" w:name="Tc_7l6DrBSPkUuLBvIZSVCimg_10_0"/>
      <w:bookmarkStart w:id="1757" w:name="Tc_R-4YdF4BpE-eF9pBjo6IlQ_9_0"/>
      <w:bookmarkStart w:id="1758" w:name="Tc_sdZ8GQgNP0i2UF21XrXtKQ_8_6"/>
      <w:bookmarkStart w:id="1759" w:name="Tc_u8c62j6w1UqgAQx6mk_LQg_8_0"/>
      <w:bookmarkStart w:id="1760" w:name="Tc_Fyzma2Cd8U2vytwq0k9T2g_7_6"/>
      <w:bookmarkStart w:id="1761" w:name="Tc_xW_Hu7QTO0-Y8Luktma0Jg_7_0"/>
      <w:bookmarkStart w:id="1762" w:name="Tc_bfbvxtouiECbwXEKejmUYA_6_3"/>
      <w:bookmarkStart w:id="1763" w:name="Tc_8bKFtkKLWkueJCfzunKvrg_6_0"/>
      <w:bookmarkStart w:id="1764" w:name="Tc_uIaXeUZcJUSLk-BF1B2yAg_5_6"/>
      <w:bookmarkStart w:id="1765" w:name="Tc_S-Tc_sicH0y7v1k9seIe_Q_5_0"/>
      <w:bookmarkStart w:id="1766" w:name="Tc_-lbfTvQIxUOctygqRRNCJA_4_8"/>
      <w:bookmarkStart w:id="1767" w:name="Tc_YfRCyfqKdUWqDPG8VW37aA_4_6"/>
      <w:bookmarkStart w:id="1768" w:name="Tc_lZNMDPvRlkymy4AKUYuEuQ_4_5"/>
      <w:bookmarkStart w:id="1769" w:name="Tc_eaCUEukrLUieevvthKWVBA_4_2"/>
      <w:bookmarkStart w:id="1770" w:name="Tc_AEnT44zujEuIRuStFQOAsg_4_0"/>
      <w:bookmarkStart w:id="1771" w:name="Tc_Nll1Hj4-HUOivRxKUoa8WQ_3_0"/>
      <w:bookmarkStart w:id="1772" w:name="Tc_qfuyRO9PEkaveEqaO2kD7Q_2_8"/>
      <w:bookmarkStart w:id="1773" w:name="Tc_wYfw8gxi_UaYImG_ppTLlQ_2_5"/>
      <w:bookmarkStart w:id="1774" w:name="Tc_cLMDg0pLO0-cdug9_FBCew_2_2"/>
      <w:bookmarkStart w:id="1775" w:name="Tc_XiGBLG2z3EW6j_GBMFK7NQ_2_0"/>
      <w:bookmarkStart w:id="1776" w:name="Tc_KNLQ2KVD_kGYqQ6KsXt0Ow_1_5"/>
      <w:bookmarkStart w:id="1777" w:name="Tc_XnGVF0oV40yxfNVfuR6mwQ_1_2"/>
      <w:bookmarkStart w:id="1778" w:name="_37a4e20a_ba57_494a_9f28_81cb690f46c2"/>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income statement segment information is as follows for the three and six months ended June 30, 2026 ($ in thousands): </w:t>
      </w:r>
    </w:p>
    <w:p>
      <w:pPr>
        <w:pStyle w:val="TextBody"/>
        <w:bidi w:val="0"/>
        <w:spacing w:before="0" w:after="0"/>
        <w:ind w:left="0" w:right="0" w:firstLine="720"/>
        <w:jc w:val="both"/>
        <w:rPr/>
      </w:pPr>
      <w:r>
        <w:rPr/>
        <w:t>​</w:t>
      </w:r>
    </w:p>
    <w:tbl>
      <w:tblPr>
        <w:tblW w:w="7900" w:type="dxa"/>
        <w:jc w:val="left"/>
        <w:tblInd w:w="0" w:type="dxa"/>
        <w:tblLayout w:type="fixed"/>
        <w:tblCellMar>
          <w:top w:w="0" w:type="dxa"/>
          <w:left w:w="0" w:type="dxa"/>
          <w:bottom w:w="0" w:type="dxa"/>
          <w:right w:w="0" w:type="dxa"/>
        </w:tblCellMar>
      </w:tblPr>
      <w:tblGrid>
        <w:gridCol w:w="4096"/>
        <w:gridCol w:w="346"/>
        <w:gridCol w:w="196"/>
        <w:gridCol w:w="721"/>
        <w:gridCol w:w="346"/>
        <w:gridCol w:w="196"/>
        <w:gridCol w:w="721"/>
        <w:gridCol w:w="346"/>
        <w:gridCol w:w="196"/>
        <w:gridCol w:w="73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600960" cy="175260"/>
                      <wp:effectExtent l="0" t="0" r="0" b="0"/>
                      <wp:wrapNone/>
                      <wp:docPr id="488" name="Frame488"/>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24460" cy="175260"/>
                      <wp:effectExtent l="0" t="0" r="0" b="0"/>
                      <wp:wrapNone/>
                      <wp:docPr id="490" name="Frame4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457835" cy="175260"/>
                      <wp:effectExtent l="0" t="0" r="0" b="0"/>
                      <wp:wrapNone/>
                      <wp:docPr id="491" name="Frame49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9710" cy="175260"/>
                      <wp:effectExtent l="0" t="0" r="0" b="0"/>
                      <wp:wrapNone/>
                      <wp:docPr id="492"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24460" cy="175260"/>
                      <wp:effectExtent l="0" t="0" r="0" b="0"/>
                      <wp:wrapNone/>
                      <wp:docPr id="493" name="Frame4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57835" cy="175260"/>
                      <wp:effectExtent l="0" t="0" r="0" b="0"/>
                      <wp:wrapNone/>
                      <wp:docPr id="494" name="Frame49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495"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24460" cy="175260"/>
                      <wp:effectExtent l="0" t="0" r="0" b="0"/>
                      <wp:wrapNone/>
                      <wp:docPr id="496" name="Frame4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67360" cy="175260"/>
                      <wp:effectExtent l="0" t="0" r="0" b="0"/>
                      <wp:wrapNone/>
                      <wp:docPr id="497" name="Frame49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Ground</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Hotel</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w:t>
            </w:r>
          </w:p>
        </w:tc>
      </w:tr>
      <w:tr>
        <w:trPr/>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June 30, 2026</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Operations</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 from sales-type leases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76,902</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15,806</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Hotel revenues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15,937</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3,291</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2,710</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114,646</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Costs and expenses and other items: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 non-cash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Hotel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 public company costs</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 stock-based compensation</w:t>
            </w:r>
            <w:r>
              <w:rPr>
                <w:rFonts w:ascii="Times New Roman;Times;serif" w:hAnsi="Times New Roman;Times;serif"/>
                <w:sz w:val="12"/>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recovery of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Earnings (losses) from equity method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Other segment items</w:t>
            </w:r>
            <w:r>
              <w:rPr>
                <w:rFonts w:ascii="Times New Roman;Times;serif" w:hAnsi="Times New Roman;Times;serif"/>
                <w:sz w:val="12"/>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32,117</w:t>
            </w:r>
          </w:p>
        </w:tc>
      </w:tr>
      <w:tr>
        <w:trPr/>
        <w:tc>
          <w:tcPr>
            <w:tcW w:w="40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June 30, 2026</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 from sales-type leases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151,936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151,936</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35,962</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Hotel revenues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25,801</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6,400</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5,401</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225,500</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Costs and expenses and other items: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(94,339)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 non-cash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Hotel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 public company costs</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 stock-based compensation</w:t>
            </w:r>
            <w:r>
              <w:rPr>
                <w:rFonts w:ascii="Times New Roman;Times;serif" w:hAnsi="Times New Roman;Times;serif"/>
                <w:sz w:val="12"/>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recovery of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Earnings (losses) from equity method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Other segment items</w:t>
            </w:r>
            <w:r>
              <w:rPr>
                <w:rFonts w:ascii="Times New Roman;Times;serif" w:hAnsi="Times New Roman;Times;serif"/>
                <w:sz w:val="12"/>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61,699</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CODM also considers management fees earned from Star Holdings (refer to Note 15) in their review of general and administrative expense because many of the Company’s employees spend time and resources performing basic functions for the management of Star Holdings. During the three and six months ended June 30, 2026, the Company earned $1.9</w:t>
            </w:r>
            <w:r>
              <w:rPr>
                <w:caps w:val="false"/>
                <w:smallCaps w:val="false"/>
              </w:rPr>
              <w:t xml:space="preserve"> </w:t>
            </w:r>
            <w:r>
              <w:rPr>
                <w:rFonts w:ascii="Times New Roman;Times;serif" w:hAnsi="Times New Roman;Times;serif"/>
                <w:b w:val="false"/>
                <w:i w:val="false"/>
                <w:caps w:val="false"/>
                <w:smallCaps w:val="false"/>
                <w:sz w:val="16"/>
              </w:rPr>
              <w:t>million and $4.0</w:t>
            </w:r>
            <w:r>
              <w:rPr>
                <w:caps w:val="false"/>
                <w:smallCaps w:val="false"/>
              </w:rPr>
              <w:t> </w:t>
            </w:r>
            <w:r>
              <w:rPr>
                <w:rFonts w:ascii="Times New Roman;Times;serif" w:hAnsi="Times New Roman;Times;serif"/>
                <w:b w:val="false"/>
                <w:i w:val="false"/>
                <w:caps w:val="false"/>
                <w:smallCaps w:val="false"/>
                <w:sz w:val="16"/>
              </w:rPr>
              <w:t>million, respectively, in management fees from Star Holdings. The management fees are included in “Other income” in the Company’s consolidated statements of operations.</w:t>
            </w:r>
          </w:p>
        </w:tc>
      </w:tr>
    </w:tbl>
    <w:tbl>
      <w:tblPr>
        <w:tblW w:w="3797" w:type="dxa"/>
        <w:jc w:val="left"/>
        <w:tblInd w:w="0" w:type="dxa"/>
        <w:tblLayout w:type="fixed"/>
        <w:tblCellMar>
          <w:top w:w="0" w:type="dxa"/>
          <w:left w:w="0" w:type="dxa"/>
          <w:bottom w:w="0" w:type="dxa"/>
          <w:right w:w="0" w:type="dxa"/>
        </w:tblCellMar>
      </w:tblPr>
      <w:tblGrid>
        <w:gridCol w:w="331"/>
        <w:gridCol w:w="346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34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real estate expense and other expenses.</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approximately $92.8 million of total assets were attributable to the Hotel Operations segment. All other total assets were attributable to the Ground Leases segment. </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79" w:name="Item2ManagementsDiscussionandAnalysisofF"/>
      <w:bookmarkStart w:id="1780" w:name="_8b4e9389_cacf_4244_a54f_b227f6867229"/>
      <w:bookmarkEnd w:id="1779"/>
      <w:bookmarkEnd w:id="1780"/>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Safehold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 “Risk Factors” in our Annual Report on Form 10-K for the year ended December 31, 2025 (the “2025 Annual Report”), all of which could affect our future results of operations, financial condition and liquidity.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discussion below should be read in conjunction with our consolidated financial statements and related notes in this quarterly report on Form 10-Q and our 2025 Annual Report. These historical financial statements may not be indicative of our future performance.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Overview</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primary business is the acquisition, management and capitalization of Ground Leases and we believe owning a portfolio of Ground Leases affords our investors the opportunity for safe, growing income. Safety is derived from a Ground Lease’s senior position in the commercial real estate capital structure. Growth is realized through long-term leases with contractual periodic increases in rent. Capital appreciation is realized though appreciation in the value of the land over time and through our typical rights as landlord to acquire the commercial buildings on our land at the end of a Ground Lease, which may yield substantial value to us. As of June 30, 2026, the percentage breakdown of the gross book value of our Ground Lease portfolio </w:t>
      </w:r>
      <w:r>
        <w:rPr>
          <w:rFonts w:ascii="Times New Roman;Times;serif" w:hAnsi="Times New Roman;Times;serif"/>
          <w:sz w:val="20"/>
          <w:shd w:fill="FFFFFF" w:val="clear"/>
        </w:rPr>
        <w:t>was 44% multi-family, 39% office, 9% hotels, 6% life science and 2% mixed use and other.</w:t>
      </w:r>
      <w:r>
        <w:rPr>
          <w:rFonts w:ascii="Times New Roman;Times;serif" w:hAnsi="Times New Roman;Times;serif"/>
          <w:sz w:val="20"/>
        </w:rPr>
        <w:t xml:space="preserve"> The diversification by geographic location, property type and sponsor in our portfolio further reduces risk and enhances potential upside.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2022, the Consumer Price Index (“CPI”) rose to its highest rate in over 40 years. Many of our Ground Leases have CPI lookbacks, generally starting between years 11 and 21 of the lease term, to mitigate the effects of inflation that are typically capped between 3.0% - 3.5%; however, in the event cumulative inflation growth for the lookback period exceeds the cap, these rent adjustments may not keep up fully with changes in inflation. To combat the increase in inflation over the past few years, the Federal Reserve raised interest rates and has kept interest rates generally high. The Federal Reserve has indicated that the economic outlook, which could include any potential impact on the economy from changes to inflation rates, U.S. trade policy and/or the consequences of heightened geopolitical tensions, including the armed conflict in the Middle East, is uncertain and it will continue to monitor incoming data on unemployment and inflation before adjusting monetary policy; however, high interest rates have continued to, and any future increase in interest rates may continue to result in a reduction in the availability or an increase in costs of leasehold financing for Ground Lease tenants, which is critical to the growth of a robust Ground Lease market. Elevated interest rates and increased investment spreads to treasury bonds in the Ground Lease market may also attract new competitors, which may result in higher costs for properties, lower returns and impact our ability to grow.</w:t>
      </w:r>
    </w:p>
    <w:p>
      <w:pPr>
        <w:pStyle w:val="TextBody"/>
        <w:shd w:fill="FFFFFF" w:val="clear"/>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rise in interest rates has also adversely affected the U.S. office sector, along with office vacancies and a decline in market liquidity that began with the onset of the COVID-19 pandemic, all of which could negatively impact our tenants, Ground Rent Coverages and estimated Combined Property Values. Moreover, certain office assets currently have material vacancies. If our Ground Lease tenants at such assets fail to re-tenant the building, such Ground Leases may default and we may suffer losses. We previously entered into a forbearance agreement with a tenant under a significant New York office asset in connection with the tenant’s failure to pay property taxes. The tenant defaulted on such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and we sent the tenant a lease termination notice in May 2026. The tenant filed a countersuit and a temporary restraining order has been granted on our lease termination efforts (refer to Note 11 to the consolidated financial statements). As such, we may experience delays in enforcing our rights as landlord including any potential termination under the Ground Lease and may suffer losses and incur substantial costs in protecting our investment. See the "Risk Factors" section of our 2025 Annual Report for additional discussion of certain potential risks to our business related to competition and industry concentrations.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chosen to focus on Ground Leases because we believe they meet an important need in the real estate capital markets for our customers. We also believe Ground Leases offer a unique combination of safety, income growth and the potential for capital appreciation for investors for the following reasons: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High Quality Long-Term Cash Flow</w:t>
      </w:r>
      <w:r>
        <w:rPr>
          <w:rFonts w:ascii="Times New Roman;Times;serif" w:hAnsi="Times New Roman;Times;serif"/>
          <w:sz w:val="20"/>
        </w:rPr>
        <w:t>: We believe that a Ground Lease represents a safe position in a property’s capital structure. The combined value of the land and buildings and improvements thereon subject to a Ground Lease (the “Combined Property Value”) typically significantly exceeds the Ground Lease landlord’s investment in the Ground Lease; therefore, even if the landlord takes over the property following a tenant default or upon expiration of the Ground Lease, the landlord may recover substantially all of its Ground Lease investment, and possibly amounts in excess of its investment, depending upon prevailing market conditions. Additionally, the typical structure of a Ground Lease provides the landlord with a residual right to regain possession of its land and take ownership of the buildings and improvements thereon upon a tenant default. The landlord’s residual right provides a strong incentive for a Ground Lease tenant or its leasehold lender to make the required Ground Lease rent payments.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Income Growth</w:t>
      </w:r>
      <w:r>
        <w:rPr>
          <w:rFonts w:ascii="Times New Roman;Times;serif" w:hAnsi="Times New Roman;Times;serif"/>
          <w:sz w:val="20"/>
        </w:rPr>
        <w:t>: Ground Leases typically provide growing income streams through contractual base rent escalators that may compound over the duration of the lease. These rent escalators may be based on fixed increases, CPI or a combination thereof, and may also include a participation in the gross revenues of the property. We believe that this growth in the lease rate over time can mitigate the effects of inflation and capture anticipated increases in land values over time, as well as serving as a basis for growing our dividend.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Opportunity for Capital Appreciation: </w:t>
      </w:r>
      <w:r>
        <w:rPr>
          <w:rFonts w:ascii="Times New Roman;Times;serif" w:hAnsi="Times New Roman;Times;serif"/>
          <w:sz w:val="20"/>
        </w:rPr>
        <w:t>The opportunity for capital appreciation comes in two forms. First, as the ground rent grows over time, the value of the Ground Lease should grow under market conditions in which capitalization rates remain flat. Second, our residual right to regain possession of the land underlying the Ground Lease and take title to the buildings and other improvements thereon at lease expiration or earlier termination of the lease for no additional consideration creates additional potential value to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target Ground Lease investments in which the initial cost of the Ground Lease represents 30% to 45% of the Combined Property Value as if the Ground Lease did not exist. If the initial cost of a Ground Lease is equal to 35% of the Combined Property Value, the remaining 65% of the Combined Property Value represents potential excess value over the amount of our investment that would be turned over to us upon the reversion of the property, assuming no intervening change in the Combined Property Value. In our view, there is a strong correlation between inflation and commercial real estate values over time, which supports our belief that the value of our owned residual portfolio should increase over time as inflation increases, although our ability to recognize value in certain cases may be limited by the rights of our tenants under some of our Ground Leases, including tenant rights to purchase our land in certain circumstances and the right of one tenant to demolish improvements prior to the expiration of the lease. See “Risk Factors” in our 2025 Annual Report for additional discussion of these tenant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Owned Residual Portfolio</w:t>
      </w:r>
      <w:r>
        <w:rPr>
          <w:rFonts w:ascii="Times New Roman;Times;serif" w:hAnsi="Times New Roman;Times;serif"/>
          <w:sz w:val="20"/>
        </w:rPr>
        <w:t>: We believe that the residual right is a unique feature distinguishing Ground Leases from other fixed income investments and property types. We refer to the value of the land and improvements subject to a Ground Lease in excess of our investment basis as unrealized capital appreciation (“UCA”). We track the UCA in our owned residual portfolio over our basis because we believe it provides relevant information with regard to the three key investment characteristics of our Ground Leases: (1) the safety of our position in a tenant’s capital structure; (2) the quality of the long-term cash flows generated by our portfolio rent that increases over time; and (3) increases and decreases in the Combined Property Value of the portfolio that reverts to us pursuant to such residual rights.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believe that, similar to a loan to value metric, tracking changes in the value of our owned residual portfolio is useful as an indicator of the quality of our cash flows and the safety of our position in a tenant’s capital structure, which,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turn, supports our objective to pay and grow dividends over time. Observing changes in our owned residual portfolio value also helps us monitor changes in the value of the real estate portfolio that reverts to us under the terms of the leases, either at the expiration or earlier termination of the lease. The value may be realized by us at the relevant time by entering into a new lease reflecting then current market terms and values, selling the building, selling the building with the land, or operating the building directly and leasing the spaces to tenants at prevailing market rates.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engaged an independent valuation firm to prepare: (a) initial reports of the Combined Property Value associated with our Ground Lease portfolio; and (b) periodic updates of such reports, which we use, in part, to determine the current estimated value of our owned residual portfolio. We calculate this estimated value by subtracting our original aggregate cost basis in the Ground Leases from our estimated aggregate Combined Property Value, based on estimates by the valuation firm and by management.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The table below shows the current estimated UCA in our owned residual portfolio as of June 30, 2026 and December 31, 2025 ($ in millions):</w:t>
      </w:r>
      <w:r>
        <w:rPr>
          <w:rFonts w:ascii="Times New Roman;Times;serif" w:hAnsi="Times New Roman;Times;serif"/>
          <w:sz w:val="15"/>
        </w:rPr>
        <w:t xml:space="preserve">(1) </w:t>
      </w:r>
    </w:p>
    <w:tbl>
      <w:tblPr>
        <w:tblW w:w="8825" w:type="dxa"/>
        <w:jc w:val="left"/>
        <w:tblInd w:w="0" w:type="dxa"/>
        <w:tblLayout w:type="fixed"/>
        <w:tblCellMar>
          <w:top w:w="0" w:type="dxa"/>
          <w:left w:w="0" w:type="dxa"/>
          <w:bottom w:w="0" w:type="dxa"/>
          <w:right w:w="0" w:type="dxa"/>
        </w:tblCellMar>
      </w:tblPr>
      <w:tblGrid>
        <w:gridCol w:w="5461"/>
        <w:gridCol w:w="346"/>
        <w:gridCol w:w="267"/>
        <w:gridCol w:w="859"/>
        <w:gridCol w:w="346"/>
        <w:gridCol w:w="350"/>
        <w:gridCol w:w="1196"/>
      </w:tblGrid>
      <w:tr>
        <w:trPr/>
        <w:tc>
          <w:tcPr>
            <w:tcW w:w="5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3467735" cy="175260"/>
                      <wp:effectExtent l="0" t="0" r="0" b="0"/>
                      <wp:wrapNone/>
                      <wp:docPr id="498" name="Frame498"/>
                      <a:graphic xmlns:a="http://schemas.openxmlformats.org/drawingml/2006/main">
                        <a:graphicData uri="http://schemas.microsoft.com/office/word/2010/wordprocessingShape">
                          <wps:wsp>
                            <wps:cNvSpPr txBox="1"/>
                            <wps:spPr>
                              <a:xfrm>
                                <a:off x="0" y="0"/>
                                <a:ext cx="3467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9710" cy="175260"/>
                      <wp:effectExtent l="0" t="0" r="0" b="0"/>
                      <wp:wrapNone/>
                      <wp:docPr id="499"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69545" cy="175260"/>
                      <wp:effectExtent l="0" t="0" r="0" b="0"/>
                      <wp:wrapNone/>
                      <wp:docPr id="500" name="Frame50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545465" cy="175260"/>
                      <wp:effectExtent l="0" t="0" r="0" b="0"/>
                      <wp:wrapNone/>
                      <wp:docPr id="501" name="Frame501"/>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19710" cy="175260"/>
                      <wp:effectExtent l="0" t="0" r="0" b="0"/>
                      <wp:wrapNone/>
                      <wp:docPr id="502" name="Frame5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22250" cy="175260"/>
                      <wp:effectExtent l="0" t="0" r="0" b="0"/>
                      <wp:wrapNone/>
                      <wp:docPr id="503" name="Frame503"/>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759460" cy="175260"/>
                      <wp:effectExtent l="0" t="0" r="0" b="0"/>
                      <wp:wrapNone/>
                      <wp:docPr id="504" name="Frame504"/>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54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Combined Property Value</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16,676</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15,947</w:t>
            </w:r>
          </w:p>
        </w:tc>
      </w:tr>
      <w:tr>
        <w:trPr/>
        <w:tc>
          <w:tcPr>
            <w:tcW w:w="546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Ground Lease Cost</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6,906</w:t>
            </w:r>
          </w:p>
        </w:tc>
        <w:tc>
          <w:tcPr>
            <w:tcW w:w="34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 </w:t>
            </w:r>
          </w:p>
        </w:tc>
        <w:tc>
          <w:tcPr>
            <w:tcW w:w="11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6,675</w:t>
            </w:r>
          </w:p>
        </w:tc>
      </w:tr>
      <w:tr>
        <w:trPr/>
        <w:tc>
          <w:tcPr>
            <w:tcW w:w="5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Capital Appreciation in Our Owned Residual Portfolio</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9,770</w:t>
            </w:r>
          </w:p>
        </w:tc>
        <w:tc>
          <w:tcPr>
            <w:tcW w:w="34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 </w:t>
            </w:r>
          </w:p>
        </w:tc>
        <w:tc>
          <w:tcPr>
            <w:tcW w:w="119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9,272</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Please review our Current Report on Form 8-K filed on July 30, 2026 for a discussion of the valuation methodology used and important limitations and qualifications of the calculation of UCA. See “Risk Factors-</w:t>
            </w:r>
            <w:r>
              <w:rPr>
                <w:rFonts w:ascii="Times New Roman;Times;serif" w:hAnsi="Times New Roman;Times;serif"/>
                <w:b w:val="false"/>
                <w:i/>
                <w:sz w:val="16"/>
              </w:rPr>
              <w:t>Certain tenant rights under our Ground Leases may limit the value and the UCA we are able to realize upon lease expiration, sale of our land and Ground Leases or other events</w:t>
            </w:r>
            <w:r>
              <w:rPr>
                <w:caps w:val="false"/>
                <w:smallCaps w:val="false"/>
              </w:rPr>
              <w:t xml:space="preserve">” </w:t>
            </w:r>
            <w:r>
              <w:rPr>
                <w:rFonts w:ascii="Times New Roman;Times;serif" w:hAnsi="Times New Roman;Times;serif"/>
                <w:b w:val="false"/>
                <w:i w:val="false"/>
                <w:caps w:val="false"/>
                <w:smallCaps w:val="false"/>
                <w:sz w:val="16"/>
              </w:rPr>
              <w:t>included in “Risk Factors” of our 2025 Annual Report</w:t>
            </w:r>
            <w:r>
              <w:rPr>
                <w:caps w:val="false"/>
                <w:smallCaps w:val="false"/>
              </w:rPr>
              <w:t xml:space="preserve"> </w:t>
            </w:r>
            <w:r>
              <w:rPr>
                <w:rFonts w:ascii="Times New Roman;Times;serif" w:hAnsi="Times New Roman;Times;serif"/>
                <w:b w:val="false"/>
                <w:i w:val="false"/>
                <w:caps w:val="false"/>
                <w:smallCaps w:val="false"/>
                <w:sz w:val="16"/>
              </w:rPr>
              <w:t xml:space="preserve">for a discussion of certain tenant rights and other terms of the leases that may limit our ability to realize value from the UCA.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2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shd w:fill="FFFFFF" w:val="clear"/>
              </w:rPr>
              <w:t xml:space="preserve">Combined Property Value includes our applicable percentage interests in our unconsolidated Ground Lease </w:t>
            </w:r>
            <w:r>
              <w:rPr>
                <w:rFonts w:ascii="Times New Roman;Times;serif" w:hAnsi="Times New Roman;Times;serif"/>
                <w:b w:val="false"/>
                <w:i w:val="false"/>
                <w:caps w:val="false"/>
                <w:smallCaps w:val="false"/>
                <w:sz w:val="16"/>
              </w:rPr>
              <w:t>ventures, the two properties whose leases recently expired and which we became responsible for operating</w:t>
            </w:r>
            <w:r>
              <w:rPr>
                <w:caps w:val="false"/>
                <w:smallCaps w:val="false"/>
              </w:rPr>
              <w:t xml:space="preserve"> </w:t>
            </w:r>
            <w:r>
              <w:rPr>
                <w:rFonts w:ascii="Times New Roman;Times;serif" w:hAnsi="Times New Roman;Times;serif"/>
                <w:b w:val="false"/>
                <w:i w:val="false"/>
                <w:caps w:val="false"/>
                <w:smallCaps w:val="false"/>
                <w:sz w:val="16"/>
              </w:rPr>
              <w:t>and $1,007.6 million and $616.2 million related to transactions with remaining unfunded commitments as of June 30, 2026 and December 31, 2025, respectively.</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Combined Property Value excludes the term loan to Star Holdings, the assets in the Leasehold Loan Fund (refer to Note 8 to the consolidated financial statements), the assets in the Ground Lease Plus Fund and amounts attributable to noncontrolling interests. Ground Lease Cost includes our applicable percentage interests in our unconsolidated Ground Lease ventures</w:t>
            </w:r>
            <w:r>
              <w:rPr>
                <w:rFonts w:ascii="Times New Roman;Times;serif" w:hAnsi="Times New Roman;Times;serif"/>
                <w:b w:val="false"/>
                <w:i w:val="false"/>
                <w:caps w:val="false"/>
                <w:smallCaps w:val="false"/>
                <w:sz w:val="16"/>
              </w:rPr>
              <w:t>, the two properties whose leases recently expired and which we became responsible for operating</w:t>
            </w:r>
            <w:r>
              <w:rPr>
                <w:caps w:val="false"/>
                <w:smallCaps w:val="false"/>
                <w:shd w:fill="FFFFFF" w:val="clear"/>
              </w:rPr>
              <w:t xml:space="preserve"> </w:t>
            </w:r>
            <w:r>
              <w:rPr>
                <w:rFonts w:ascii="Times New Roman;Times;serif" w:hAnsi="Times New Roman;Times;serif"/>
                <w:b w:val="false"/>
                <w:i w:val="false"/>
                <w:caps w:val="false"/>
                <w:smallCaps w:val="false"/>
                <w:sz w:val="16"/>
                <w:shd w:fill="FFFFFF" w:val="clear"/>
              </w:rPr>
              <w:t>and $188.5 million and $142.3 million of unfunded commitments as of June 30, 2026 and December 31, 2025, respectively. Ground Lease Cost excludes the term loan to Star Holdings, our leasehold loans, the assets in the Leasehold Loan Fund, the assets in the Ground Lease Plus Fund and amounts attributable to noncontrolling interests. </w:t>
            </w:r>
            <w:r>
              <w:rPr>
                <w:rFonts w:ascii="Times New Roman;Times;serif" w:hAnsi="Times New Roman;Times;serif"/>
                <w:b w:val="false"/>
                <w:i w:val="false"/>
                <w:caps w:val="false"/>
                <w:smallCaps w:val="false"/>
                <w:sz w:val="16"/>
              </w:rPr>
              <w:t>As of June 30, 2026, our gross book value as a percentage of combined property value was 52%.</w:t>
            </w:r>
          </w:p>
        </w:tc>
      </w:tr>
    </w:tbl>
    <w:p>
      <w:pPr>
        <w:pStyle w:val="TextBody"/>
        <w:bidi w:val="0"/>
        <w:spacing w:before="0" w:after="0"/>
        <w:ind w:left="36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Caret Program (as defined below) is designed to recognize the two distinct components of value in our Ground Lease portfolio by separating them into:</w:t>
      </w:r>
    </w:p>
    <w:p>
      <w:pPr>
        <w:pStyle w:val="TextBody"/>
        <w:shd w:fill="FFFFFF" w:val="clear"/>
        <w:bidi w:val="0"/>
        <w:spacing w:before="0" w:after="0"/>
        <w:ind w:left="0" w:right="0" w:firstLine="720"/>
        <w:jc w:val="both"/>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“bond component,” which consists of the bond-like income stream we receive from contractual rent payments under our Ground Leases, plus the return of our investment basis in each asset; and</w:t>
            </w:r>
            <w:r>
              <w:rPr>
                <w:caps w:val="false"/>
                <w:smallCaps w:val="false"/>
              </w:rPr>
              <w:t xml:space="preserve">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“Caret component,” which consists of the UCA above our investment basis in our Ground Leases due to our ownership of the land and improvements at the end of the term of the applicable Ground Lease.</w:t>
            </w:r>
          </w:p>
        </w:tc>
      </w:tr>
    </w:tbl>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Portfolio Holdings’ two classes of limited liability company interests are designed to track these two components: “GL units” are intended to track the bond component and “Caret units” are designed to track the Caret component (the “Caret Program”). We currently hold all of the issued and outstanding GL units of Portfolio Holdings.</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general, all of our Ground Leases are subject to the Caret Program, except for non-commercial Ground Leases and pre-development Ground Leases. Holders of Caret units are generally entitled to amounts equal to the net proceeds from the disposition of a Ground Lease asset in excess of the cost borne by us to acquire such asset (including amounts paid to the tenant in connection with the initial development of improvements at the properties). However, we are entitled to deduct (i) unrecovered acquisition costs borne by Portfolio Holdings following the termination of an applicable Ground Lease by reason of defaults of tenants; (ii) accrued unpaid rent under the applicable Ground Lease; and (iii) unrecovered costs relating to the issuance, maintenance and management of Caret units as a separate security, among other costs, from the amount payable to the holders of Caret units on account of such net proceeds. See “SAFE Proposal 2: The SAFE Caret Amendment Proposal” in our Registration Statement on Form S-4, filed with the SEC on December 16, 2022, for more information on the Caret Program.</w:t>
      </w:r>
    </w:p>
    <w:p>
      <w:pPr>
        <w:pStyle w:val="TextBody"/>
        <w:shd w:fill="FFFFFF" w:val="clear"/>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the Caret Performance Incentive Plan (the “Caret Performance Incentive Plan”) pursuant to which Caret units are reserved for grants of performance-based awards to participants, including certain employees of the Company, directors and service providers. As of June 30, 2026, all outstanding Caret units awarded under the Caret Performance Incentive Plan are fully vested except for (i) Caret units granted in connection with the merger between Safehold Inc. and iStar Inc. on March 31, 2023 to executive officers and other employees, which are subject to cliff vesting on March 31, 2027 if our common stock has traded at an average price of $60.00 or more for at least 30 consecutive trading days since the grant date; (ii) Caret units granted to one employee in December 2025 that will vest pro rata annually over a five-year period, subject to continued employment and service conditions; (iii) Caret units granted to one employee in May 2026 that will vest pro rata annually over a five-year period, subject to continued employment and service conditions; and (iv) Caret units granted to employees in May 2026 that will cliff vest on May 15, 2031, subject to continued employment and service conditions. As of June 30, 2026, vested and unvested Caret units beneficially owned by our officers and other employees represent approximately 15.4% of the outstanding Caret units and 12.3% of the authorized Caret units, including 6.1% held directly and indirectly by Jay Sugarman, our Chairman and Chief Executive Officer, and approximately 14,396 Caret units remain available for issuance under the Caret Performance Incentive Plan.</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to the Caret units awarded or reserved for issuance under our Caret Performance Incentive Plan, we have sold 122,500 Caret units to third-party investors, including affiliates of MSD Partners that remain outstanding as of June 30, 2026. As of June 30, 2026, the Company owned 83.4% of the outstanding Caret units. </w:t>
      </w:r>
    </w:p>
    <w:p>
      <w:pPr>
        <w:pStyle w:val="TextBody"/>
        <w:shd w:fill="FFFFFF" w:val="clear"/>
        <w:bidi w:val="0"/>
        <w:spacing w:before="0" w:after="0"/>
        <w:ind w:left="0" w:right="0" w:firstLine="720"/>
        <w:jc w:val="both"/>
        <w:rPr/>
      </w:pPr>
      <w:r>
        <w:rPr/>
        <w:t>​</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Market Opportunity</w:t>
      </w:r>
      <w:r>
        <w:rPr>
          <w:rFonts w:ascii="Times New Roman;Times;serif" w:hAnsi="Times New Roman;Times;serif"/>
          <w:sz w:val="20"/>
        </w:rPr>
        <w:t xml:space="preserve">: We believe that there is a significant market opportunity for a dedicated provider of Ground Lease capital like us. We believe that the market for existing Ground Leases is fragmented with ownership comprised primarily of high net worth individuals, pension funds, life insurance companies, estates and endowments. However, while we intend to pursue acquisitions of existing Ground Leases, our investment thesis is predicated, in part, on what we believe is an untapped market opportunity to expand the use of Ground Leases to a broader component of the approximately $7.0 trillion institutional commercial property market in the U.S. We intend to capture this market opportunity by utilizing multiple sourcing and origination channels, including manufacturing new Ground Leases with third-party owners and developers of commercial real estate and originating Ground Leases to provide capital for development and redevelopment. We further believe that Ground Leases generally represent an attractive source of capital for our tenants and may allow them to generate superior returns on their invested equity as compared to utilizing alternative sources of capital.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we have created additional channels and products that allow us to build a larger, captive pipeline. We have interests in two Ground Lease ecosystem funds, the Ground Lease Plus Fund and the Leasehold Loan Fund (refer to Note 8 to the consolidated financial statements), and in 2025, we also began originating leasehold loans individually. The Ground Lease Plus Fund includes two assets and targets high quality projects in pre-construction development phase with institutional developers. The Leasehold Loan Fund currently includes three assets and allows customers to receive their full capital structure needs in one place. Customers are able to receive a mortgage leasehold loan as well as a Ground Lease through us. We also created “SAFExSWAP,” which is a program that allows real estate investors with existing ground leases to swap into one of our Ground Leases. Additionally, our product “SAFExSELL” provides clients with an opportunity to enter into a Ground Lease at the time of the sale of a real estate asset, generating greater proceeds than would normally be expected in connection with a fee simple sale.</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Additionally, from time to time we may own and operate commercial properties that revert to us, as occurred on January 1, 2026 when we became responsible for operating two hotel properties, which is reflected in our Hotel Operations segment (refer to Note 16 to the consolidated financial statements). </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Portfolio</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portfolio of properties is diversified by property type and region. Our portfolio is comprised of Ground Leases, leasehold loans, hotel properties that we operate and one master lease (currently relating to three hotel assets that we refer to as our “Park Hotels Portfolio”) that has many of the characteristics of a Ground Lease. As of June 30, 2026, our estimated portfolio Ground Rent Coverage was 3.4x (see the "Risk Factors -</w:t>
      </w:r>
      <w:r>
        <w:rPr>
          <w:rFonts w:ascii="Times New Roman;Times;serif" w:hAnsi="Times New Roman;Times;serif"/>
          <w:i/>
          <w:sz w:val="20"/>
        </w:rPr>
        <w:t>Our estimated UCA, Combined Property Value and Ground Rent Coverage, may not reflect current market values, including the decline in office values, and may decline materially in future periods</w:t>
      </w:r>
      <w:r>
        <w:rPr>
          <w:rFonts w:ascii="Times New Roman;Times;serif" w:hAnsi="Times New Roman;Times;serif"/>
          <w:sz w:val="20"/>
        </w:rPr>
        <w:t>, -</w:t>
      </w:r>
      <w:r>
        <w:rPr>
          <w:rFonts w:ascii="Times New Roman;Times;serif" w:hAnsi="Times New Roman;Times;serif"/>
          <w:i/>
          <w:sz w:val="20"/>
        </w:rPr>
        <w:t xml:space="preserve">We rely on Property NOI as reported to us by our tenants, -Our estimates of Ground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Rent Coverage for properties in development or transition, or for which we do not receive current tenant financial information, may prove to be incorrect</w:t>
      </w:r>
      <w:r>
        <w:rPr>
          <w:rFonts w:ascii="Times New Roman;Times;serif" w:hAnsi="Times New Roman;Times;serif"/>
          <w:sz w:val="20"/>
        </w:rPr>
        <w:t>" in our 2025 Annual Report for a discussion of our estimated Ground Rent Coverage).</w:t>
      </w:r>
    </w:p>
    <w:p>
      <w:pPr>
        <w:pStyle w:val="TextBody"/>
        <w:bidi w:val="0"/>
        <w:spacing w:before="0" w:after="0"/>
        <w:ind w:left="0" w:right="0" w:firstLine="720"/>
        <w:jc w:val="both"/>
        <w:rPr/>
      </w:pPr>
      <w:r>
        <w:rPr/>
        <w: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Below is an overview of the top 10 Ground Leases in our portfolio as of June 30, 2026 (based on gross book value and excluding unfunded commitments):</w:t>
      </w:r>
      <w:r>
        <w:rPr>
          <w:rFonts w:ascii="Times New Roman;Times;serif" w:hAnsi="Times New Roman;Times;serif"/>
          <w:sz w:val="15"/>
        </w:rPr>
        <w:t xml:space="preserve">(1) </w:t>
      </w:r>
    </w:p>
    <w:tbl>
      <w:tblPr>
        <w:tblW w:w="9837" w:type="dxa"/>
        <w:jc w:val="left"/>
        <w:tblInd w:w="0" w:type="dxa"/>
        <w:tblLayout w:type="fixed"/>
        <w:tblCellMar>
          <w:top w:w="0" w:type="dxa"/>
          <w:left w:w="0" w:type="dxa"/>
          <w:bottom w:w="0" w:type="dxa"/>
          <w:right w:w="0" w:type="dxa"/>
        </w:tblCellMar>
      </w:tblPr>
      <w:tblGrid>
        <w:gridCol w:w="1696"/>
        <w:gridCol w:w="346"/>
        <w:gridCol w:w="1306"/>
        <w:gridCol w:w="346"/>
        <w:gridCol w:w="1141"/>
        <w:gridCol w:w="346"/>
        <w:gridCol w:w="871"/>
        <w:gridCol w:w="346"/>
        <w:gridCol w:w="2026"/>
        <w:gridCol w:w="346"/>
        <w:gridCol w:w="811"/>
        <w:gridCol w:w="25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076960" cy="175260"/>
                      <wp:effectExtent l="0" t="0" r="0" b="0"/>
                      <wp:wrapNone/>
                      <wp:docPr id="505" name="Frame505"/>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9710" cy="175260"/>
                      <wp:effectExtent l="0" t="0" r="0" b="0"/>
                      <wp:wrapNone/>
                      <wp:docPr id="506"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829310" cy="175260"/>
                      <wp:effectExtent l="0" t="0" r="0" b="0"/>
                      <wp:wrapNone/>
                      <wp:docPr id="507" name="Frame50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08" name="Frame5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724535" cy="175260"/>
                      <wp:effectExtent l="0" t="0" r="0" b="0"/>
                      <wp:wrapNone/>
                      <wp:docPr id="509" name="Frame50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19710" cy="175260"/>
                      <wp:effectExtent l="0" t="0" r="0" b="0"/>
                      <wp:wrapNone/>
                      <wp:docPr id="510" name="Frame5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553085" cy="175260"/>
                      <wp:effectExtent l="0" t="0" r="0" b="0"/>
                      <wp:wrapNone/>
                      <wp:docPr id="511" name="Frame51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12"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286510" cy="175260"/>
                      <wp:effectExtent l="0" t="0" r="0" b="0"/>
                      <wp:wrapNone/>
                      <wp:docPr id="513" name="Frame513"/>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14"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514985" cy="175260"/>
                      <wp:effectExtent l="0" t="0" r="0" b="0"/>
                      <wp:wrapNone/>
                      <wp:docPr id="515" name="Frame51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62560" cy="175260"/>
                      <wp:effectExtent l="0" t="0" r="0" b="0"/>
                      <wp:wrapNone/>
                      <wp:docPr id="516" name="Frame51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Lease </w:t>
            </w:r>
          </w:p>
        </w:tc>
        <w:tc>
          <w:tcPr>
            <w:tcW w:w="346" w:type="dxa"/>
            <w:tcBorders/>
            <w:vAlign w:val="center"/>
          </w:tcPr>
          <w:p>
            <w:pPr>
              <w:pStyle w:val="TableContents"/>
              <w:bidi w:val="0"/>
              <w:spacing w:before="0" w:after="1"/>
              <w:ind w:left="0" w:right="0" w:hanging="0"/>
              <w:jc w:val="center"/>
              <w:rPr/>
            </w:pPr>
            <w:r>
              <w:rPr/>
              <w:t>​</w:t>
            </w:r>
          </w:p>
        </w:tc>
        <w:tc>
          <w:tcPr>
            <w:tcW w:w="20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center"/>
              <w:rPr/>
            </w:pPr>
            <w:r>
              <w:rPr/>
              <w:t> </w:t>
            </w:r>
          </w:p>
        </w:tc>
      </w:tr>
      <w:tr>
        <w:trPr/>
        <w:tc>
          <w:tcPr>
            <w:tcW w:w="16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Property </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Expiration / </w:t>
            </w:r>
          </w:p>
        </w:tc>
        <w:tc>
          <w:tcPr>
            <w:tcW w:w="34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Rent Escalation </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of Gross </w:t>
            </w:r>
          </w:p>
        </w:tc>
        <w:tc>
          <w:tcPr>
            <w:tcW w:w="256" w:type="dxa"/>
            <w:tcBorders/>
            <w:vAlign w:val="center"/>
          </w:tcPr>
          <w:p>
            <w:pPr>
              <w:pStyle w:val="TableContents"/>
              <w:bidi w:val="0"/>
              <w:spacing w:before="0" w:after="1"/>
              <w:ind w:left="0" w:right="0" w:hanging="0"/>
              <w:jc w:val="center"/>
              <w:rPr/>
            </w:pPr>
            <w:r>
              <w:rPr/>
              <w:t>​</w:t>
            </w:r>
          </w:p>
        </w:tc>
      </w:tr>
      <w:tr>
        <w:trPr/>
        <w:tc>
          <w:tcPr>
            <w:tcW w:w="16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Property Name</w:t>
            </w:r>
          </w:p>
        </w:tc>
        <w:tc>
          <w:tcPr>
            <w:tcW w:w="346" w:type="dxa"/>
            <w:tcBorders/>
            <w:vAlign w:val="center"/>
          </w:tcPr>
          <w:p>
            <w:pPr>
              <w:pStyle w:val="TableContents"/>
              <w:bidi w:val="0"/>
              <w:spacing w:before="0" w:after="1"/>
              <w:ind w:left="0" w:right="0" w:hanging="0"/>
              <w:jc w:val="left"/>
              <w:rPr/>
            </w:pPr>
            <w:r>
              <w:rPr/>
              <w:t>  ​ ​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Type</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Location</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As Extended</w:t>
            </w:r>
          </w:p>
        </w:tc>
        <w:tc>
          <w:tcPr>
            <w:tcW w:w="346" w:type="dxa"/>
            <w:tcBorders/>
            <w:vAlign w:val="center"/>
          </w:tcPr>
          <w:p>
            <w:pPr>
              <w:pStyle w:val="TableContents"/>
              <w:bidi w:val="0"/>
              <w:spacing w:before="0" w:after="1"/>
              <w:ind w:left="0" w:right="0" w:hanging="0"/>
              <w:jc w:val="left"/>
              <w:rPr/>
            </w:pPr>
            <w:r>
              <w:rPr/>
              <w:t>  ​ ​ ​</w:t>
            </w:r>
          </w:p>
        </w:tc>
        <w:tc>
          <w:tcPr>
            <w:tcW w:w="20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Structure</w:t>
            </w:r>
          </w:p>
        </w:tc>
        <w:tc>
          <w:tcPr>
            <w:tcW w:w="346" w:type="dxa"/>
            <w:tcBorders/>
            <w:vAlign w:val="center"/>
          </w:tcPr>
          <w:p>
            <w:pPr>
              <w:pStyle w:val="TableContents"/>
              <w:bidi w:val="0"/>
              <w:spacing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Book Value</w:t>
            </w:r>
          </w:p>
        </w:tc>
        <w:tc>
          <w:tcPr>
            <w:tcW w:w="256" w:type="dxa"/>
            <w:tcBorders/>
            <w:vAlign w:val="center"/>
          </w:tcPr>
          <w:p>
            <w:pPr>
              <w:pStyle w:val="TableContents"/>
              <w:bidi w:val="0"/>
              <w:spacing w:before="0" w:after="1"/>
              <w:ind w:left="0" w:right="0" w:hanging="0"/>
              <w:jc w:val="center"/>
              <w:rPr/>
            </w:pPr>
            <w:r>
              <w:rPr/>
              <w:t>​</w:t>
            </w:r>
          </w:p>
        </w:tc>
      </w:tr>
      <w:tr>
        <w:trPr/>
        <w:tc>
          <w:tcPr>
            <w:tcW w:w="16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sz w:val="14"/>
              </w:rPr>
              <w:t>425 Park Avenue</w:t>
            </w:r>
            <w:r>
              <w:rPr>
                <w:rFonts w:ascii="Times New Roman;Times;serif" w:hAnsi="Times New Roman;Times;serif"/>
                <w:sz w:val="11"/>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2090 / 2090</w:t>
            </w:r>
          </w:p>
        </w:tc>
        <w:tc>
          <w:tcPr>
            <w:tcW w:w="34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135 West 50th Street</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2123 / 2123</w:t>
            </w:r>
          </w:p>
        </w:tc>
        <w:tc>
          <w:tcPr>
            <w:tcW w:w="346" w:type="dxa"/>
            <w:tcBorders/>
            <w:vAlign w:val="center"/>
          </w:tcPr>
          <w:p>
            <w:pPr>
              <w:pStyle w:val="TableContents"/>
              <w:bidi w:val="0"/>
              <w:spacing w:before="0" w:after="1"/>
              <w:ind w:left="0" w:right="0" w:hanging="0"/>
              <w:jc w:val="left"/>
              <w:rPr/>
            </w:pPr>
            <w:r>
              <w:rPr/>
              <w:t> </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195 Broadway</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2118 / 2118</w:t>
            </w:r>
          </w:p>
        </w:tc>
        <w:tc>
          <w:tcPr>
            <w:tcW w:w="34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20 Cambridgeside</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Life Science</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Cambridge, MA</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2121 / 2121</w:t>
            </w:r>
          </w:p>
        </w:tc>
        <w:tc>
          <w:tcPr>
            <w:tcW w:w="34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Alohilani</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Hotel</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Honolulu, HI</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2118 / 2118</w:t>
            </w:r>
          </w:p>
        </w:tc>
        <w:tc>
          <w:tcPr>
            <w:tcW w:w="346" w:type="dxa"/>
            <w:tcBorders/>
            <w:shd w:fill="CCEEFF" w:val="clear"/>
            <w:vAlign w:val="center"/>
          </w:tcPr>
          <w:p>
            <w:pPr>
              <w:pStyle w:val="TableContents"/>
              <w:bidi w:val="0"/>
              <w:spacing w:before="0" w:after="1"/>
              <w:ind w:left="0" w:right="0" w:hanging="0"/>
              <w:jc w:val="left"/>
              <w:rPr/>
            </w:pPr>
            <w:r>
              <w:rPr/>
              <w:t> </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685 Third Avenue</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New York, NY</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2123 / 2123</w:t>
            </w:r>
          </w:p>
        </w:tc>
        <w:tc>
          <w:tcPr>
            <w:tcW w:w="346" w:type="dxa"/>
            <w:tcBorders/>
            <w:vAlign w:val="center"/>
          </w:tcPr>
          <w:p>
            <w:pPr>
              <w:pStyle w:val="TableContents"/>
              <w:bidi w:val="0"/>
              <w:spacing w:before="0" w:after="1"/>
              <w:ind w:left="0" w:right="0" w:hanging="0"/>
              <w:jc w:val="left"/>
              <w:rPr/>
            </w:pPr>
            <w:r>
              <w:rPr/>
              <w:t> </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Columbia Center</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Washington, DC</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2120 / 2120</w:t>
            </w:r>
          </w:p>
        </w:tc>
        <w:tc>
          <w:tcPr>
            <w:tcW w:w="346" w:type="dxa"/>
            <w:tcBorders/>
            <w:shd w:fill="CCEEFF" w:val="clear"/>
            <w:vAlign w:val="center"/>
          </w:tcPr>
          <w:p>
            <w:pPr>
              <w:pStyle w:val="TableContents"/>
              <w:bidi w:val="0"/>
              <w:spacing w:before="0" w:after="1"/>
              <w:ind w:left="0" w:right="0" w:hanging="0"/>
              <w:jc w:val="left"/>
              <w:rPr/>
            </w:pPr>
            <w:r>
              <w:rPr/>
              <w:t>​</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1111 Pennsylvania Avenue</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Office</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Washington, DC</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2117 / 2117</w:t>
            </w:r>
          </w:p>
        </w:tc>
        <w:tc>
          <w:tcPr>
            <w:tcW w:w="346" w:type="dxa"/>
            <w:tcBorders/>
            <w:vAlign w:val="center"/>
          </w:tcPr>
          <w:p>
            <w:pPr>
              <w:pStyle w:val="TableContents"/>
              <w:bidi w:val="0"/>
              <w:spacing w:before="0" w:after="1"/>
              <w:ind w:left="0" w:right="0" w:hanging="0"/>
              <w:jc w:val="left"/>
              <w:rPr/>
            </w:pPr>
            <w:r>
              <w:rPr/>
              <w:t> </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100 Cambridgeside</w:t>
            </w:r>
          </w:p>
        </w:tc>
        <w:tc>
          <w:tcPr>
            <w:tcW w:w="34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Mixed Use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Cambridge, MA</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2121 / 2121</w:t>
            </w:r>
          </w:p>
        </w:tc>
        <w:tc>
          <w:tcPr>
            <w:tcW w:w="346" w:type="dxa"/>
            <w:tcBorders/>
            <w:shd w:fill="CCEEFF" w:val="clear"/>
            <w:vAlign w:val="center"/>
          </w:tcPr>
          <w:p>
            <w:pPr>
              <w:pStyle w:val="TableContents"/>
              <w:bidi w:val="0"/>
              <w:spacing w:before="0" w:after="1"/>
              <w:ind w:left="0" w:right="0" w:hanging="0"/>
              <w:jc w:val="left"/>
              <w:rPr/>
            </w:pPr>
            <w:r>
              <w:rPr/>
              <w:t>​</w:t>
            </w:r>
          </w:p>
        </w:tc>
        <w:tc>
          <w:tcPr>
            <w:tcW w:w="2026"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Skylark</w:t>
            </w:r>
          </w:p>
        </w:tc>
        <w:tc>
          <w:tcPr>
            <w:tcW w:w="34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Multifamily</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San Francisco, CA</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2121 / 2121</w:t>
            </w:r>
          </w:p>
        </w:tc>
        <w:tc>
          <w:tcPr>
            <w:tcW w:w="346" w:type="dxa"/>
            <w:tcBorders/>
            <w:vAlign w:val="center"/>
          </w:tcPr>
          <w:p>
            <w:pPr>
              <w:pStyle w:val="TableContents"/>
              <w:bidi w:val="0"/>
              <w:spacing w:before="0" w:after="1"/>
              <w:ind w:left="0" w:right="0" w:hanging="0"/>
              <w:jc w:val="left"/>
              <w:rPr/>
            </w:pPr>
            <w:r>
              <w:rPr/>
              <w:t>​</w:t>
            </w:r>
          </w:p>
        </w:tc>
        <w:tc>
          <w:tcPr>
            <w:tcW w:w="2026"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Fixed with Inflation Adjustments</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r>
    </w:tbl>
    <w:tbl>
      <w:tblPr>
        <w:tblW w:w="7292" w:type="dxa"/>
        <w:jc w:val="left"/>
        <w:tblInd w:w="0" w:type="dxa"/>
        <w:tblLayout w:type="fixed"/>
        <w:tblCellMar>
          <w:top w:w="0" w:type="dxa"/>
          <w:left w:w="0" w:type="dxa"/>
          <w:bottom w:w="0" w:type="dxa"/>
          <w:right w:w="0" w:type="dxa"/>
        </w:tblCellMar>
      </w:tblPr>
      <w:tblGrid>
        <w:gridCol w:w="331"/>
        <w:gridCol w:w="696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book value represents the historical purchase price plus accrued interest on sales-type leases.</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Gross book value for this property represents our pro rata share of the gross book value of our unconsolidated venture (refer to Note 8 to the consolidated financial statements).</w:t>
            </w:r>
          </w:p>
        </w:tc>
      </w:tr>
    </w:tbl>
    <w:p>
      <w:pPr>
        <w:pStyle w:val="TextBody"/>
        <w:bidi w:val="0"/>
        <w:spacing w:before="0" w:after="0"/>
        <w:ind w:left="360" w:right="0" w:hanging="0"/>
        <w:jc w:val="both"/>
        <w:rPr/>
      </w:pPr>
      <w:r>
        <w:rPr/>
        <w:t>​</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The tenant at 135 West 50</w:t>
      </w:r>
      <w:r>
        <w:rPr>
          <w:rFonts w:ascii="Times New Roman;Times;serif" w:hAnsi="Times New Roman;Times;serif"/>
          <w:sz w:val="15"/>
        </w:rPr>
        <w:t>th</w:t>
      </w:r>
      <w:r>
        <w:rPr>
          <w:rFonts w:ascii="Times New Roman;Times;serif" w:hAnsi="Times New Roman;Times;serif"/>
          <w:sz w:val="20"/>
        </w:rPr>
        <w:t xml:space="preserve"> Street defaulted on a forbearance agreement in connection with the tenant’s failure to pay property taxes, and we sent the tenant a lease termination notice in May 2026. The tenant filed a countersuit and a temporary restraining order has been granted on our lease termination efforts (refer to Note 11 to the consolidated financial statements). There are no assurances that we will be able to terminate the lease or prevail in our litigation.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the tenant under our Park Hotels Portfolio elected to extend the leases underlying three of the original five hotels past the initial lease maturity of December 2025 (see the "Risk Factors -</w:t>
      </w:r>
      <w:r>
        <w:rPr>
          <w:rFonts w:ascii="Times New Roman;Times;serif" w:hAnsi="Times New Roman;Times;serif"/>
          <w:i/>
          <w:sz w:val="20"/>
        </w:rPr>
        <w:t>We may be unable to renew expiring Ground Leases, re-lease the land or sell the properties on favorable terms or at all</w:t>
      </w:r>
      <w:r>
        <w:rPr>
          <w:rFonts w:ascii="Times New Roman;Times;serif" w:hAnsi="Times New Roman;Times;serif"/>
          <w:sz w:val="20"/>
        </w:rPr>
        <w:t>, -</w:t>
      </w:r>
      <w:r>
        <w:rPr>
          <w:rFonts w:ascii="Times New Roman;Times;serif" w:hAnsi="Times New Roman;Times;serif"/>
          <w:i/>
          <w:sz w:val="20"/>
        </w:rPr>
        <w:t>Percentage rent payable under our master lease relating to the Park Hotels Portfolio is calculated on an aggregate portfolio-wide basis, -We are the tenant of a Ground Lease underlying a majority of our Doubletree Seattle Airport property</w:t>
      </w:r>
      <w:r>
        <w:rPr>
          <w:rFonts w:ascii="Times New Roman;Times;serif" w:hAnsi="Times New Roman;Times;serif"/>
          <w:sz w:val="20"/>
        </w:rPr>
        <w:t xml:space="preserve">" in our 2025 Annual Report for a discussion of our Park Hotels Portfolio). On October 22, 2025, we sent the tenant under the Park Hotels master lease a termination notice for all five hotels and commenced litigation against our tenant and Park Intermediate Holdings LLC, guarantor under the master lease, for certain breaches, among other things, related to the maintenance and operations of the hotels (refer to Note 11 to the consolidated financial statements). There are no assurances that we will be able to terminate the master lease or prevail in our litigation.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tables show our Ground Lease portfolio by top 10 markets and property type as of June 30, 2026, excluding unfunded commitments: </w:t>
      </w:r>
    </w:p>
    <w:p>
      <w:pPr>
        <w:pStyle w:val="TextBody"/>
        <w:bidi w:val="0"/>
        <w:spacing w:before="0" w:after="0"/>
        <w:ind w:left="0" w:right="0" w:hanging="0"/>
        <w:jc w:val="left"/>
        <w:rPr/>
      </w:pPr>
      <w:r>
        <w:rPr/>
        <w:t>​</w:t>
      </w:r>
    </w:p>
    <w:tbl>
      <w:tblPr>
        <w:tblW w:w="3109" w:type="dxa"/>
        <w:jc w:val="left"/>
        <w:tblInd w:w="0" w:type="dxa"/>
        <w:tblLayout w:type="fixed"/>
        <w:tblCellMar>
          <w:top w:w="0" w:type="dxa"/>
          <w:left w:w="0" w:type="dxa"/>
          <w:bottom w:w="0" w:type="dxa"/>
          <w:right w:w="0" w:type="dxa"/>
        </w:tblCellMar>
      </w:tblPr>
      <w:tblGrid>
        <w:gridCol w:w="1471"/>
        <w:gridCol w:w="346"/>
        <w:gridCol w:w="976"/>
        <w:gridCol w:w="31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934085" cy="175260"/>
                      <wp:effectExtent l="0" t="0" r="0" b="0"/>
                      <wp:wrapNone/>
                      <wp:docPr id="517" name="Frame517"/>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19710" cy="175260"/>
                      <wp:effectExtent l="0" t="0" r="0" b="0"/>
                      <wp:wrapNone/>
                      <wp:docPr id="518"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19760" cy="175260"/>
                      <wp:effectExtent l="0" t="0" r="0" b="0"/>
                      <wp:wrapNone/>
                      <wp:docPr id="519" name="Frame51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00660" cy="175260"/>
                      <wp:effectExtent l="0" t="0" r="0" b="0"/>
                      <wp:wrapNone/>
                      <wp:docPr id="520" name="Frame52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Gross </w:t>
            </w:r>
          </w:p>
        </w:tc>
        <w:tc>
          <w:tcPr>
            <w:tcW w:w="316" w:type="dxa"/>
            <w:tcBorders/>
            <w:vAlign w:val="center"/>
          </w:tcPr>
          <w:p>
            <w:pPr>
              <w:pStyle w:val="TableContents"/>
              <w:bidi w:val="0"/>
              <w:spacing w:before="0" w:after="1"/>
              <w:ind w:left="0" w:right="0" w:hanging="0"/>
              <w:jc w:val="center"/>
              <w:rPr/>
            </w:pPr>
            <w:r>
              <w:rPr/>
              <w:t> </w:t>
            </w:r>
          </w:p>
        </w:tc>
      </w:tr>
      <w:tr>
        <w:trPr/>
        <w:tc>
          <w:tcPr>
            <w:tcW w:w="14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Market</w:t>
            </w:r>
          </w:p>
        </w:tc>
        <w:tc>
          <w:tcPr>
            <w:tcW w:w="346" w:type="dxa"/>
            <w:tcBorders/>
            <w:vAlign w:val="center"/>
          </w:tcPr>
          <w:p>
            <w:pPr>
              <w:pStyle w:val="TableContents"/>
              <w:bidi w:val="0"/>
              <w:spacing w:before="0" w:after="1"/>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Book Value</w:t>
            </w:r>
          </w:p>
        </w:tc>
        <w:tc>
          <w:tcPr>
            <w:tcW w:w="316" w:type="dxa"/>
            <w:tcBorders/>
            <w:vAlign w:val="center"/>
          </w:tcPr>
          <w:p>
            <w:pPr>
              <w:pStyle w:val="TableContents"/>
              <w:bidi w:val="0"/>
              <w:spacing w:before="0" w:after="1"/>
              <w:ind w:left="0" w:right="0" w:hanging="0"/>
              <w:jc w:val="center"/>
              <w:rPr/>
            </w:pPr>
            <w:r>
              <w:rPr/>
              <w:t>​</w:t>
            </w:r>
          </w:p>
        </w:tc>
      </w:tr>
      <w:tr>
        <w:trPr/>
        <w:tc>
          <w:tcPr>
            <w:tcW w:w="14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Manhattan</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Washington, DC</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1"/>
              <w:ind w:left="0" w:right="0" w:hanging="0"/>
              <w:jc w:val="left"/>
              <w:rPr/>
            </w:pPr>
            <w:r>
              <w:rPr/>
              <w:t>​</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Boston</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 Angeles</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1"/>
              <w:ind w:left="0" w:right="0" w:hanging="0"/>
              <w:jc w:val="left"/>
              <w:rPr/>
            </w:pPr>
            <w:r>
              <w:rPr/>
              <w:t>​</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San Francisco</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Denver</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pPr>
            <w:r>
              <w:rPr/>
              <w:t>​</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Honolulu</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Nashville</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1"/>
              <w:ind w:left="0" w:right="0" w:hanging="0"/>
              <w:jc w:val="left"/>
              <w:rPr/>
            </w:pPr>
            <w:r>
              <w:rPr/>
              <w:t>​</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Miami</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Atlanta</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1"/>
              <w:ind w:left="0" w:right="0" w:hanging="0"/>
              <w:jc w:val="left"/>
              <w:rPr/>
            </w:pPr>
            <w:r>
              <w:rPr/>
              <w:t>​</w:t>
            </w:r>
          </w:p>
        </w:tc>
      </w:tr>
    </w:tbl>
    <w:tbl>
      <w:tblPr>
        <w:tblW w:w="8672" w:type="dxa"/>
        <w:jc w:val="left"/>
        <w:tblInd w:w="0" w:type="dxa"/>
        <w:tblLayout w:type="fixed"/>
        <w:tblCellMar>
          <w:top w:w="0" w:type="dxa"/>
          <w:left w:w="0" w:type="dxa"/>
          <w:bottom w:w="0" w:type="dxa"/>
          <w:right w:w="0" w:type="dxa"/>
        </w:tblCellMar>
      </w:tblPr>
      <w:tblGrid>
        <w:gridCol w:w="331"/>
        <w:gridCol w:w="83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New York metropolitan statistical area including areas outside of Manhattan makes up 28% of gross book value.</w:t>
            </w:r>
          </w:p>
        </w:tc>
      </w:tr>
    </w:tbl>
    <w:p>
      <w:pPr>
        <w:pStyle w:val="TextBody"/>
        <w:bidi w:val="0"/>
        <w:spacing w:before="0" w:after="0"/>
        <w:ind w:left="0" w:right="0" w:hanging="0"/>
        <w:jc w:val="left"/>
        <w:rPr/>
      </w:pPr>
      <w:r>
        <w:rPr/>
        <w:t>​</w:t>
      </w:r>
    </w:p>
    <w:tbl>
      <w:tblPr>
        <w:tblW w:w="3484" w:type="dxa"/>
        <w:jc w:val="left"/>
        <w:tblInd w:w="0" w:type="dxa"/>
        <w:tblLayout w:type="fixed"/>
        <w:tblCellMar>
          <w:top w:w="0" w:type="dxa"/>
          <w:left w:w="0" w:type="dxa"/>
          <w:bottom w:w="0" w:type="dxa"/>
          <w:right w:w="0" w:type="dxa"/>
        </w:tblCellMar>
      </w:tblPr>
      <w:tblGrid>
        <w:gridCol w:w="1846"/>
        <w:gridCol w:w="346"/>
        <w:gridCol w:w="976"/>
        <w:gridCol w:w="31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172210" cy="175260"/>
                      <wp:effectExtent l="0" t="0" r="0" b="0"/>
                      <wp:wrapNone/>
                      <wp:docPr id="521" name="Frame52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9710" cy="175260"/>
                      <wp:effectExtent l="0" t="0" r="0" b="0"/>
                      <wp:wrapNone/>
                      <wp:docPr id="522"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19760" cy="175260"/>
                      <wp:effectExtent l="0" t="0" r="0" b="0"/>
                      <wp:wrapNone/>
                      <wp:docPr id="523" name="Frame52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0660" cy="175260"/>
                      <wp:effectExtent l="0" t="0" r="0" b="0"/>
                      <wp:wrapNone/>
                      <wp:docPr id="524" name="Frame52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Gross </w:t>
            </w:r>
          </w:p>
        </w:tc>
        <w:tc>
          <w:tcPr>
            <w:tcW w:w="316" w:type="dxa"/>
            <w:tcBorders/>
            <w:vAlign w:val="center"/>
          </w:tcPr>
          <w:p>
            <w:pPr>
              <w:pStyle w:val="TableContents"/>
              <w:bidi w:val="0"/>
              <w:spacing w:before="0" w:after="0"/>
              <w:ind w:left="0" w:right="0" w:hanging="0"/>
              <w:jc w:val="center"/>
              <w:rPr/>
            </w:pPr>
            <w:r>
              <w:rPr/>
              <w:t> </w:t>
            </w:r>
          </w:p>
        </w:tc>
      </w:tr>
      <w:tr>
        <w:trPr/>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Property Type</w:t>
            </w:r>
          </w:p>
        </w:tc>
        <w:tc>
          <w:tcPr>
            <w:tcW w:w="346" w:type="dxa"/>
            <w:tcBorders/>
            <w:vAlign w:val="center"/>
          </w:tcPr>
          <w:p>
            <w:pPr>
              <w:pStyle w:val="TableContents"/>
              <w:bidi w:val="0"/>
              <w:spacing w:before="0" w:after="0"/>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Book Value</w:t>
            </w:r>
          </w:p>
        </w:tc>
        <w:tc>
          <w:tcPr>
            <w:tcW w:w="316" w:type="dxa"/>
            <w:tcBorders/>
            <w:vAlign w:val="center"/>
          </w:tcPr>
          <w:p>
            <w:pPr>
              <w:pStyle w:val="TableContents"/>
              <w:bidi w:val="0"/>
              <w:spacing w:before="0" w:after="0"/>
              <w:ind w:left="0" w:right="0" w:hanging="0"/>
              <w:jc w:val="center"/>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Hotel</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Life Science</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Mixed Use and Other</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Unfunded Commitments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unfunded commitments to certain of our Ground Lease tenants related to leasehold improvement allowances that we expect to fund upon the completion of certain conditions. As of June 30, 2026, we had $188.5 million of such commitments, excluding commitments to be funded by noncontrolling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w:t>
      </w:r>
      <w:r>
        <w:rPr>
          <w:rFonts w:ascii="Times New Roman;Times;serif" w:hAnsi="Times New Roman;Times;serif"/>
          <w:sz w:val="20"/>
          <w:shd w:fill="FFFFFF" w:val="clear"/>
        </w:rPr>
        <w:t xml:space="preserve"> fund construction and development loans and build-outs of space in real estate assets over a period of time, both individually and </w:t>
      </w:r>
      <w:r>
        <w:rPr>
          <w:rFonts w:ascii="Times New Roman;Times;serif" w:hAnsi="Times New Roman;Times;serif"/>
          <w:sz w:val="20"/>
        </w:rPr>
        <w:t>through the Leasehold Loan Fund,</w:t>
      </w:r>
      <w:r>
        <w:rPr>
          <w:rFonts w:ascii="Times New Roman;Times;serif" w:hAnsi="Times New Roman;Times;serif"/>
          <w:sz w:val="20"/>
          <w:shd w:fill="FFFFFF" w:val="clear"/>
        </w:rPr>
        <w:t xml:space="preserve"> if and when the borrowers and tenants meet established milestones and other performance criteria. We refer to these arrangements as performance-based commitments. As of June 30, 2026, we had $143.8 million of such commitments.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 xml:space="preserve">Results of Operations for the Three Months Ended June 30, 2026 compared to the Three Months Ended June 30, 2025 </w:t>
      </w:r>
    </w:p>
    <w:tbl>
      <w:tblPr>
        <w:tblW w:w="8374" w:type="dxa"/>
        <w:jc w:val="left"/>
        <w:tblInd w:w="0" w:type="dxa"/>
        <w:tblLayout w:type="fixed"/>
        <w:tblCellMar>
          <w:top w:w="0" w:type="dxa"/>
          <w:left w:w="0" w:type="dxa"/>
          <w:bottom w:w="0" w:type="dxa"/>
          <w:right w:w="0" w:type="dxa"/>
        </w:tblCellMar>
      </w:tblPr>
      <w:tblGrid>
        <w:gridCol w:w="4156"/>
        <w:gridCol w:w="346"/>
        <w:gridCol w:w="232"/>
        <w:gridCol w:w="862"/>
        <w:gridCol w:w="161"/>
        <w:gridCol w:w="232"/>
        <w:gridCol w:w="746"/>
        <w:gridCol w:w="346"/>
        <w:gridCol w:w="211"/>
        <w:gridCol w:w="691"/>
        <w:gridCol w:w="391"/>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639060" cy="175260"/>
                      <wp:effectExtent l="0" t="0" r="0" b="0"/>
                      <wp:wrapNone/>
                      <wp:docPr id="525" name="Frame525"/>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526" name="Frame5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47320" cy="175260"/>
                      <wp:effectExtent l="0" t="0" r="0" b="0"/>
                      <wp:wrapNone/>
                      <wp:docPr id="527" name="Frame527"/>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547370" cy="175260"/>
                      <wp:effectExtent l="0" t="0" r="0" b="0"/>
                      <wp:wrapNone/>
                      <wp:docPr id="528" name="Frame528"/>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02235" cy="175260"/>
                      <wp:effectExtent l="0" t="0" r="0" b="0"/>
                      <wp:wrapNone/>
                      <wp:docPr id="529" name="Frame529"/>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47320" cy="175260"/>
                      <wp:effectExtent l="0" t="0" r="0" b="0"/>
                      <wp:wrapNone/>
                      <wp:docPr id="530" name="Frame53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73710" cy="175260"/>
                      <wp:effectExtent l="0" t="0" r="0" b="0"/>
                      <wp:wrapNone/>
                      <wp:docPr id="531" name="Frame531"/>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19710" cy="175260"/>
                      <wp:effectExtent l="0" t="0" r="0" b="0"/>
                      <wp:wrapNone/>
                      <wp:docPr id="532" name="Frame5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33985" cy="175260"/>
                      <wp:effectExtent l="0" t="0" r="0" b="0"/>
                      <wp:wrapNone/>
                      <wp:docPr id="533" name="Frame5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438785" cy="175260"/>
                      <wp:effectExtent l="0" t="0" r="0" b="0"/>
                      <wp:wrapNone/>
                      <wp:docPr id="534" name="Frame5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48285" cy="175260"/>
                      <wp:effectExtent l="0" t="0" r="0" b="0"/>
                      <wp:wrapNone/>
                      <wp:docPr id="535" name="Frame53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23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91" w:type="dxa"/>
            <w:tcBorders/>
            <w:vAlign w:val="center"/>
          </w:tcPr>
          <w:p>
            <w:pPr>
              <w:pStyle w:val="TableContents"/>
              <w:bidi w:val="0"/>
              <w:spacing w:before="0" w:after="1"/>
              <w:ind w:left="0" w:right="0" w:hanging="0"/>
              <w:jc w:val="left"/>
              <w:rPr/>
            </w:pPr>
            <w:r>
              <w:rPr/>
              <w:t>  ​ ​ ​</w: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61" w:type="dxa"/>
            <w:tcBorders/>
            <w:vAlign w:val="center"/>
          </w:tcPr>
          <w:p>
            <w:pPr>
              <w:pStyle w:val="TableContents"/>
              <w:bidi w:val="0"/>
              <w:spacing w:before="0" w:after="1"/>
              <w:ind w:left="0" w:right="0" w:hanging="0"/>
              <w:jc w:val="left"/>
              <w:rPr/>
            </w:pPr>
            <w:r>
              <w:rPr/>
              <w:t>​</w:t>
            </w:r>
          </w:p>
        </w:tc>
        <w:tc>
          <w:tcPr>
            <w:tcW w:w="9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91" w:type="dxa"/>
            <w:tcBorders/>
            <w:vAlign w:val="center"/>
          </w:tcPr>
          <w:p>
            <w:pPr>
              <w:pStyle w:val="TableContents"/>
              <w:bidi w:val="0"/>
              <w:spacing w:before="0" w:after="1"/>
              <w:ind w:left="0" w:right="0" w:hanging="0"/>
              <w:jc w:val="left"/>
              <w:rPr/>
            </w:pPr>
            <w:r>
              <w:rPr/>
              <w:t>​</w:t>
            </w:r>
          </w:p>
        </w:tc>
      </w:tr>
      <w:tr>
        <w:trPr/>
        <w:tc>
          <w:tcPr>
            <w:tcW w:w="8374"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81"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pPr>
            <w:r>
              <w:rPr/>
              <w:t>  ​</w:t>
            </w:r>
          </w:p>
        </w:tc>
        <w:tc>
          <w:tcPr>
            <w:tcW w:w="161"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left"/>
              <w:rPr/>
            </w:pPr>
            <w:r>
              <w:rPr/>
              <w:t>​</w:t>
            </w:r>
          </w:p>
        </w:tc>
        <w:tc>
          <w:tcPr>
            <w:tcW w:w="74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 </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sales-type leases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76,902</w:t>
            </w:r>
          </w:p>
        </w:tc>
        <w:tc>
          <w:tcPr>
            <w:tcW w:w="161"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15,806</w:t>
            </w:r>
          </w:p>
        </w:tc>
        <w:tc>
          <w:tcPr>
            <w:tcW w:w="161"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7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w:t>
            </w:r>
          </w:p>
        </w:tc>
        <w:tc>
          <w:tcPr>
            <w:tcW w:w="391" w:type="dxa"/>
            <w:tcBorders/>
            <w:vAlign w:val="center"/>
          </w:tcPr>
          <w:p>
            <w:pPr>
              <w:pStyle w:val="TableContents"/>
              <w:bidi w:val="0"/>
              <w:spacing w:before="0" w:after="1"/>
              <w:ind w:left="0" w:right="0" w:hanging="0"/>
              <w:jc w:val="lef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15,937</w:t>
            </w:r>
          </w:p>
        </w:tc>
        <w:tc>
          <w:tcPr>
            <w:tcW w:w="161"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3,291</w:t>
            </w:r>
          </w:p>
        </w:tc>
        <w:tc>
          <w:tcPr>
            <w:tcW w:w="161"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7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w:t>
            </w:r>
          </w:p>
        </w:tc>
        <w:tc>
          <w:tcPr>
            <w:tcW w:w="391" w:type="dxa"/>
            <w:tcBorders/>
            <w:vAlign w:val="center"/>
          </w:tcPr>
          <w:p>
            <w:pPr>
              <w:pStyle w:val="TableContents"/>
              <w:bidi w:val="0"/>
              <w:spacing w:before="0" w:after="1"/>
              <w:ind w:left="0" w:right="0" w:hanging="0"/>
              <w:jc w:val="lef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2,710</w:t>
            </w:r>
          </w:p>
        </w:tc>
        <w:tc>
          <w:tcPr>
            <w:tcW w:w="161"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114,646</w:t>
            </w:r>
          </w:p>
        </w:tc>
        <w:tc>
          <w:tcPr>
            <w:tcW w:w="161"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20,804</w:t>
            </w:r>
          </w:p>
        </w:tc>
        <w:tc>
          <w:tcPr>
            <w:tcW w:w="391" w:type="dxa"/>
            <w:tcBorders/>
            <w:vAlign w:val="center"/>
          </w:tcPr>
          <w:p>
            <w:pPr>
              <w:pStyle w:val="TableContents"/>
              <w:bidi w:val="0"/>
              <w:spacing w:before="0" w:after="1"/>
              <w:ind w:left="0" w:right="0" w:hanging="0"/>
              <w:jc w:val="lef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2" w:type="dxa"/>
            <w:tcBorders/>
            <w:shd w:fill="CCEEFF" w:val="clear"/>
            <w:vAlign w:val="center"/>
          </w:tcPr>
          <w:p>
            <w:pPr>
              <w:pStyle w:val="TableContents"/>
              <w:bidi w:val="0"/>
              <w:spacing w:before="0" w:after="1"/>
              <w:ind w:left="0" w:right="0" w:hanging="0"/>
              <w:jc w:val="right"/>
              <w:rPr/>
            </w:pPr>
            <w:r>
              <w:rPr/>
              <w:t>  ​</w:t>
            </w:r>
          </w:p>
        </w:tc>
        <w:tc>
          <w:tcPr>
            <w:tcW w:w="161"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7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55,188</w:t>
            </w:r>
          </w:p>
        </w:tc>
        <w:tc>
          <w:tcPr>
            <w:tcW w:w="161"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3,923</w:t>
            </w:r>
          </w:p>
        </w:tc>
        <w:tc>
          <w:tcPr>
            <w:tcW w:w="391" w:type="dxa"/>
            <w:tcBorders/>
            <w:vAlign w:val="center"/>
          </w:tcPr>
          <w:p>
            <w:pPr>
              <w:pStyle w:val="TableContents"/>
              <w:bidi w:val="0"/>
              <w:spacing w:before="0" w:after="1"/>
              <w:ind w:left="0" w:right="0" w:hanging="0"/>
              <w:jc w:val="lef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13,932</w:t>
            </w:r>
          </w:p>
        </w:tc>
        <w:tc>
          <w:tcPr>
            <w:tcW w:w="161"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13,932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c>
          <w:tcPr>
            <w:tcW w:w="161"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91" w:type="dxa"/>
            <w:tcBorders/>
            <w:vAlign w:val="center"/>
          </w:tcPr>
          <w:p>
            <w:pPr>
              <w:pStyle w:val="TableContents"/>
              <w:bidi w:val="0"/>
              <w:spacing w:before="0" w:after="1"/>
              <w:ind w:left="0" w:right="0" w:hanging="0"/>
              <w:jc w:val="lef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w:t>
            </w:r>
          </w:p>
        </w:tc>
        <w:tc>
          <w:tcPr>
            <w:tcW w:w="161"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7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14,343</w:t>
            </w:r>
          </w:p>
        </w:tc>
        <w:tc>
          <w:tcPr>
            <w:tcW w:w="161"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7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w:t>
            </w:r>
          </w:p>
        </w:tc>
        <w:tc>
          <w:tcPr>
            <w:tcW w:w="391" w:type="dxa"/>
            <w:tcBorders/>
            <w:vAlign w:val="center"/>
          </w:tcPr>
          <w:p>
            <w:pPr>
              <w:pStyle w:val="TableContents"/>
              <w:bidi w:val="0"/>
              <w:spacing w:before="0" w:after="1"/>
              <w:ind w:left="0" w:right="0" w:hanging="0"/>
              <w:jc w:val="lef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161"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161"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391" w:type="dxa"/>
            <w:tcBorders/>
            <w:vAlign w:val="center"/>
          </w:tcPr>
          <w:p>
            <w:pPr>
              <w:pStyle w:val="TableContents"/>
              <w:bidi w:val="0"/>
              <w:spacing w:before="0" w:after="1"/>
              <w:ind w:left="0" w:right="0" w:hanging="0"/>
              <w:jc w:val="lef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86,390</w:t>
            </w:r>
          </w:p>
        </w:tc>
        <w:tc>
          <w:tcPr>
            <w:tcW w:w="161"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7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16,467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(losses) from equity method investments</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3,861</w:t>
            </w:r>
          </w:p>
        </w:tc>
        <w:tc>
          <w:tcPr>
            <w:tcW w:w="161"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w:t>
            </w:r>
          </w:p>
        </w:tc>
        <w:tc>
          <w:tcPr>
            <w:tcW w:w="391" w:type="dxa"/>
            <w:tcBorders/>
            <w:vAlign w:val="center"/>
          </w:tcPr>
          <w:p>
            <w:pPr>
              <w:pStyle w:val="TableContents"/>
              <w:bidi w:val="0"/>
              <w:spacing w:before="0" w:after="1"/>
              <w:ind w:left="0" w:right="0" w:hanging="0"/>
              <w:jc w:val="lef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32,117</w:t>
            </w:r>
          </w:p>
        </w:tc>
        <w:tc>
          <w:tcPr>
            <w:tcW w:w="161"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7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3,286</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(1,394)</w:t>
            </w:r>
          </w:p>
        </w:tc>
        <w:tc>
          <w:tcPr>
            <w:tcW w:w="161"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w:t>
            </w:r>
          </w:p>
        </w:tc>
        <w:tc>
          <w:tcPr>
            <w:tcW w:w="391" w:type="dxa"/>
            <w:tcBorders/>
            <w:vAlign w:val="center"/>
          </w:tcPr>
          <w:p>
            <w:pPr>
              <w:pStyle w:val="TableContents"/>
              <w:bidi w:val="0"/>
              <w:spacing w:before="0" w:after="1"/>
              <w:ind w:left="0" w:right="0" w:hanging="0"/>
              <w:jc w:val="lef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30,723</w:t>
            </w:r>
          </w:p>
        </w:tc>
        <w:tc>
          <w:tcPr>
            <w:tcW w:w="161"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2,754</w:t>
            </w:r>
          </w:p>
        </w:tc>
        <w:tc>
          <w:tcPr>
            <w:tcW w:w="391"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three months ended June 30, 2026 and 2025, general and administrative was partially offset by $1.9 million and $2.7 million, respectively, of management fees earned from Star Holdings, which are included in “Other income” in our consolidated statements of operations.</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from sales-type leases increased to $76.9 million for the three months ended June 30, 2026 from $70.6 million for the same period in 2025. The increase was due primarily to originations of Ground Leases and additional fundings on existing Ground Leases classified as sales-type leases and Ground Lease receivables.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lease income was $15.8 million and $16.7 million, respectively, for the three months ended June 30, 2026 and 2025. Operating lease income consists of rent from our operating leases and percentage rent from certain properties, including our Park Hotels portfolio. The decrease in 2026 was due primarily to us taking over hotel operations at two hotels on January 1, 2026 (refer to Note 3 to the consolidated financial statements) and a decrease in percentage rent from our Park Hotels portfolio.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Hotel revenues were $15.9 million for the three months ended June 30, 2026 and relate to two hotels that we became responsible for operating on January 1, 2026 (refer to Note 3 to the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relates to the Star Holdings Term Loan Facility (refer to Note 7 to the consolidated financial statements) and leasehold loans we originated in connection with Ground Leases. The increase in 2026 was due primarily to the origination of leasehold loans beginning in the second quarter of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Other income for the three months ended June 30, 2026 and 2025 includes $1.9 million and $2.7 million, respectively, of management fees from Star Holdings (refer to Note 15 to the consolidated financial statements). Other income for the three months ended June 30, 2025 also includes $0.1 million of other income relating to a Ground Lease in which we are the lessee. Other income for the three months ended June 30, 2026 and 2025 also includes $0.8 million and $1.0 million, respectively, of other ancillary income from our investments. Other ancillary income primarily includes sublease income, recoverable expenses and interest income earned on our cash balances.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781" w:name="_Hlk211605191"/>
      <w:bookmarkEnd w:id="1781"/>
      <w:r>
        <w:rPr>
          <w:rFonts w:ascii="Times New Roman;Times;serif" w:hAnsi="Times New Roman;Times;serif"/>
          <w:sz w:val="20"/>
        </w:rPr>
        <w:t>During the three months ended June 30, 2026 and 2025, we incurred interest expense from our debt obligations of $55.2 million and $51.3 million, respectively. The increase in 2026 was primarily the result of increased indebtedness to fund acquisition activity.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Hotel expenses were $13.9 million for the three months ended June 30, 2026 and relates to two hotels that we became responsible for operating on January 1, 2026 (refer to Note 3 to the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three months ended June 30, 2026 and 2025, we incurred real estate expense of $0.8 million and $0.9 million, respectively, which consisted primarily of the amortization of an operating lease right-of-use asset, recoverable franchise taxes, legal fees, property taxes and insurance expense. In addition, during the three months ended June 30, 2025, we also recorded $0.1 million of real estate expense relating to a Ground Lease in which we are the lessee.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Depreciation and amortization during the three months ended June 30, 2026 and 2025 was $1.8 million and $2.1 million, respectively. Depreciation and amortization primarily relates to our ownership of the Park Hotels Portfolio and a multi-family property, the amortization of in-place lease assets and depreciation of corporate fixed assets. The decrease in 2026 was primarily the result of the full amortization of lease intangible assets.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General and administrative expenses primarily includes public company costs such as compensation (including equity-based compensation), occupancy and other costs. The following table presents our general and administrative expenses for the three months ended June 30, 2026 and 2025 ($ in thousands): </w:t>
      </w:r>
    </w:p>
    <w:tbl>
      <w:tblPr>
        <w:tblW w:w="6331" w:type="dxa"/>
        <w:jc w:val="left"/>
        <w:tblInd w:w="0" w:type="dxa"/>
        <w:tblLayout w:type="fixed"/>
        <w:tblCellMar>
          <w:top w:w="0" w:type="dxa"/>
          <w:left w:w="0" w:type="dxa"/>
          <w:bottom w:w="0" w:type="dxa"/>
          <w:right w:w="0" w:type="dxa"/>
        </w:tblCellMar>
      </w:tblPr>
      <w:tblGrid>
        <w:gridCol w:w="3706"/>
        <w:gridCol w:w="346"/>
        <w:gridCol w:w="216"/>
        <w:gridCol w:w="693"/>
        <w:gridCol w:w="354"/>
        <w:gridCol w:w="216"/>
        <w:gridCol w:w="800"/>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353310" cy="175260"/>
                      <wp:effectExtent l="0" t="0" r="0" b="0"/>
                      <wp:wrapNone/>
                      <wp:docPr id="536" name="Frame536"/>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9710" cy="175260"/>
                      <wp:effectExtent l="0" t="0" r="0" b="0"/>
                      <wp:wrapNone/>
                      <wp:docPr id="537"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37160" cy="175260"/>
                      <wp:effectExtent l="0" t="0" r="0" b="0"/>
                      <wp:wrapNone/>
                      <wp:docPr id="538" name="Frame53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440055" cy="175260"/>
                      <wp:effectExtent l="0" t="0" r="0" b="0"/>
                      <wp:wrapNone/>
                      <wp:docPr id="539" name="Frame539"/>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24790" cy="175260"/>
                      <wp:effectExtent l="0" t="0" r="0" b="0"/>
                      <wp:wrapNone/>
                      <wp:docPr id="540" name="Frame540"/>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37160" cy="175260"/>
                      <wp:effectExtent l="0" t="0" r="0" b="0"/>
                      <wp:wrapNone/>
                      <wp:docPr id="541" name="Frame54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508000" cy="175260"/>
                      <wp:effectExtent l="0" t="0" r="0" b="0"/>
                      <wp:wrapNone/>
                      <wp:docPr id="542" name="Frame542"/>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7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4" w:type="dxa"/>
            <w:tcBorders/>
            <w:vAlign w:val="center"/>
          </w:tcPr>
          <w:p>
            <w:pPr>
              <w:pStyle w:val="TableContents"/>
              <w:bidi w:val="0"/>
              <w:spacing w:before="0" w:after="1"/>
              <w:ind w:left="0" w:right="0" w:hanging="0"/>
              <w:jc w:val="left"/>
              <w:rPr/>
            </w:pPr>
            <w:r>
              <w:rPr/>
              <w:t>  ​ ​ ​</w:t>
            </w:r>
          </w:p>
        </w:tc>
        <w:tc>
          <w:tcPr>
            <w:tcW w:w="10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Public company and other costs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10,954</w:t>
            </w:r>
          </w:p>
        </w:tc>
        <w:tc>
          <w:tcPr>
            <w:tcW w:w="354"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9,873</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3,389</w:t>
            </w:r>
          </w:p>
        </w:tc>
        <w:tc>
          <w:tcPr>
            <w:tcW w:w="354"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3,081</w:t>
            </w:r>
          </w:p>
        </w:tc>
      </w:tr>
      <w:tr>
        <w:trPr/>
        <w:tc>
          <w:tcPr>
            <w:tcW w:w="37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14,343</w:t>
            </w:r>
          </w:p>
        </w:tc>
        <w:tc>
          <w:tcPr>
            <w:tcW w:w="354"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12,954</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three months ended June 30, 2026 and 2025, public company and other costs primarily includes compensation, occupancy, legal, insurance and other office related costs.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three months ended June 30, 2026 and 2025, general and administrative expenses were partially offset by $1.9 million and $2.7 million, respectively, of management fees earned from Star Holdings, which are included in “Other income” in our consolidated statements of operations.</w:t>
            </w:r>
          </w:p>
        </w:tc>
      </w:tr>
    </w:tbl>
    <w:p>
      <w:pPr>
        <w:pStyle w:val="TextBody"/>
        <w:bidi w:val="0"/>
        <w:spacing w:before="0" w:after="0"/>
        <w:ind w:left="36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During the three months ended June 30, 2026, we recorded a provision for credit losses of $0.3 million. </w:t>
      </w:r>
      <w:r>
        <w:rPr>
          <w:rFonts w:ascii="Times New Roman;Times;serif" w:hAnsi="Times New Roman;Times;serif"/>
          <w:sz w:val="20"/>
        </w:rPr>
        <w:t xml:space="preserve">The provision for credit losses was due primarily to growth in the carrying value of the Ground Lease portfolio during the period, </w:t>
      </w:r>
      <w:r>
        <w:rPr>
          <w:rFonts w:ascii="Times New Roman;Times;serif" w:hAnsi="Times New Roman;Times;serif"/>
          <w:color w:val="212529"/>
          <w:sz w:val="20"/>
          <w:shd w:fill="FFFFFF" w:val="clear"/>
        </w:rPr>
        <w:t>which was partially offset by an improving macroeconomic forecast since March 31, 2026</w:t>
      </w:r>
      <w:r>
        <w:rPr>
          <w:rFonts w:ascii="Times New Roman;Times;serif" w:hAnsi="Times New Roman;Times;serif"/>
          <w:sz w:val="20"/>
        </w:rPr>
        <w:t>.</w:t>
      </w:r>
      <w:r>
        <w:rPr>
          <w:rFonts w:ascii="Times New Roman;Times;serif" w:hAnsi="Times New Roman;Times;serif"/>
          <w:color w:val="212529"/>
          <w:sz w:val="20"/>
          <w:shd w:fill="FFFFFF" w:val="clear"/>
        </w:rPr>
        <w:t xml:space="preserve"> </w:t>
      </w:r>
      <w:r>
        <w:rPr>
          <w:rFonts w:ascii="Times New Roman;Times;serif" w:hAnsi="Times New Roman;Times;serif"/>
          <w:sz w:val="20"/>
          <w:shd w:fill="FFFFFF" w:val="clear"/>
        </w:rPr>
        <w:t>During the three months ended June 30, 2025, we recorded a provision for credit losses of $2.4 million. The provision for credit losses was due primarily to the origination of three leasehold loans (refer to Note 6 to the consolidated financial statements) during the three months ended June 30, 2025 and current market conditions, </w:t>
      </w:r>
      <w:r>
        <w:rPr>
          <w:rFonts w:ascii="Times New Roman;Times;serif" w:hAnsi="Times New Roman;Times;serif"/>
          <w:color w:val="212529"/>
          <w:sz w:val="20"/>
          <w:shd w:fill="FFFFFF" w:val="clear"/>
        </w:rPr>
        <w:t>including an increase in our Ground Lease cost to value ratios on certain of our assets,</w:t>
      </w:r>
      <w:r>
        <w:rPr>
          <w:rFonts w:ascii="Times New Roman;Times;serif" w:hAnsi="Times New Roman;Times;serif"/>
          <w:sz w:val="20"/>
          <w:shd w:fill="FFFFFF" w:val="clear"/>
        </w:rPr>
        <w:t> and growth in the carrying value of the Ground Lease portfolio during the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0"/>
          <w:shd w:fill="FFFFFF" w:val="clear"/>
        </w:rPr>
        <w:t>uring the three months ended June 30, 2026, other expense consisted primarily of costs incurred with derivative transactions. During the three months ended June 30, 2025, other expense consisted primarily of legal fees</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2026 and 2025, earnings from equity method investments (refer to Note 8 to the consolidated financial statements) was $3.9 million and $4.9 million, respectively</w:t>
      </w:r>
      <w:r>
        <w:rPr>
          <w:rFonts w:ascii="Times New Roman;Times;serif" w:hAnsi="Times New Roman;Times;serif"/>
          <w:sz w:val="20"/>
          <w:shd w:fill="FFFFFF" w:val="clear"/>
        </w:rPr>
        <w:t xml:space="preserve">. </w:t>
      </w:r>
      <w:r>
        <w:rPr>
          <w:rFonts w:ascii="Times New Roman;Times;serif" w:hAnsi="Times New Roman;Times;serif"/>
          <w:sz w:val="20"/>
        </w:rPr>
        <w:t>The decrease in 2026 was primarily the result of a decrease in earnings from our Ground Lease Plus Fund and 32 Old Slip (refer to Note 8 to the consolidated financial statements).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color w:val="212529"/>
          <w:sz w:val="20"/>
        </w:rPr>
        <w:t xml:space="preserve">During the three months ended June 30, 2026, we recorded consolidated income tax expense of $1.4 million, </w:t>
      </w:r>
      <w:r>
        <w:rPr>
          <w:rFonts w:ascii="Times New Roman;Times;serif" w:hAnsi="Times New Roman;Times;serif"/>
          <w:sz w:val="20"/>
        </w:rPr>
        <w:t>which was primarily attributable to current and deferred tax expense at our taxable REIT subsidiary (“TRS”).  Included in our consolidated income tax expense for the three months ended June 30, 2026, our TRS recorded current income tax expense in the amount of $1.2 million and a deferred income tax expense in the amount of $0.2 million</w:t>
      </w:r>
      <w:r>
        <w:rPr>
          <w:rFonts w:ascii="Times New Roman;Times;serif" w:hAnsi="Times New Roman;Times;serif"/>
          <w:color w:val="212529"/>
          <w:sz w:val="20"/>
        </w:rPr>
        <w:t>. During the three months ended June 30, 2025, we recorded consolidated income tax expense of $0.9 million, which was primarily attributable to a deferred tax expense at our TRS and relates to equity-based compensation</w:t>
      </w:r>
      <w:r>
        <w:rPr>
          <w:rFonts w:ascii="Times New Roman;Times;serif" w:hAnsi="Times New Roman;Times;serif"/>
          <w:sz w:val="20"/>
        </w:rPr>
        <w:t> expense and utilization of net operating loss </w:t>
      </w:r>
      <w:r>
        <w:rPr>
          <w:rFonts w:ascii="Times New Roman;Times;serif" w:hAnsi="Times New Roman;Times;serif"/>
          <w:color w:val="212529"/>
          <w:sz w:val="20"/>
        </w:rPr>
        <w:t xml:space="preserve">carryovers to which our TRS is a successor. Included in our consolidated income tax expense for the three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color w:val="212529"/>
          <w:sz w:val="20"/>
        </w:rPr>
      </w:pPr>
      <w:r>
        <w:rPr>
          <w:rFonts w:ascii="Times New Roman;Times;serif" w:hAnsi="Times New Roman;Times;serif"/>
          <w:color w:val="212529"/>
          <w:sz w:val="20"/>
        </w:rPr>
        <w:t>months ended June 30, 2025, our TRS recorded current and deferred income tax expense in the amounts of $0.2 million and $0.7 million, respectively.</w:t>
      </w:r>
    </w:p>
    <w:p>
      <w:pPr>
        <w:pStyle w:val="TextBody"/>
        <w:shd w:fill="FFFFFF" w:val="clear"/>
        <w:bidi w:val="0"/>
        <w:spacing w:before="0" w:after="0"/>
        <w:ind w:left="0" w:right="0" w:firstLine="720"/>
        <w:jc w:val="both"/>
        <w:rPr/>
      </w:pPr>
      <w:r>
        <w:rPr/>
        <w:t>​</w:t>
      </w:r>
    </w:p>
    <w:p>
      <w:pPr>
        <w:pStyle w:val="TextBody"/>
        <w:bidi w:val="0"/>
        <w:spacing w:before="0" w:after="12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 xml:space="preserve">Results of Operations for the Six Months Ended June 30, 2026 compared to the Six Months Ended June 30, 2025 </w:t>
      </w:r>
    </w:p>
    <w:tbl>
      <w:tblPr>
        <w:tblW w:w="8060" w:type="dxa"/>
        <w:jc w:val="left"/>
        <w:tblInd w:w="0" w:type="dxa"/>
        <w:tblLayout w:type="fixed"/>
        <w:tblCellMar>
          <w:top w:w="0" w:type="dxa"/>
          <w:left w:w="0" w:type="dxa"/>
          <w:bottom w:w="0" w:type="dxa"/>
          <w:right w:w="0" w:type="dxa"/>
        </w:tblCellMar>
      </w:tblPr>
      <w:tblGrid>
        <w:gridCol w:w="4156"/>
        <w:gridCol w:w="346"/>
        <w:gridCol w:w="211"/>
        <w:gridCol w:w="781"/>
        <w:gridCol w:w="146"/>
        <w:gridCol w:w="211"/>
        <w:gridCol w:w="781"/>
        <w:gridCol w:w="346"/>
        <w:gridCol w:w="346"/>
        <w:gridCol w:w="73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639060" cy="175260"/>
                      <wp:effectExtent l="0" t="0" r="0" b="0"/>
                      <wp:wrapNone/>
                      <wp:docPr id="543" name="Frame543"/>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19710" cy="175260"/>
                      <wp:effectExtent l="0" t="0" r="0" b="0"/>
                      <wp:wrapNone/>
                      <wp:docPr id="544" name="Frame5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3985" cy="175260"/>
                      <wp:effectExtent l="0" t="0" r="0" b="0"/>
                      <wp:wrapNone/>
                      <wp:docPr id="545" name="Frame5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495935" cy="175260"/>
                      <wp:effectExtent l="0" t="0" r="0" b="0"/>
                      <wp:wrapNone/>
                      <wp:docPr id="546" name="Frame5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92710" cy="175260"/>
                      <wp:effectExtent l="0" t="0" r="0" b="0"/>
                      <wp:wrapNone/>
                      <wp:docPr id="547" name="Frame54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3985" cy="175260"/>
                      <wp:effectExtent l="0" t="0" r="0" b="0"/>
                      <wp:wrapNone/>
                      <wp:docPr id="548" name="Frame5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95935" cy="175260"/>
                      <wp:effectExtent l="0" t="0" r="0" b="0"/>
                      <wp:wrapNone/>
                      <wp:docPr id="549" name="Frame5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50" name="Frame5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19710" cy="175260"/>
                      <wp:effectExtent l="0" t="0" r="0" b="0"/>
                      <wp:wrapNone/>
                      <wp:docPr id="551" name="Frame5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467360" cy="175260"/>
                      <wp:effectExtent l="0" t="0" r="0" b="0"/>
                      <wp:wrapNone/>
                      <wp:docPr id="552" name="Frame55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46"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center"/>
              <w:rPr/>
            </w:pPr>
            <w:r>
              <w:rPr/>
              <w:t>  ​ ​ ​</w:t>
            </w:r>
          </w:p>
        </w:tc>
        <w:tc>
          <w:tcPr>
            <w:tcW w:w="736" w:type="dxa"/>
            <w:tcBorders/>
            <w:vAlign w:val="center"/>
          </w:tcPr>
          <w:p>
            <w:pPr>
              <w:pStyle w:val="TableContents"/>
              <w:bidi w:val="0"/>
              <w:spacing w:before="0" w:after="1"/>
              <w:ind w:left="0" w:right="0" w:hanging="0"/>
              <w:jc w:val="center"/>
              <w:rPr/>
            </w:pPr>
            <w:r>
              <w:rPr/>
              <w:t>​</w: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0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806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5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sales-type leases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151,936</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140,306</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11,630</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35,962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38,088</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(2,126)</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revenues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25,801</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25,801</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5,401</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8,080</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(2,679)</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225,500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191,519</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33,981</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108,703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101,691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7,012</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26,127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26,127</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4,323</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r>
      <w:tr>
        <w:trPr/>
        <w:tc>
          <w:tcPr>
            <w:tcW w:w="41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29,646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27,086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2,560</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(recovery of) credit losses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4,646</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(3,878)</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2,514</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(1,838)</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171,697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142,299</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29,398</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(losses) from equity method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9,904</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(2,008)</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61,699</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59,124</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59,620</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57,379</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2,241</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six months ended June 30, 2026 and 2025, general and administrative was partially offset by $4.0 million and $6.3 million, respectively, of management fees earned from Star Holdings, which are included in “Other income” in our consolidated statements of operations.</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from sales-type leases increased to $151.9 million for the six months ended June 30, 2026 from $140.3 million for the same period in 2025. The increase was due primarily to originations of Ground Leases and additional fundings on existing Ground Leases classified as sales-type leases and Ground Lease receivables.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lease income was $36.0 million and $38.1 million, respectively, for the six months ended June 30, 2026 and 2025. Operating lease income consists of rent from our operating leases and percentage rent from certain properties, including our Park Hotels portfolio. The decrease in 2026 was due primarily to us taking over hotel operations at two hotels on January 1, 2026 (refer to Note 3 to the consolidated financial statements) and a decrease in percentage rent from our Park Hotels portfolio.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Hotel revenues were $25.8 million for the six months ended June 30, 2026 and relate to two hotels that we became responsible for operating on January 1, 2026 (refer to Note 3 to the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relates to the Star Holdings Term Loan Facility (refer to Note 7 to the consolidated financial statements) and leasehold loans we originated in connection with Ground Leases. The increase in 2026 was due primarily to the origination of leasehold loans beginning in the second quarter of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Other income for the six months ended June 30, 2026 and 2025 includes $4.0 million and $6.3 million, respectively, of management fees from Star Holdings (refer to Note 15 to the consolidated financial statements). Other income for the six months ended June 30, 2025 also includes $0.3 million of other income relating to a Ground Lease in which we are the lessee. Other income for the six months ended June 30, 2026 and 2025 also includes $1.4 million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$1.5 million, respectively, of other ancillary income from our investments. Other ancillary income primarily includes sublease income, recoverable expenses and interest income earned on our cash balances.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2026 and 2025, we incurred interest expense from our debt obligations of $108.7 million and $101.7 million, respectively. The increase in 2026 was primarily the result of increased indebtedness to fund acquisition activity.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Hotel expenses were $26.1 million for the six months ended June 30, 2026 and relates to two hotels that we became responsible for operating on January 1, 2026 (refer to Note 3 to the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six months ended June 30, 2026 and 2025, we incurred real estate expense of $2.1 million and $2.0 million, respectively, which consisted primarily of the amortization of an operating lease right-of-use asset, legal fees, property taxes and insurance expense. In addition, during the six months ended June 30, 2025, we also recorded $0.3 million of real estate expense relating to a Ground Lease in which we are the lessee.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Depreciation and amortization during the six months ended June 30, 2026 and 2025 was $3.7 million and $4.3 million, respectively. Depreciation and amortization primarily relates to our ownership of the Park Hotels Portfolio and a multi-family property, the amortization of in-place lease assets and depreciation of corporate fixed assets. The decrease in 2026 was primarily the result of the full amortization of lease intangible assets.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General and administrative expenses primarily includes public company costs such as compensation (including equity-based compensation), occupancy and other costs. The following table presents our general and administrative expenses for the six months ended June 30, 2026 and 2025 ($ in thousands): </w:t>
      </w:r>
    </w:p>
    <w:tbl>
      <w:tblPr>
        <w:tblW w:w="6277" w:type="dxa"/>
        <w:jc w:val="left"/>
        <w:tblInd w:w="0" w:type="dxa"/>
        <w:tblLayout w:type="fixed"/>
        <w:tblCellMar>
          <w:top w:w="0" w:type="dxa"/>
          <w:left w:w="0" w:type="dxa"/>
          <w:bottom w:w="0" w:type="dxa"/>
          <w:right w:w="0" w:type="dxa"/>
        </w:tblCellMar>
      </w:tblPr>
      <w:tblGrid>
        <w:gridCol w:w="3706"/>
        <w:gridCol w:w="346"/>
        <w:gridCol w:w="211"/>
        <w:gridCol w:w="676"/>
        <w:gridCol w:w="346"/>
        <w:gridCol w:w="211"/>
        <w:gridCol w:w="781"/>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353310" cy="175260"/>
                      <wp:effectExtent l="0" t="0" r="0" b="0"/>
                      <wp:wrapNone/>
                      <wp:docPr id="553" name="Frame553"/>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19710" cy="175260"/>
                      <wp:effectExtent l="0" t="0" r="0" b="0"/>
                      <wp:wrapNone/>
                      <wp:docPr id="554" name="Frame5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33985" cy="175260"/>
                      <wp:effectExtent l="0" t="0" r="0" b="0"/>
                      <wp:wrapNone/>
                      <wp:docPr id="555" name="Frame5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429260" cy="175260"/>
                      <wp:effectExtent l="0" t="0" r="0" b="0"/>
                      <wp:wrapNone/>
                      <wp:docPr id="556" name="Frame5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19710" cy="175260"/>
                      <wp:effectExtent l="0" t="0" r="0" b="0"/>
                      <wp:wrapNone/>
                      <wp:docPr id="557" name="Frame5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33985" cy="175260"/>
                      <wp:effectExtent l="0" t="0" r="0" b="0"/>
                      <wp:wrapNone/>
                      <wp:docPr id="558" name="Frame5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495935" cy="175260"/>
                      <wp:effectExtent l="0" t="0" r="0" b="0"/>
                      <wp:wrapNone/>
                      <wp:docPr id="559" name="Frame5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Public company and other costs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20,518</w:t>
            </w:r>
          </w:p>
        </w:tc>
      </w:tr>
      <w:tr>
        <w:trPr/>
        <w:tc>
          <w:tcPr>
            <w:tcW w:w="37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6,568</w:t>
            </w:r>
          </w:p>
        </w:tc>
      </w:tr>
      <w:tr>
        <w:trPr/>
        <w:tc>
          <w:tcPr>
            <w:tcW w:w="37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27,086</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six months ended June 30, 2026 and 2025, public company and other costs primarily includes compensation, occupancy, legal, insurance and other office related costs.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 the six months ended June 30, 2026 and 2025, general and administrative expenses were partially offset by $4.0 million and $6.3 million, respectively, of management fees earned from Star Holdings, which are included in “Other income” in our consolidated statements of operations.</w:t>
            </w:r>
          </w:p>
        </w:tc>
      </w:tr>
    </w:tbl>
    <w:p>
      <w:pPr>
        <w:pStyle w:val="TextBody"/>
        <w:bidi w:val="0"/>
        <w:spacing w:before="0" w:after="0"/>
        <w:ind w:left="36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During the six months ended June 30, 2026, we recorded a provision for credit losses of $0.8 million. </w:t>
      </w:r>
      <w:r>
        <w:rPr>
          <w:rFonts w:ascii="Times New Roman;Times;serif" w:hAnsi="Times New Roman;Times;serif"/>
          <w:sz w:val="20"/>
        </w:rPr>
        <w:t xml:space="preserve">The provision for credit losses was due primarily to growth in the carrying value of the Ground Lease portfolio and loan portfolio during the period, </w:t>
      </w:r>
      <w:r>
        <w:rPr>
          <w:rFonts w:ascii="Times New Roman;Times;serif" w:hAnsi="Times New Roman;Times;serif"/>
          <w:color w:val="212529"/>
          <w:sz w:val="20"/>
          <w:shd w:fill="FFFFFF" w:val="clear"/>
        </w:rPr>
        <w:t>which was partially offset by a decrease in our Ground Lease cost to value ratios</w:t>
      </w:r>
      <w:r>
        <w:rPr>
          <w:rFonts w:ascii="Times New Roman;Times;serif" w:hAnsi="Times New Roman;Times;serif"/>
          <w:sz w:val="20"/>
        </w:rPr>
        <w:t>.</w:t>
      </w:r>
      <w:r>
        <w:rPr>
          <w:rFonts w:ascii="Times New Roman;Times;serif" w:hAnsi="Times New Roman;Times;serif"/>
          <w:color w:val="212529"/>
          <w:sz w:val="20"/>
          <w:shd w:fill="FFFFFF" w:val="clear"/>
        </w:rPr>
        <w:t xml:space="preserve"> </w:t>
      </w:r>
      <w:r>
        <w:rPr>
          <w:rFonts w:ascii="Times New Roman;Times;serif" w:hAnsi="Times New Roman;Times;serif"/>
          <w:sz w:val="20"/>
          <w:shd w:fill="FFFFFF" w:val="clear"/>
        </w:rPr>
        <w:t>During the six months ended June 30, 2025, we recorded a provision for credit losses of $4.6 million. The provision for credit losses was due primarily to the origination of three leasehold loans (refer to Note 6 to the consolidated financial statements) during the six months ended June 30, 2025 and current market conditions, </w:t>
      </w:r>
      <w:r>
        <w:rPr>
          <w:rFonts w:ascii="Times New Roman;Times;serif" w:hAnsi="Times New Roman;Times;serif"/>
          <w:color w:val="212529"/>
          <w:sz w:val="20"/>
          <w:shd w:fill="FFFFFF" w:val="clear"/>
        </w:rPr>
        <w:t>including an increase in our Ground Lease cost to value ratios on certain of our assets,</w:t>
      </w:r>
      <w:r>
        <w:rPr>
          <w:rFonts w:ascii="Times New Roman;Times;serif" w:hAnsi="Times New Roman;Times;serif"/>
          <w:sz w:val="20"/>
          <w:shd w:fill="FFFFFF" w:val="clear"/>
        </w:rPr>
        <w:t> and growth in the carrying value of the Ground Lease portfolio during the period.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0"/>
          <w:shd w:fill="FFFFFF" w:val="clear"/>
        </w:rPr>
        <w:t>uring the six months ended June 30, 2026, other expense consisted primarily of costs incurred with real estate available and held for sale. During the six months ended June 30, 2025, other expense consisted primarily of a full write-off of a $1.9 million preferred equity investment in an entity that owned the leasehold interest under one of our Ground Leases.</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six months ended June 30, 2026 and 2025, earnings from equity method investments (refer to Note 8 to the consolidated financial statements) was $7.9 million and $9.9 million, respectively</w:t>
      </w:r>
      <w:r>
        <w:rPr>
          <w:rFonts w:ascii="Times New Roman;Times;serif" w:hAnsi="Times New Roman;Times;serif"/>
          <w:sz w:val="20"/>
          <w:shd w:fill="FFFFFF" w:val="clear"/>
        </w:rPr>
        <w:t xml:space="preserve">. </w:t>
      </w:r>
      <w:r>
        <w:rPr>
          <w:rFonts w:ascii="Times New Roman;Times;serif" w:hAnsi="Times New Roman;Times;serif"/>
          <w:sz w:val="20"/>
        </w:rPr>
        <w:t>The decrease in 2026 was primarily the result of a decrease in earnings from our Ground Lease Plus Fund and 32 Old Slip (refer to Note 8 to the consolidated financial statements).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color w:val="212529"/>
          <w:sz w:val="20"/>
        </w:rPr>
        <w:t xml:space="preserve">During the six months ended June 30, 2026, we recorded consolidated income tax expense of $2.1 million, </w:t>
      </w:r>
      <w:r>
        <w:rPr>
          <w:rFonts w:ascii="Times New Roman;Times;serif" w:hAnsi="Times New Roman;Times;serif"/>
          <w:sz w:val="20"/>
        </w:rPr>
        <w:t xml:space="preserve">which was primarily attributable to current and deferred tax expense at our taxable REIT subsidiary (“TRS”).  Included in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consolidated income tax expense for the six months ended June 30, 2026, our TRS recorded current income tax expense in the amount of $1.8 million and a deferred income tax expense in the amount of $0.3 million</w:t>
      </w:r>
      <w:r>
        <w:rPr>
          <w:rFonts w:ascii="Times New Roman;Times;serif" w:hAnsi="Times New Roman;Times;serif"/>
          <w:color w:val="212529"/>
          <w:sz w:val="20"/>
        </w:rPr>
        <w:t>. During the six months ended June 30, 2025, we recorded consolidated income tax expense of $1.7 million, which was primarily attributable to a deferred tax expense at our TRS and relates to equity-based compensation</w:t>
      </w:r>
      <w:r>
        <w:rPr>
          <w:rFonts w:ascii="Times New Roman;Times;serif" w:hAnsi="Times New Roman;Times;serif"/>
          <w:sz w:val="20"/>
        </w:rPr>
        <w:t> expense and utilization of net operating loss carryovers to which our TRS is a successor. </w:t>
      </w:r>
      <w:r>
        <w:rPr>
          <w:rFonts w:ascii="Times New Roman;Times;serif" w:hAnsi="Times New Roman;Times;serif"/>
          <w:color w:val="212529"/>
          <w:sz w:val="20"/>
        </w:rPr>
        <w:t>Included in our consolidated income tax expense for the six months ended June 30, 2025, our TRS recorded current and deferred tax expense in the amounts of $0.2 million and $1.5 million, respectively.</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Liquidity is a measure of our ability to meet potential cash requirements, including to pay interest and repay borrowings, fund and maintain our assets and operations, complete acquisitions and originations of investments, make distributions to our shareholders and meet other general business needs. In order to qualify as a REIT, we are required under the Internal Revenue Code of 1986 to distribute to our shareholders, on an annual basis, at least 90% of our REIT taxable income, determined without regard to the deduction for dividends paid and excluding net capital gains. We expect to make quarterly cash distributions to our shareholders sufficient to meet REIT qualification requirements.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June 2026, November 2024 and February 2024, Portfolio Holdings (as issuer) and we (as guarantor), issued an aggregate $925.0 million principal amount of senior notes. In June 2026, we issued $225.0 million aggregate principal amount of 6.615% senior notes due August 2056 (the “6.615% Notes”). In November 2024, we issued $400.0 million aggregate principal amount of 5.65% senior notes due January 2035 (the “5.65% Notes”). The 5.65% Notes were issued at 98.812% of the principal amount. In February 2024, we issued $300.0 million aggregate principal amount of 6.10% senior notes due April 2034 (the “6.10% Notes”). The 6.10% Notes were issued at 98.957% of the principal amount.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 November 2025, we received a credit ratings upgrade from S&amp;P Global Ratings to A- (from BBB+). We believe the strong credit profile we have established utilizing our modern Ground Leases and our current investment-grade credit ratings from Moody's Investors Services of A3, Fitch Ratings of A- and S&amp;P Global Ratings of A- facilitates our ability to bring commercial real estate owners, developers and sponsors more efficiently priced capital and allows us significant operational and financial flexibility and supports our ability to scale our Ground Lease platform.</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Also in November 2025, we closed on a $400.0 million unsecured term loan with an extended maturity date of November 15, 2030, which includes two one-year extension options (the “2025 Unsecured Term Loan”). The 2025 Unsecured Term Loan replaced the $227.0 million principal amount of debt obligations we defeased in October 2025 that was scheduled to mature in April 2027 and partially repaid the 2024 Unsecured Revolver (as defined below). The 2025 Unsecured Term Loan has a borrowing rate of SOFR plus 0.90%, subject to our credit ratings. The 2025 Unsecured Term Loan also includes an accordion feature to increase the loan up to a maximum amount of $600.0 million, subject to certain conditions.</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February 4, 2025, our Board authorized the repurchase of up to $50.0 million of our common stock. W</w:t>
      </w:r>
      <w:r>
        <w:rPr>
          <w:rFonts w:ascii="Times New Roman;Times;serif" w:hAnsi="Times New Roman;Times;serif"/>
          <w:sz w:val="20"/>
          <w:shd w:fill="FFFFFF" w:val="clear"/>
        </w:rPr>
        <w:t xml:space="preserve">e have no obligation to repurchase additional shares, and the timing, actual number and value of the shares that are repurchased, if any, will be at the discretion of management and will depend on a number of factors, including market conditions, the cost of repurchasing shares, the availability of alternative investment opportunities, liquidity, and other factors deemed appropriate. Repurchases may be suspended, terminated or modified at any time for any reason. </w:t>
      </w:r>
      <w:r>
        <w:rPr>
          <w:rFonts w:ascii="Times New Roman;Times;serif" w:hAnsi="Times New Roman;Times;serif"/>
          <w:sz w:val="20"/>
        </w:rPr>
        <w:t xml:space="preserve">The share repurchase program does not have an expiration date. </w:t>
      </w:r>
      <w:r>
        <w:rPr>
          <w:rFonts w:ascii="Times New Roman;Times;serif" w:hAnsi="Times New Roman;Times;serif"/>
          <w:sz w:val="20"/>
          <w:shd w:fill="FFFFFF" w:val="clear"/>
        </w:rPr>
        <w:t>Any repurchased shares will be returned to the status of authorized but unissued shares of common stock. During the six months ended June 30, 2026, we repurchased 1.1 million shares of our outstanding common stock for $16.3 million, representing an average cost of $15.00 per share, including fees. As of June 30, 2026, we had $33.7 million remaining under the total share repurchase authorization.</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June 2024, we entered into a U.S. commercial paper program (the “Commercial Paper Program”) on a private placement basis, pursuant to which we may issue up to $750.0 million of short-term, unsecured commercial paper notes outstanding at any time, which are guaranteed by us. Under the Commercial Paper Program, we may issue the commercial paper notes from time to time and intend to use the proceeds for general corporate purposes. The Commercial Paper Program is backed by our 2024 Unsecured Revolver (see below). As of June 30, 2026, we had no outstanding balance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the Commercial Paper Program. Borrowings under the Commercial Paper Program reduce amounts otherwise available under the 2024 Unsecured Revolver.</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April 2024, we closed on a $2.0 billion unsecured revolving credit facility (the “2024 Unsecured Revolver”). At the time, $916 million of existing indebtedness was drawn on then existing unsecured credit facilities, all of which rolled over into the 2024 Unsecured Revolver. The 2024 Unsecured Revolver has an extended maturity date of May 1, 2029, which includes two six-month extension options. On September 12, 2025, the Company entered into an amendment to the 2024 Unsecured Revolver that modified the applicable interest rate thereunder by removing the credit spread adjustment to SOFR. As a result of that amendment, the 2024 Unsecured Revolver has a borrowing rate of SOFR plus 0.85%, subject to our credit ratings. The 2024 Unsecured Revolver replaced our nearest term maturities, reduces the overall facility cost and increased our liquidity by $150 million. Additionally, we gained greater financial flexibility through changes to certain financial covenants. As of June 30, 2026, there was $1.4 billion of undrawn capacity on the 2024 Unsecured Revolver.</w:t>
      </w:r>
    </w:p>
    <w:p>
      <w:pPr>
        <w:pStyle w:val="TextBody"/>
        <w:shd w:fill="FFFFFF" w:val="clear"/>
        <w:bidi w:val="0"/>
        <w:spacing w:before="0" w:after="0"/>
        <w:ind w:left="0" w:right="0" w:firstLine="720"/>
        <w:jc w:val="both"/>
        <w:rPr>
          <w:shd w:fill="FFFF00" w:val="clear"/>
        </w:rPr>
      </w:pPr>
      <w:r>
        <w:rPr>
          <w:shd w:fill="FFFF00"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2023, we entered into an at-the-market equity offering (the “ATM”) pursuant to which we may sell shares of our common stock up to an aggregate purchase price of $300.0 million. We may sell such shares in amounts and at times to be determined by us from time to time, but we have no obligation to sell any of the shares. Actual sales, if any, will depend on a variety of factors to be determined by us from time to time, including, among other things, market conditions, the trading price of our common stock, capital needs, and our determinations of the appropriate sources of funding. As of June 30, 2026, we had not sold any shares under the ATM.</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we had $15.9 million of unrestricted cash. We also have an aggregate $1.4 billion </w:t>
      </w:r>
      <w:r>
        <w:rPr>
          <w:rFonts w:ascii="Times New Roman;Times;serif" w:hAnsi="Times New Roman;Times;serif"/>
          <w:sz w:val="20"/>
          <w:shd w:fill="FFFFFF" w:val="clear"/>
        </w:rPr>
        <w:t>of undrawn capacity on our 2024 Unsecured Revolver (refer to Note 10 to the consolidated financial statements). We refer to this unrestricted cash and additional borrowing capacity on our 2024 Unsecured Revolver as our “equity” liquidity which can be used for general corporate purposes or leveraged to acquire or originate new Ground Lease assets. Our primary sources of cash to date have been proceeds from equity offerings and private placements, proceeds from our initial capitalization and borrowings from our debt facilities, unsecured notes, Commercial Paper Program and mortgages. Our primary uses of cash to date have been the acquisition/origination of Ground Leases, repayments on our debt facilities and distributions to our shareholders.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expect our short-term liquidity requirements to include debt service on our debt obligations (refer to Note 10 to the consolidated financial statements), distributions to our shareholders, working capital (including for our hotel operations), new acquisitions and originations of Ground Lease and leasehold loan investments and additional fundings on existing Ground Leases and leasehold loan investments. We expect our long-term liquidity requirements to include debt service on our debt obligations (refer to Note 10 to the consolidated financial statements), distributions to our shareholders, working capital, new acquisitions and originations of Ground Lease and leasehold loan investments (including in respect of unfunded commitments – refer to Note 11 to the consolidated financial statements) and debt maturities. Our primary sources of liquidity going forward will generally consist of cash on hand and cash flows from operations, new financings, asset sales, funds from our joint venture partners, unused borrowing capacity under our 2024 Unsecured Revolver (subject to the conditions set forth in the applicable loan agreement) and Commercial Paper Program, and common and/or preferred equity issuances. We expect that we will be able to meet our liquidity requirements over the next 12 months and beyond.</w:t>
      </w:r>
    </w:p>
    <w:p>
      <w:pPr>
        <w:pStyle w:val="TextBody"/>
        <w:shd w:fill="FFFFFF" w:val="clear"/>
        <w:bidi w:val="0"/>
        <w:spacing w:before="0" w:after="0"/>
        <w:ind w:left="0" w:right="0" w:firstLine="720"/>
        <w:jc w:val="both"/>
        <w:rPr/>
      </w:pPr>
      <w:r>
        <w:rPr/>
        <w:t>​</w:t>
      </w:r>
    </w:p>
    <w:p>
      <w:pPr>
        <w:pStyle w:val="TextBody"/>
        <w:shd w:fill="FFFFFF" w:val="clear"/>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outlines our cash flows provided by (used in) operating activities, cash flows used in investing activities and cash flows provided by financing activities for the six months ended June 30, 2026 and 2025 ($ in thousands): </w:t>
      </w:r>
    </w:p>
    <w:tbl>
      <w:tblPr>
        <w:tblW w:w="7718" w:type="dxa"/>
        <w:jc w:val="left"/>
        <w:tblInd w:w="0" w:type="dxa"/>
        <w:tblLayout w:type="fixed"/>
        <w:tblCellMar>
          <w:top w:w="0" w:type="dxa"/>
          <w:left w:w="0" w:type="dxa"/>
          <w:bottom w:w="0" w:type="dxa"/>
          <w:right w:w="0" w:type="dxa"/>
        </w:tblCellMar>
      </w:tblPr>
      <w:tblGrid>
        <w:gridCol w:w="4411"/>
        <w:gridCol w:w="346"/>
        <w:gridCol w:w="211"/>
        <w:gridCol w:w="901"/>
        <w:gridCol w:w="346"/>
        <w:gridCol w:w="211"/>
        <w:gridCol w:w="901"/>
        <w:gridCol w:w="391"/>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800985" cy="175260"/>
                      <wp:effectExtent l="0" t="0" r="0" b="0"/>
                      <wp:wrapNone/>
                      <wp:docPr id="560" name="Frame560"/>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19710" cy="175260"/>
                      <wp:effectExtent l="0" t="0" r="0" b="0"/>
                      <wp:wrapNone/>
                      <wp:docPr id="561" name="Frame5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33985" cy="175260"/>
                      <wp:effectExtent l="0" t="0" r="0" b="0"/>
                      <wp:wrapNone/>
                      <wp:docPr id="562" name="Frame5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572135" cy="175260"/>
                      <wp:effectExtent l="0" t="0" r="0" b="0"/>
                      <wp:wrapNone/>
                      <wp:docPr id="563" name="Frame56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19710" cy="175260"/>
                      <wp:effectExtent l="0" t="0" r="0" b="0"/>
                      <wp:wrapNone/>
                      <wp:docPr id="564" name="Frame5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33985" cy="175260"/>
                      <wp:effectExtent l="0" t="0" r="0" b="0"/>
                      <wp:wrapNone/>
                      <wp:docPr id="565" name="Frame5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572135" cy="175260"/>
                      <wp:effectExtent l="0" t="0" r="0" b="0"/>
                      <wp:wrapNone/>
                      <wp:docPr id="566" name="Frame56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48285" cy="175260"/>
                      <wp:effectExtent l="0" t="0" r="0" b="0"/>
                      <wp:wrapNone/>
                      <wp:docPr id="567" name="Frame56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91" w:type="dxa"/>
            <w:tcBorders/>
            <w:vAlign w:val="center"/>
          </w:tcPr>
          <w:p>
            <w:pPr>
              <w:pStyle w:val="TableContents"/>
              <w:bidi w:val="0"/>
              <w:spacing w:before="0" w:after="0"/>
              <w:ind w:left="0" w:right="0" w:hanging="0"/>
              <w:jc w:val="center"/>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provided by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(123,961)</w:t>
            </w:r>
          </w:p>
        </w:tc>
        <w:tc>
          <w:tcPr>
            <w:tcW w:w="39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177,929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92,878</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decrease in cash flows from operating activities during 2026 was due primarily to an increase of cash payments for debt service and costs associated with two hotels that we became responsible for operating on January 1,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2026 (refer to Note 3 to the consolidated financial statements). The increase in cash flows used in investing activities during 2026 was due primarily to an increase in the origination and additional fundings of Ground Leases and the origination and fundings of loans receivable. The increase in cash flows provided by financing activities during 2026 was due primarily to an increase in contributions from noncontrolling interests, which was partially offset by a decrease in net borrowings on debt obligations and the repurchase of common stock in 2026.</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Supplemental Guarantor Disclosure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March 2020, the Securities and Exchange Commission (“SEC”) adopted amendments to Rule 3-10 of Regulation S-X and created Rule 13-01 to simplify disclosure requirements related to certain registered securities. The amendments became effective on January 4, 2021. In April 2023, we and Portfolio Holdings filed a registration statement on Form S-3 with the SEC registering, among other securities, debt securities of Portfolio Holdings, which will be fully and unconditionally guaranteed by us. As of June 30, 2026, Portfolio Holdings had issued and outstanding four tranches of unsecured senior notes with varying fixed-rates and maturities ranging from June 2031 to January 2035, which were registered on the Form S-3 filed in April 2023 or on a Form S-3 filed by Safehold Inc. and Portfolio Holdings (then known as Safehold Operating Partnership LP) prior to its merger with the Company (then known as iStar Inc.). The obligations of Portfolio Holdings to pay principal, premiums, if any, and interest on these unsecured senior notes are guaranteed on a senior basis by us. The guarantee is full and unconditional, and Portfolio Holdings is a consolidated subsidiary of ours. In March 2026, we and Portfolio Holdings filed a registration statement on Form S-3 with the SEC to replace the registration statement filed in April 2023. Any debt securities of Portfolio Holdings registered under this registration statement will be fully and unconditionally guaranteed by us.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amendments to Rule 3-10 of Regulation S-X, subsidiary issuers of obligations guaranteed by the parent are not required to provide separate financial statements, provided that the subsidiary obligor is consolidated into the parent company’s consolidated financial statements, the parent guarantee is “full and unconditional” and, subject to certain exceptions as set forth below, the alternative disclosure required by Rule 13-01 is provided, which includes narrative disclosure and summarized financial information. Accordingly, separate consolidated financial statements of Portfolio Holdings have not been presented. Furthermore, as permitted under Rule 13-01(a)(4)(vi) of Regulation S-X, we have excluded the summarized financial information for Portfolio Holdings because the assets, liabilities and results of operations of Portfolio Holdings are not materially different than the corresponding amounts in our consolidated financial statements, and management believes such summarized financial information would be repetitive and would not provide incremental value to investors.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accordance with generally accepted accounting principles in the United States of America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discussion of our critical accounting policies, refer to Note 3 to the consolidated financial statements of our 2025 Annual Report.</w:t>
      </w:r>
    </w:p>
    <w:p>
      <w:pPr>
        <w:pStyle w:val="TextBody"/>
        <w:bidi w:val="0"/>
        <w:spacing w:before="0" w:after="240"/>
        <w:ind w:left="0" w:right="0" w:hanging="0"/>
        <w:jc w:val="left"/>
        <w:rPr>
          <w:rFonts w:ascii="Times New Roman;Times;serif" w:hAnsi="Times New Roman;Times;serif"/>
          <w:b/>
          <w:sz w:val="20"/>
        </w:rPr>
      </w:pPr>
      <w:bookmarkStart w:id="1782" w:name="Item3QuantitativeandQualitativeDisclosur"/>
      <w:bookmarkStart w:id="1783" w:name="_8a6ac4a2_cdd2_4ee7_95a2_8591fc1cfcaa"/>
      <w:bookmarkEnd w:id="1782"/>
      <w:bookmarkEnd w:id="1783"/>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income, cash flows and fair values relevant to financial instruments are dependent upon prevalent market prices and interest rates. Market risk refers to the risk of loss from adverse changes in market prices and interest rates. One of the principal market risks facing us is interest rate risk on our floating rate indebtedness.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qualifying and maintaining our qualification as a REIT for U.S. federal income tax purposes, we may mitigate the risk of interest rate volatility through the use of hedging instruments, such as interest rate swap agreements and interest rate cap agreements. Our primary objectives when undertaking hedging transactions will be to reduce our floating rate exposure and to fix a portion of the interest rate for anticipated financing and refinancing transactions. However, we can provide no assurances that our efforts to manage interest rate volatility will successfully mitigate the risks of such volatility on our portfolio. Our current portfolio is not subject to foreign currency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objectives with respect to interest rate risk are to limit the impact of interest rate changes on operations and cash flows, and to lower our overall borrowing costs. To achieve these objectives, we may borrow at fixed rates and may enter into hedging instruments such as interest rate swap agreements and interest rate cap agreements in order to mitigate our interest rate risk on a related floating rate financial instrument. We do not enter into derivative or interest rate transactions for speculative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we had $3.6 billion principal amount of fixed-rate debt outstanding and $1.1 billion principal amount of floating-rate debt outstanding. The following table quantifies the potential changes in annual net income should interest rates decrease or increase by 10, 50 and 100 basis points, assuming no change in our interest earning assets, interest bearing liabilities, derivative contracts or the shape of the yield curve (i.e., relative interest rates). Actual results could differ significantly from those estimated in the table.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Estimated Change In Net Income (Loss)</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in thousands)</w:t>
      </w:r>
      <w:r>
        <w:rPr>
          <w:rFonts w:ascii="Times New Roman;Times;serif" w:hAnsi="Times New Roman;Times;serif"/>
          <w:sz w:val="15"/>
        </w:rPr>
        <w:t xml:space="preserve">(1) </w:t>
      </w:r>
    </w:p>
    <w:p>
      <w:pPr>
        <w:pStyle w:val="TextBody"/>
        <w:bidi w:val="0"/>
        <w:spacing w:before="0" w:after="0"/>
        <w:ind w:left="0" w:right="0" w:hanging="0"/>
        <w:jc w:val="left"/>
        <w:rPr/>
      </w:pPr>
      <w:r>
        <w:rPr/>
        <w:t>​</w:t>
      </w:r>
    </w:p>
    <w:tbl>
      <w:tblPr>
        <w:tblW w:w="3707" w:type="dxa"/>
        <w:jc w:val="left"/>
        <w:tblInd w:w="0" w:type="dxa"/>
        <w:tblLayout w:type="fixed"/>
        <w:tblCellMar>
          <w:top w:w="0" w:type="dxa"/>
          <w:left w:w="0" w:type="dxa"/>
          <w:bottom w:w="0" w:type="dxa"/>
          <w:right w:w="0" w:type="dxa"/>
        </w:tblCellMar>
      </w:tblPr>
      <w:tblGrid>
        <w:gridCol w:w="1906"/>
        <w:gridCol w:w="346"/>
        <w:gridCol w:w="346"/>
        <w:gridCol w:w="1109"/>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210310" cy="175260"/>
                      <wp:effectExtent l="0" t="0" r="0" b="0"/>
                      <wp:wrapNone/>
                      <wp:docPr id="568" name="Frame568"/>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19710" cy="175260"/>
                      <wp:effectExtent l="0" t="0" r="0" b="0"/>
                      <wp:wrapNone/>
                      <wp:docPr id="569" name="Frame5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19710" cy="175260"/>
                      <wp:effectExtent l="0" t="0" r="0" b="0"/>
                      <wp:wrapNone/>
                      <wp:docPr id="570" name="Frame5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704215" cy="175260"/>
                      <wp:effectExtent l="0" t="0" r="0" b="0"/>
                      <wp:wrapNone/>
                      <wp:docPr id="571" name="Frame571"/>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 Interest Rates</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Income (Loss)</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 Basis Points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 Basis Points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Basis Points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 Interest Rate</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right"/>
              <w:rPr/>
            </w:pPr>
            <w:r>
              <w:rPr/>
              <w:t>—</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Basis Points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+ 50 Basis Points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 Basis Points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(5,216)</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table above includes the effect of our floating-rate debt obligations, interest rate swaps, floating-rate loans receivable and our share of the impact of floating-rate loans in our Leasehold Loan Fund.</w:t>
            </w:r>
          </w:p>
        </w:tc>
      </w:tr>
    </w:tbl>
    <w:p>
      <w:pPr>
        <w:pStyle w:val="TextBody"/>
        <w:bidi w:val="0"/>
        <w:spacing w:before="0" w:after="240"/>
        <w:ind w:left="0" w:right="0" w:hanging="0"/>
        <w:jc w:val="left"/>
        <w:rPr/>
      </w:pPr>
      <w:bookmarkStart w:id="1784" w:name="_cf88308c_3d7e_4ee0_bfef_6bc203890b87"/>
      <w:bookmarkEnd w:id="1784"/>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85" w:name="Item4ControlsandProcedures_125705"/>
      <w:bookmarkEnd w:id="1785"/>
      <w:r>
        <w:rPr>
          <w:rFonts w:ascii="Times New Roman;Times;serif" w:hAnsi="Times New Roman;Times;serif"/>
          <w:b/>
          <w:sz w:val="20"/>
        </w:rPr>
        <w:t>Item 4.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its Chief Financial Officer</w:t>
      </w:r>
      <w:r>
        <w:rPr>
          <w:rFonts w:ascii="Times New Roman;Times;serif" w:hAnsi="Times New Roman;Times;serif"/>
          <w:sz w:val="20"/>
          <w:shd w:fill="FFFFFF" w:val="clear"/>
        </w:rPr>
        <w:t xml:space="preserve">, </w:t>
      </w:r>
      <w:r>
        <w:rPr>
          <w:rFonts w:ascii="Times New Roman;Times;serif" w:hAnsi="Times New Roman;Times;serif"/>
          <w:sz w:val="20"/>
        </w:rPr>
        <w:t xml:space="preserve">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w:t>
      </w:r>
      <w:r>
        <w:rPr>
          <w:rFonts w:ascii="Times New Roman;Times;serif" w:hAnsi="Times New Roman;Times;serif"/>
          <w:sz w:val="20"/>
          <w:shd w:fill="FFFFFF" w:val="clear"/>
        </w:rPr>
        <w:t>Chief Financial Officer</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end of the period covered by this report, the Company carried out an evaluation, under the supervision and with the participation of the disclosure committee and other members of management, including its Chief Executive Officer and Chief Financial Officer</w:t>
      </w:r>
      <w:r>
        <w:rPr>
          <w:rFonts w:ascii="Times New Roman;Times;serif" w:hAnsi="Times New Roman;Times;serif"/>
          <w:sz w:val="20"/>
          <w:shd w:fill="FFFFFF" w:val="clear"/>
        </w:rPr>
        <w:t xml:space="preserve">, </w:t>
      </w:r>
      <w:r>
        <w:rPr>
          <w:rFonts w:ascii="Times New Roman;Times;serif" w:hAnsi="Times New Roman;Times;serif"/>
          <w:sz w:val="20"/>
        </w:rPr>
        <w:t>of the effectiveness of the Company’s disclosure controls and procedures pursuant to Exchange Act Rule 13a-15(b) or Rule 15d-15. Based upon that evaluation, the Chief Executive Officer and Chief Financial Officer concluded that the Company’s disclosure controls and procedures, as of the end of the period covered by this report, were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changes in the Company’s internal control over financial reporting during the period covered by this quarterly report that has materially affected, or is reasonably likely to materially affect, the Company’s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86" w:name="PARTIIOTHERINFORMATION_821823"/>
      <w:bookmarkStart w:id="1787" w:name="_c864ab75_04ed_45a6_944a_5a4474ea598f"/>
      <w:bookmarkEnd w:id="1786"/>
      <w:bookmarkEnd w:id="1787"/>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788" w:name="Item1LegalProceedings_241327"/>
      <w:bookmarkEnd w:id="1788"/>
      <w:r>
        <w:rPr>
          <w:rFonts w:ascii="Times New Roman;Times;serif" w:hAnsi="Times New Roman;Times;serif"/>
          <w:b/>
          <w:sz w:val="20"/>
        </w:rPr>
        <w:t>Item 1.   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May 11, 2026, the Company sent the tenant (TD 135 West 50 LLC a/k/a TD 135 West 50, LLC) under one of its New York office properties a lease termination notice for certain breaches, among other things, related to its failure to pay property taxes as required under the lease. Additionally, the Company commenced a lawsuit against the tenant in the Supreme Court of the State of New York, County of New York, captioned </w:t>
      </w:r>
      <w:r>
        <w:rPr>
          <w:rFonts w:ascii="Times New Roman;Times;serif" w:hAnsi="Times New Roman;Times;serif"/>
          <w:i/>
          <w:sz w:val="20"/>
        </w:rPr>
        <w:t>135 West 50th Street Ground Owner LLC v. TD 135 West 50 LLC</w:t>
      </w:r>
      <w:r>
        <w:rPr>
          <w:rFonts w:ascii="Times New Roman;Times;serif" w:hAnsi="Times New Roman;Times;serif"/>
          <w:sz w:val="20"/>
        </w:rPr>
        <w:t xml:space="preserve">, Index No. 652773/2026 (the “First Action”), asserting claims for declaratory and injunctive relief, including a declaration that the tenant’s lease has been terminated and an order of ejectment, as well as for certain monetary damages. On May 20, 2026, the tenant commenced a separate action against the Company in the Supreme Court of the State of New York, County of New York, captioned </w:t>
      </w:r>
      <w:r>
        <w:rPr>
          <w:rFonts w:ascii="Times New Roman;Times;serif" w:hAnsi="Times New Roman;Times;serif"/>
          <w:i/>
          <w:sz w:val="20"/>
        </w:rPr>
        <w:t>TD 135 West 50 LLC v. 135 West 50th Street Ground Owner LLC</w:t>
      </w:r>
      <w:r>
        <w:rPr>
          <w:rFonts w:ascii="Times New Roman;Times;serif" w:hAnsi="Times New Roman;Times;serif"/>
          <w:sz w:val="20"/>
        </w:rPr>
        <w:t>, Index No. 156448/2026 (the “Second Action” and, collectively, with the First Action, the “Lawsuits”), asserting claims for declaratory and injunctive relief, including a declaration that the Company’s termination notice is not a viable predicate for termination of the lease, as well as damages for an alleged breach of the implied covenant of good faith and fair dealing in an amount to be determined at trial. On June 4, 2026, a Justice of the Supreme Court entered an order to show cause and a temporary restraining order (“TRO”) stating that, pending determination of tenant’s pending motion for a preliminary injunction, the Company is stayed from, inter alia, taking further action upon its termination notice or taking further steps to prosecute its ejectment action, terminate or purport to terminate the lease based on the allegations contained in termination notice, or otherwise interfere with the tenant’s tenancy. On June 12, 2026, the Company filed a motion in the Appellate Division of the Supreme Court, First Department, for an order modifying the TRO, and the tenant filed an answer to the Company’s complaint in the First Action, in which it denied that the Company is entitled to any of the relief sought therein. The tenant’s motion for a preliminary injunction in the Second Action, and the Company’s motion for an order modifying the TRO, both remain pending at this time. The Company maintains that the tenant’s claims and allegations lack merit and the lease has been duly terminated, and it intends to defend vigorously against all claims asserted by the tenant in the Second Action, and to pursue all available rights and remedies in respect of its termination of the tenant’s lease. Although the Company believes that its claims, defenses, and allegations in the Lawsuits are meritorious, there are no assurances that it will prevail in its litigation.</w:t>
      </w:r>
    </w:p>
    <w:p>
      <w:pPr>
        <w:pStyle w:val="TextBody"/>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Refer to Part I, Item 3, “Legal Proceedings,” of our 2025 Annual Report for a full description of other material pending legal matters.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89" w:name="Item1aRiskFactors_934934"/>
      <w:bookmarkStart w:id="1790" w:name="_34487093_dded_4aff_b1ee_fa75a9083466"/>
      <w:bookmarkEnd w:id="1789"/>
      <w:bookmarkEnd w:id="1790"/>
      <w:r>
        <w:rPr>
          <w:rFonts w:ascii="Times New Roman;Times;serif" w:hAnsi="Times New Roman;Times;serif"/>
          <w:b/>
          <w:sz w:val="20"/>
        </w:rPr>
        <w:t>Item 1A.   Risk Factors</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There were no material changes from the risk factors previously disclosed in our 2025 Annual Report.</w:t>
      </w:r>
    </w:p>
    <w:p>
      <w:pPr>
        <w:pStyle w:val="TextBody"/>
        <w:bidi w:val="0"/>
        <w:spacing w:before="0" w:after="0"/>
        <w:ind w:left="0" w:right="0" w:hanging="0"/>
        <w:jc w:val="left"/>
        <w:rPr/>
      </w:pPr>
      <w:r>
        <w:rPr/>
        <w:t>​</w:t>
      </w:r>
    </w:p>
    <w:p>
      <w:pPr>
        <w:pStyle w:val="TextBody"/>
        <w:bidi w:val="0"/>
        <w:spacing w:before="0" w:after="240"/>
        <w:ind w:left="0" w:right="0" w:hanging="0"/>
        <w:jc w:val="left"/>
        <w:rPr/>
      </w:pPr>
      <w:bookmarkStart w:id="1791" w:name="_812ed825_99a2_439a_ba4a_b1a901d248f1"/>
      <w:bookmarkEnd w:id="1791"/>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92" w:name="Item2UnregisteredSalesofEquitySecurities"/>
      <w:bookmarkEnd w:id="1792"/>
      <w:r>
        <w:rPr>
          <w:rFonts w:ascii="Times New Roman;Times;serif" w:hAnsi="Times New Roman;Times;serif"/>
          <w:b/>
          <w:sz w:val="20"/>
        </w:rPr>
        <w:t xml:space="preserve">Item 2.   Unregistered Sales of Equity Securities and Use of Proceeds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We did not have any sales of unregistered shares of our common stock during the three months ended June 30, 2026.</w:t>
      </w:r>
    </w:p>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Issuer Purchases of Equity Securities </w:t>
      </w:r>
    </w:p>
    <w:tbl>
      <w:tblPr>
        <w:tblW w:w="9384" w:type="dxa"/>
        <w:jc w:val="left"/>
        <w:tblInd w:w="0" w:type="dxa"/>
        <w:tblLayout w:type="fixed"/>
        <w:tblCellMar>
          <w:top w:w="0" w:type="dxa"/>
          <w:left w:w="0" w:type="dxa"/>
          <w:bottom w:w="0" w:type="dxa"/>
          <w:right w:w="0" w:type="dxa"/>
        </w:tblCellMar>
      </w:tblPr>
      <w:tblGrid>
        <w:gridCol w:w="1621"/>
        <w:gridCol w:w="346"/>
        <w:gridCol w:w="1381"/>
        <w:gridCol w:w="346"/>
        <w:gridCol w:w="320"/>
        <w:gridCol w:w="866"/>
        <w:gridCol w:w="346"/>
        <w:gridCol w:w="1891"/>
        <w:gridCol w:w="346"/>
        <w:gridCol w:w="299"/>
        <w:gridCol w:w="1622"/>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029335" cy="175260"/>
                      <wp:effectExtent l="0" t="0" r="0" b="0"/>
                      <wp:wrapNone/>
                      <wp:docPr id="572" name="Frame572"/>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19710" cy="175260"/>
                      <wp:effectExtent l="0" t="0" r="0" b="0"/>
                      <wp:wrapNone/>
                      <wp:docPr id="573" name="Frame5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876935" cy="175260"/>
                      <wp:effectExtent l="0" t="0" r="0" b="0"/>
                      <wp:wrapNone/>
                      <wp:docPr id="574" name="Frame574"/>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19710" cy="175260"/>
                      <wp:effectExtent l="0" t="0" r="0" b="0"/>
                      <wp:wrapNone/>
                      <wp:docPr id="575" name="Frame5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03200" cy="175260"/>
                      <wp:effectExtent l="0" t="0" r="0" b="0"/>
                      <wp:wrapNone/>
                      <wp:docPr id="576" name="Frame576"/>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549910" cy="175260"/>
                      <wp:effectExtent l="0" t="0" r="0" b="0"/>
                      <wp:wrapNone/>
                      <wp:docPr id="577" name="Frame577"/>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19710" cy="175260"/>
                      <wp:effectExtent l="0" t="0" r="0" b="0"/>
                      <wp:wrapNone/>
                      <wp:docPr id="578" name="Frame5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200785" cy="175260"/>
                      <wp:effectExtent l="0" t="0" r="0" b="0"/>
                      <wp:wrapNone/>
                      <wp:docPr id="579" name="Frame579"/>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19710" cy="175260"/>
                      <wp:effectExtent l="0" t="0" r="0" b="0"/>
                      <wp:wrapNone/>
                      <wp:docPr id="580" name="Frame5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89865" cy="175260"/>
                      <wp:effectExtent l="0" t="0" r="0" b="0"/>
                      <wp:wrapNone/>
                      <wp:docPr id="581" name="Frame58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029970" cy="175260"/>
                      <wp:effectExtent l="0" t="0" r="0" b="0"/>
                      <wp:wrapNone/>
                      <wp:docPr id="582" name="Frame582"/>
                      <a:graphic xmlns:a="http://schemas.openxmlformats.org/drawingml/2006/main">
                        <a:graphicData uri="http://schemas.microsoft.com/office/word/2010/wordprocessingShape">
                          <wps:wsp>
                            <wps:cNvSpPr txBox="1"/>
                            <wps:spPr>
                              <a:xfrm>
                                <a:off x="0" y="0"/>
                                <a:ext cx="1029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20" w:type="dxa"/>
            <w:tcBorders/>
            <w:vAlign w:val="center"/>
          </w:tcPr>
          <w:p>
            <w:pPr>
              <w:pStyle w:val="TableContents"/>
              <w:bidi w:val="0"/>
              <w:spacing w:before="0" w:after="0"/>
              <w:ind w:left="0" w:right="0" w:hanging="0"/>
              <w:jc w:val="center"/>
              <w:rPr/>
            </w:pPr>
            <w:r>
              <w:rPr/>
              <w:t>​</w:t>
            </w:r>
          </w:p>
        </w:tc>
        <w:tc>
          <w:tcPr>
            <w:tcW w:w="8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8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w:t>
            </w:r>
          </w:p>
        </w:tc>
        <w:tc>
          <w:tcPr>
            <w:tcW w:w="346" w:type="dxa"/>
            <w:tcBorders/>
            <w:vAlign w:val="center"/>
          </w:tcPr>
          <w:p>
            <w:pPr>
              <w:pStyle w:val="TableContents"/>
              <w:bidi w:val="0"/>
              <w:spacing w:before="0" w:after="0"/>
              <w:ind w:left="0" w:right="0" w:hanging="0"/>
              <w:jc w:val="center"/>
              <w:rPr/>
            </w:pPr>
            <w:r>
              <w:rPr/>
              <w:t>  ​ ​ ​</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 Value </w: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0" w:type="dxa"/>
            <w:tcBorders/>
            <w:vAlign w:val="center"/>
          </w:tcPr>
          <w:p>
            <w:pPr>
              <w:pStyle w:val="TableContents"/>
              <w:bidi w:val="0"/>
              <w:spacing w:before="0" w:after="0"/>
              <w:ind w:left="0" w:right="0" w:hanging="0"/>
              <w:jc w:val="center"/>
              <w:rPr/>
            </w:pPr>
            <w:r>
              <w:rPr/>
              <w:t>​</w:t>
            </w:r>
          </w:p>
        </w:tc>
        <w:tc>
          <w:tcPr>
            <w:tcW w:w="8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as Part of a </w:t>
            </w:r>
          </w:p>
        </w:tc>
        <w:tc>
          <w:tcPr>
            <w:tcW w:w="34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 Yet </w: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w:t>
            </w:r>
          </w:p>
        </w:tc>
        <w:tc>
          <w:tcPr>
            <w:tcW w:w="346" w:type="dxa"/>
            <w:tcBorders/>
            <w:vAlign w:val="center"/>
          </w:tcPr>
          <w:p>
            <w:pPr>
              <w:pStyle w:val="TableContents"/>
              <w:bidi w:val="0"/>
              <w:spacing w:before="0" w:after="0"/>
              <w:ind w:left="0" w:right="0" w:hanging="0"/>
              <w:jc w:val="center"/>
              <w:rPr/>
            </w:pPr>
            <w:r>
              <w:rPr/>
              <w:t>​</w:t>
            </w:r>
          </w:p>
        </w:tc>
        <w:tc>
          <w:tcPr>
            <w:tcW w:w="18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 Announced </w:t>
            </w:r>
          </w:p>
        </w:tc>
        <w:tc>
          <w:tcPr>
            <w:tcW w:w="346" w:type="dxa"/>
            <w:tcBorders/>
            <w:vAlign w:val="center"/>
          </w:tcPr>
          <w:p>
            <w:pPr>
              <w:pStyle w:val="TableContents"/>
              <w:bidi w:val="0"/>
              <w:spacing w:before="0" w:after="0"/>
              <w:ind w:left="0" w:right="0" w:hanging="0"/>
              <w:jc w:val="center"/>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 Purchased Under the </w:t>
            </w:r>
          </w:p>
        </w:tc>
      </w:tr>
      <w:tr>
        <w:trPr/>
        <w:tc>
          <w:tcPr>
            <w:tcW w:w="16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46" w:type="dxa"/>
            <w:tcBorders/>
            <w:vAlign w:val="center"/>
          </w:tcPr>
          <w:p>
            <w:pPr>
              <w:pStyle w:val="TableContents"/>
              <w:bidi w:val="0"/>
              <w:spacing w:before="0" w:after="0"/>
              <w:ind w:left="0" w:right="0" w:hanging="0"/>
              <w:jc w:val="center"/>
              <w:rPr/>
            </w:pPr>
            <w:r>
              <w:rPr/>
              <w:t>​</w:t>
            </w:r>
          </w:p>
        </w:tc>
        <w:tc>
          <w:tcPr>
            <w:tcW w:w="18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 or Programs</w:t>
            </w:r>
          </w:p>
        </w:tc>
        <w:tc>
          <w:tcPr>
            <w:tcW w:w="346" w:type="dxa"/>
            <w:tcBorders/>
            <w:vAlign w:val="center"/>
          </w:tcPr>
          <w:p>
            <w:pPr>
              <w:pStyle w:val="TableContents"/>
              <w:bidi w:val="0"/>
              <w:spacing w:before="0" w:after="0"/>
              <w:ind w:left="0" w:right="0" w:hanging="0"/>
              <w:jc w:val="center"/>
              <w:rPr/>
            </w:pPr>
            <w:r>
              <w:rPr/>
              <w:t>​</w:t>
            </w:r>
          </w:p>
        </w:tc>
        <w:tc>
          <w:tcPr>
            <w:tcW w:w="192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Plans or Programs</w:t>
            </w:r>
            <w:r>
              <w:rPr>
                <w:rFonts w:ascii="Times New Roman;Times;serif" w:hAnsi="Times New Roman;Times;serif"/>
                <w:b/>
                <w:sz w:val="12"/>
              </w:rPr>
              <w:t>(1)</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to April 30</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279,531</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w:t>
            </w:r>
          </w:p>
        </w:tc>
        <w:tc>
          <w:tcPr>
            <w:tcW w:w="346" w:type="dxa"/>
            <w:tcBorders/>
            <w:shd w:fill="CCEEFF" w:val="clear"/>
            <w:vAlign w:val="center"/>
          </w:tcPr>
          <w:p>
            <w:pPr>
              <w:pStyle w:val="TableContents"/>
              <w:bidi w:val="0"/>
              <w:spacing w:before="0" w:after="0"/>
              <w:ind w:left="0" w:right="0" w:hanging="0"/>
              <w:jc w:val="left"/>
              <w:rPr/>
            </w:pPr>
            <w:r>
              <w:rPr/>
              <w:t> </w:t>
            </w:r>
          </w:p>
        </w:tc>
        <w:tc>
          <w:tcPr>
            <w:tcW w:w="1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279,531</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42,400,191</w:t>
            </w:r>
          </w:p>
        </w:tc>
      </w:tr>
      <w:tr>
        <w:trPr/>
        <w:tc>
          <w:tcPr>
            <w:tcW w:w="1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to May 31</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282,881</w:t>
            </w:r>
          </w:p>
        </w:tc>
        <w:tc>
          <w:tcPr>
            <w:tcW w:w="34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46" w:type="dxa"/>
            <w:tcBorders/>
            <w:vAlign w:val="center"/>
          </w:tcPr>
          <w:p>
            <w:pPr>
              <w:pStyle w:val="TableContents"/>
              <w:bidi w:val="0"/>
              <w:spacing w:before="0" w:after="0"/>
              <w:ind w:left="0" w:right="0" w:hanging="0"/>
              <w:jc w:val="left"/>
              <w:rPr/>
            </w:pPr>
            <w:r>
              <w:rPr/>
              <w:t> </w:t>
            </w:r>
          </w:p>
        </w:tc>
        <w:tc>
          <w:tcPr>
            <w:tcW w:w="1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282,881</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38,200,264</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to June 30</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287,928</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w:t>
            </w:r>
          </w:p>
        </w:tc>
        <w:tc>
          <w:tcPr>
            <w:tcW w:w="346" w:type="dxa"/>
            <w:tcBorders/>
            <w:shd w:fill="CCEEFF" w:val="clear"/>
            <w:vAlign w:val="center"/>
          </w:tcPr>
          <w:p>
            <w:pPr>
              <w:pStyle w:val="TableContents"/>
              <w:bidi w:val="0"/>
              <w:spacing w:before="0" w:after="0"/>
              <w:ind w:left="0" w:right="0" w:hanging="0"/>
              <w:jc w:val="left"/>
              <w:rPr/>
            </w:pPr>
            <w:r>
              <w:rPr/>
              <w:t> </w:t>
            </w:r>
          </w:p>
        </w:tc>
        <w:tc>
          <w:tcPr>
            <w:tcW w:w="1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287,928</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22"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33,700,392</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On February 4, 2025, our Board authorized the repurchase of up to $50.0 million of our common stock. We have no obligation to repurchase additional shares, and the timing, actual number and value of the shares that are repurchased, if any, will be at the discretion of management and will depend on a number of factors, including market conditions, the cost of repurchasing shares, the availability of alternative investment opportunities, liquidity, and other factors deemed appropriate. Repurchases may be suspended, terminated or modified at any time for any reason. The share repurchase program does not have an expiration date. Any repurchased shares will be returned to the status of authorized but unissued shares of common stock. </w:t>
            </w:r>
          </w:p>
        </w:tc>
      </w:tr>
    </w:tbl>
    <w:p>
      <w:pPr>
        <w:pStyle w:val="TextBody"/>
        <w:bidi w:val="0"/>
        <w:spacing w:before="0" w:after="240"/>
        <w:ind w:left="45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793" w:name="Item3DefaultsUponSeniorSecurities_688805"/>
      <w:bookmarkStart w:id="1794" w:name="_b179178c_0d68_4264_9e2b_c65596437cc9"/>
      <w:bookmarkEnd w:id="1793"/>
      <w:bookmarkEnd w:id="1794"/>
      <w:r>
        <w:rPr>
          <w:rFonts w:ascii="Times New Roman;Times;serif" w:hAnsi="Times New Roman;Times;serif"/>
          <w:b/>
          <w:sz w:val="20"/>
        </w:rPr>
        <w:t>Item 3.   Defaults Upon Senior Securities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95" w:name="Item4MineSafetyDisclosures_271149"/>
      <w:bookmarkStart w:id="1796" w:name="_11b95478_a7e3_4e84_a5b3_9d89299119ca"/>
      <w:bookmarkEnd w:id="1795"/>
      <w:bookmarkEnd w:id="1796"/>
      <w:r>
        <w:rPr>
          <w:rFonts w:ascii="Times New Roman;Times;serif" w:hAnsi="Times New Roman;Times;serif"/>
          <w:b/>
          <w:sz w:val="20"/>
        </w:rPr>
        <w:t>Item 4.   Mine Safety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97" w:name="Item5OtherInformation_293388"/>
      <w:bookmarkStart w:id="1798" w:name="_d358fafd_5816_44a2_bc0d_d97366549720"/>
      <w:bookmarkEnd w:id="1797"/>
      <w:bookmarkEnd w:id="1798"/>
      <w:r>
        <w:rPr>
          <w:rFonts w:ascii="Times New Roman;Times;serif" w:hAnsi="Times New Roman;Times;serif"/>
          <w:b/>
          <w:sz w:val="20"/>
        </w:rPr>
        <w:t>Item 5.   Other Information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99" w:name="Item6Exhibits_331758"/>
      <w:bookmarkStart w:id="1800" w:name="_49872024_9df5_4e75_964f_129975be997e"/>
      <w:bookmarkEnd w:id="1799"/>
      <w:bookmarkEnd w:id="1800"/>
      <w:r>
        <w:rPr>
          <w:rFonts w:ascii="Times New Roman;Times;serif" w:hAnsi="Times New Roman;Times;serif"/>
          <w:b/>
          <w:sz w:val="20"/>
        </w:rPr>
        <w:t>Item 6.   Exhibits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EXHIBITS</w:t>
      </w:r>
    </w:p>
    <w:tbl>
      <w:tblPr>
        <w:tblW w:w="10205" w:type="dxa"/>
        <w:jc w:val="left"/>
        <w:tblInd w:w="0" w:type="dxa"/>
        <w:tblLayout w:type="fixed"/>
        <w:tblCellMar>
          <w:top w:w="0" w:type="dxa"/>
          <w:left w:w="0" w:type="dxa"/>
          <w:bottom w:w="0" w:type="dxa"/>
          <w:right w:w="0" w:type="dxa"/>
        </w:tblCellMar>
      </w:tblPr>
      <w:tblGrid>
        <w:gridCol w:w="840"/>
        <w:gridCol w:w="226"/>
        <w:gridCol w:w="9139"/>
      </w:tblGrid>
      <w:tr>
        <w:trPr/>
        <w:tc>
          <w:tcPr>
            <w:tcW w:w="84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139" w:type="dxa"/>
            <w:tcBorders/>
            <w:vAlign w:val="center"/>
          </w:tcPr>
          <w:p>
            <w:pPr>
              <w:pStyle w:val="TableContents"/>
              <w:bidi w:val="0"/>
              <w:spacing w:before="0" w:after="0"/>
              <w:ind w:left="0" w:right="0" w:hanging="0"/>
              <w:jc w:val="left"/>
              <w:rPr/>
            </w:pPr>
            <w:r>
              <w:rPr/>
              <w:t>​</w:t>
            </w:r>
          </w:p>
        </w:tc>
      </w:tr>
      <w:tr>
        <w:trPr/>
        <w:tc>
          <w:tcPr>
            <w:tcW w:w="8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br/>
              <w:t>Number</w:t>
            </w:r>
          </w:p>
        </w:tc>
        <w:tc>
          <w:tcPr>
            <w:tcW w:w="226" w:type="dxa"/>
            <w:tcBorders/>
            <w:vAlign w:val="center"/>
          </w:tcPr>
          <w:p>
            <w:pPr>
              <w:pStyle w:val="TableContents"/>
              <w:bidi w:val="0"/>
              <w:spacing w:before="0" w:after="30"/>
              <w:ind w:left="0" w:right="0" w:hanging="0"/>
              <w:jc w:val="center"/>
              <w:rPr/>
            </w:pPr>
            <w:r>
              <w:rPr/>
              <w:t>  ​</w:t>
            </w:r>
          </w:p>
        </w:tc>
        <w:tc>
          <w:tcPr>
            <w:tcW w:w="9139" w:type="dxa"/>
            <w:tcBorders/>
            <w:vAlign w:val="center"/>
          </w:tcPr>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Document Description</w:t>
            </w:r>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2.1</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 xml:space="preserve">Agreement and Plan of Merger, dated as of August 10, 2022, by and between iStar Inc. and Safehold Inc. </w:t>
              </w:r>
            </w:hyperlink>
            <w:hyperlink r:id="rId3">
              <w:r>
                <w:rPr>
                  <w:rStyle w:val="InternetLink"/>
                  <w:rFonts w:ascii="Times New Roman;Times;serif" w:hAnsi="Times New Roman;Times;serif"/>
                  <w:b w:val="false"/>
                  <w:i w:val="false"/>
                  <w:caps w:val="false"/>
                  <w:smallCaps w:val="false"/>
                  <w:sz w:val="20"/>
                  <w:shd w:fill="FFFFFF" w:val="clear"/>
                </w:rPr>
                <w:t>(incorporated by reference to Exhibit 2.1 of our Current Report on Form 8-K, filed August 11, 2022)</w:t>
              </w:r>
            </w:hyperlink>
            <w:r>
              <w:rPr>
                <w:rFonts w:ascii="Times New Roman;Times;serif" w:hAnsi="Times New Roman;Times;serif"/>
                <w:sz w:val="20"/>
                <w:shd w:fill="FFFFFF" w:val="clear"/>
              </w:rPr>
              <w:t>.</w:t>
            </w:r>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Charter of Safehold Inc. (incorporated by reference to Exhibit 3.3 to our Current Report on Form 8-K, filed April 4, 2023).</w:t>
              </w:r>
            </w:hyperlink>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Bylaws of Safehold Inc. (incorporated by reference to Exhibit 3.4 to our Current Report on Form 8-K, filed April 4, 2023)</w:t>
              </w:r>
            </w:hyperlink>
            <w:r>
              <w:rPr>
                <w:rFonts w:ascii="Times New Roman;Times;serif" w:hAnsi="Times New Roman;Times;serif"/>
                <w:sz w:val="20"/>
              </w:rPr>
              <w:t>.</w:t>
            </w:r>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2009 Long-Term Incentive Plan (incorporated by reference to Exhibit 10.1 to our Current Report on Form 8-K, filed May 15, 2026)</w:t>
              </w:r>
            </w:hyperlink>
            <w:r>
              <w:rPr>
                <w:rFonts w:ascii="Times New Roman;Times;serif" w:hAnsi="Times New Roman;Times;serif"/>
                <w:sz w:val="20"/>
              </w:rPr>
              <w:t>.</w:t>
            </w:r>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+10.2*</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30"/>
              <w:ind w:left="0" w:right="0" w:hanging="0"/>
              <w:jc w:val="left"/>
              <w:rPr/>
            </w:pPr>
            <w:hyperlink w:anchor="safe-20260630xex10d2.htm">
              <w:r>
                <w:rPr>
                  <w:rStyle w:val="InternetLink"/>
                  <w:rFonts w:ascii="Times New Roman;Times;serif" w:hAnsi="Times New Roman;Times;serif"/>
                  <w:b w:val="false"/>
                  <w:i w:val="false"/>
                  <w:caps w:val="false"/>
                  <w:smallCaps w:val="false"/>
                  <w:sz w:val="20"/>
                </w:rPr>
                <w:t>Form of Performance-Based Restricted Stock Unit Award Agreement</w:t>
              </w:r>
            </w:hyperlink>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+10.3*</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0"/>
              <w:ind w:left="0" w:right="0" w:hanging="0"/>
              <w:jc w:val="left"/>
              <w:rPr/>
            </w:pPr>
            <w:hyperlink w:anchor="safe-20260630xex10d3.htm">
              <w:r>
                <w:rPr>
                  <w:rStyle w:val="InternetLink"/>
                  <w:rFonts w:ascii="Times New Roman;Times;serif" w:hAnsi="Times New Roman;Times;serif"/>
                  <w:b w:val="false"/>
                  <w:i w:val="false"/>
                  <w:caps w:val="false"/>
                  <w:smallCaps w:val="false"/>
                  <w:sz w:val="20"/>
                </w:rPr>
                <w:t>Form of Performance-Based Caret Profits Interest Award Agreement</w:t>
              </w:r>
            </w:hyperlink>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22.1*</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30"/>
              <w:ind w:left="0" w:right="0" w:hanging="0"/>
              <w:jc w:val="left"/>
              <w:rPr/>
            </w:pPr>
            <w:hyperlink w:anchor="safe-20260630xex22d1.htm">
              <w:r>
                <w:rPr>
                  <w:rStyle w:val="InternetLink"/>
                  <w:rFonts w:ascii="Times New Roman;Times;serif" w:hAnsi="Times New Roman;Times;serif"/>
                  <w:b w:val="false"/>
                  <w:i w:val="false"/>
                  <w:caps w:val="false"/>
                  <w:smallCaps w:val="false"/>
                  <w:sz w:val="20"/>
                </w:rPr>
                <w:t>Subsidiary Guarantors and Issuers of Guaranteed Securities</w:t>
              </w:r>
            </w:hyperlink>
            <w:r>
              <w:rPr>
                <w:rFonts w:ascii="Times New Roman;Times;serif" w:hAnsi="Times New Roman;Times;serif"/>
                <w:sz w:val="20"/>
              </w:rPr>
              <w:t>.</w:t>
            </w:r>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31.0*</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30"/>
              <w:ind w:left="0" w:right="0" w:hanging="0"/>
              <w:jc w:val="left"/>
              <w:rPr/>
            </w:pPr>
            <w:hyperlink w:anchor="safe-20260630xex31d0.htm">
              <w:r>
                <w:rPr>
                  <w:rStyle w:val="InternetLink"/>
                  <w:rFonts w:ascii="Times New Roman;Times;serif" w:hAnsi="Times New Roman;Times;serif"/>
                  <w:b w:val="false"/>
                  <w:i w:val="false"/>
                  <w:caps w:val="false"/>
                  <w:smallCaps w:val="false"/>
                  <w:sz w:val="20"/>
                </w:rPr>
                <w:t>Certifications pursuant to Section 302 of the Sarbanes-Oxley Act</w:t>
              </w:r>
            </w:hyperlink>
            <w:r>
              <w:rPr>
                <w:rFonts w:ascii="Times New Roman;Times;serif" w:hAnsi="Times New Roman;Times;serif"/>
                <w:sz w:val="20"/>
              </w:rPr>
              <w:t>.</w:t>
            </w:r>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32.0**</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30"/>
              <w:ind w:left="0" w:right="0" w:hanging="0"/>
              <w:jc w:val="left"/>
              <w:rPr/>
            </w:pPr>
            <w:hyperlink w:anchor="safe-20260630xex32d0.htm">
              <w:r>
                <w:rPr>
                  <w:rStyle w:val="InternetLink"/>
                  <w:rFonts w:ascii="Times New Roman;Times;serif" w:hAnsi="Times New Roman;Times;serif"/>
                  <w:b w:val="false"/>
                  <w:i w:val="false"/>
                  <w:caps w:val="false"/>
                  <w:smallCaps w:val="false"/>
                  <w:sz w:val="20"/>
                </w:rPr>
                <w:t>Certifications pursuant to Section 906 of the Sarbanes-Oxley Act</w:t>
              </w:r>
            </w:hyperlink>
            <w:r>
              <w:rPr>
                <w:rFonts w:ascii="Times New Roman;Times;serif" w:hAnsi="Times New Roman;Times;serif"/>
                <w:sz w:val="20"/>
              </w:rPr>
              <w:t>.</w:t>
            </w:r>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101.INS</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101.SCH</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101.CAL</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101.DEF</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101.LAB</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101.PRE</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40" w:type="dxa"/>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104</w:t>
            </w:r>
          </w:p>
        </w:tc>
        <w:tc>
          <w:tcPr>
            <w:tcW w:w="226" w:type="dxa"/>
            <w:tcBorders/>
            <w:vAlign w:val="center"/>
          </w:tcPr>
          <w:p>
            <w:pPr>
              <w:pStyle w:val="TableContents"/>
              <w:bidi w:val="0"/>
              <w:spacing w:before="0" w:after="30"/>
              <w:ind w:left="0" w:right="0" w:hanging="0"/>
              <w:jc w:val="left"/>
              <w:rPr/>
            </w:pPr>
            <w:r>
              <w:rPr/>
              <w:t>​</w:t>
            </w:r>
          </w:p>
        </w:tc>
        <w:tc>
          <w:tcPr>
            <w:tcW w:w="9139"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iXBRL and contained in Exhibit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 xml:space="preserve">Furnished herewith. </w:t>
      </w:r>
    </w:p>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 xml:space="preserve">+     </w:t>
      </w:r>
      <w:r>
        <w:rPr>
          <w:rFonts w:ascii="Times New Roman;Times;serif" w:hAnsi="Times New Roman;Times;serif"/>
          <w:sz w:val="20"/>
          <w:shd w:fill="FFFFFF" w:val="clear"/>
        </w:rPr>
        <w:t>Management contract or compensatory plan or arrangement.</w:t>
      </w:r>
    </w:p>
    <w:p>
      <w:pPr>
        <w:pStyle w:val="TextBody"/>
        <w:pBdr/>
        <w:bidi w:val="0"/>
        <w:spacing w:before="0" w:after="240"/>
        <w:ind w:left="0" w:right="0" w:hanging="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01" w:name="SIGNATURES_913228"/>
      <w:bookmarkStart w:id="1802" w:name="_f1b4c6ad_177e_4654_b5d4_a7ff15ac7729"/>
      <w:bookmarkEnd w:id="1801"/>
      <w:bookmarkEnd w:id="1802"/>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firstLine="720"/>
        <w:jc w:val="both"/>
        <w:rPr/>
      </w:pPr>
      <w:r>
        <w:rPr/>
        <w:t>​</w:t>
      </w:r>
    </w:p>
    <w:tbl>
      <w:tblPr>
        <w:tblW w:w="5841" w:type="dxa"/>
        <w:jc w:val="left"/>
        <w:tblInd w:w="0" w:type="dxa"/>
        <w:tblLayout w:type="fixed"/>
        <w:tblCellMar>
          <w:top w:w="0" w:type="dxa"/>
          <w:left w:w="0" w:type="dxa"/>
          <w:bottom w:w="0" w:type="dxa"/>
          <w:right w:w="0" w:type="dxa"/>
        </w:tblCellMar>
      </w:tblPr>
      <w:tblGrid>
        <w:gridCol w:w="601"/>
        <w:gridCol w:w="1216"/>
        <w:gridCol w:w="1914"/>
        <w:gridCol w:w="1956"/>
        <w:gridCol w:w="154"/>
      </w:tblGrid>
      <w:tr>
        <w:trPr/>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381635" cy="175260"/>
                      <wp:effectExtent l="0" t="0" r="0" b="0"/>
                      <wp:wrapNone/>
                      <wp:docPr id="583" name="Frame58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772160" cy="175260"/>
                      <wp:effectExtent l="0" t="0" r="0" b="0"/>
                      <wp:wrapNone/>
                      <wp:docPr id="584" name="Frame58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457450" cy="175260"/>
                      <wp:effectExtent l="0" t="0" r="0" b="0"/>
                      <wp:wrapNone/>
                      <wp:docPr id="585" name="Frame585"/>
                      <a:graphic xmlns:a="http://schemas.openxmlformats.org/drawingml/2006/main">
                        <a:graphicData uri="http://schemas.microsoft.com/office/word/2010/wordprocessingShape">
                          <wps:wsp>
                            <wps:cNvSpPr txBox="1"/>
                            <wps:spPr>
                              <a:xfrm>
                                <a:off x="0" y="0"/>
                                <a:ext cx="2457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153795" cy="175260"/>
                      <wp:effectExtent l="0" t="0" r="0" b="0"/>
                      <wp:wrapNone/>
                      <wp:docPr id="586" name="Frame586"/>
                      <a:graphic xmlns:a="http://schemas.openxmlformats.org/drawingml/2006/main">
                        <a:graphicData uri="http://schemas.microsoft.com/office/word/2010/wordprocessingShape">
                          <wps:wsp>
                            <wps:cNvSpPr txBox="1"/>
                            <wps:spPr>
                              <a:xfrm>
                                <a:off x="0" y="0"/>
                                <a:ext cx="1153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7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457450" cy="175260"/>
                      <wp:effectExtent l="0" t="0" r="0" b="0"/>
                      <wp:wrapNone/>
                      <wp:docPr id="587" name="Frame587"/>
                      <a:graphic xmlns:a="http://schemas.openxmlformats.org/drawingml/2006/main">
                        <a:graphicData uri="http://schemas.microsoft.com/office/word/2010/wordprocessingShape">
                          <wps:wsp>
                            <wps:cNvSpPr txBox="1"/>
                            <wps:spPr>
                              <a:xfrm>
                                <a:off x="0" y="0"/>
                                <a:ext cx="2457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Safehold Inc.</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Registrant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2026</w:t>
            </w:r>
          </w:p>
        </w:tc>
        <w:tc>
          <w:tcPr>
            <w:tcW w:w="3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JAY SUGARMAN</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Jay Sugarman</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Chairman of the Board of Directors and Chief</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Executive Officer (principal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Safehold Inc.</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Registrant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2026</w:t>
            </w:r>
          </w:p>
        </w:tc>
        <w:tc>
          <w:tcPr>
            <w:tcW w:w="3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BRETT ASNAS</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Brett Asnas</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01" w:type="dxa"/>
            <w:tcBorders/>
            <w:vAlign w:val="center"/>
          </w:tcPr>
          <w:p>
            <w:pPr>
              <w:pStyle w:val="TableContents"/>
              <w:bidi w:val="0"/>
              <w:spacing w:before="0" w:after="0"/>
              <w:ind w:left="0" w:right="0" w:hanging="0"/>
              <w:jc w:val="left"/>
              <w:rPr/>
            </w:pPr>
            <w:r>
              <w:rPr/>
              <w:t>​</w:t>
            </w:r>
          </w:p>
        </w:tc>
        <w:tc>
          <w:tcPr>
            <w:tcW w:w="3130" w:type="dxa"/>
            <w:gridSpan w:val="2"/>
            <w:tcBorders/>
            <w:vAlign w:val="center"/>
          </w:tcPr>
          <w:p>
            <w:pPr>
              <w:pStyle w:val="TableContents"/>
              <w:bidi w:val="0"/>
              <w:spacing w:before="0" w:after="0"/>
              <w:ind w:left="0" w:right="0" w:hanging="0"/>
              <w:jc w:val="left"/>
              <w:rPr/>
            </w:pPr>
            <w:r>
              <w:rPr/>
              <w:t>​</w:t>
            </w:r>
          </w:p>
        </w:tc>
        <w:tc>
          <w:tcPr>
            <w:tcW w:w="2110" w:type="dxa"/>
            <w:gridSpan w:val="2"/>
            <w:tcBorders/>
            <w:vAlign w:val="center"/>
          </w:tcPr>
          <w:p>
            <w:pPr>
              <w:pStyle w:val="TableContents"/>
              <w:bidi w:val="0"/>
              <w:spacing w:before="0" w:after="0"/>
              <w:ind w:left="0" w:right="0" w:hanging="0"/>
              <w:jc w:val="center"/>
              <w:rPr/>
            </w:pPr>
            <w:r>
              <w:rPr/>
              <w:t>​</w:t>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0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817" w:type="dxa"/>
            <w:gridSpan w:val="2"/>
            <w:tcBorders/>
            <w:vAlign w:val="center"/>
          </w:tcPr>
          <w:p>
            <w:pPr>
              <w:pStyle w:val="TableContents"/>
              <w:bidi w:val="0"/>
              <w:spacing w:before="0" w:after="0"/>
              <w:ind w:left="0" w:right="0" w:hanging="0"/>
              <w:jc w:val="left"/>
              <w:rPr/>
            </w:pPr>
            <w:r>
              <w:rPr/>
              <w:t>​</w:t>
            </w:r>
          </w:p>
        </w:tc>
        <w:tc>
          <w:tcPr>
            <w:tcW w:w="3870" w:type="dxa"/>
            <w:gridSpan w:val="2"/>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285" w:before="0" w:after="240"/>
        <w:ind w:left="0" w:right="0" w:hanging="0"/>
        <w:jc w:val="right"/>
        <w:rPr>
          <w:rFonts w:ascii="Times New Roman;Times;serif" w:hAnsi="Times New Roman;Times;serif"/>
          <w:b/>
          <w:sz w:val="24"/>
        </w:rPr>
      </w:pPr>
      <w:bookmarkStart w:id="1803" w:name="safe-20260630xex22d1.htm"/>
      <w:bookmarkStart w:id="1804" w:name="kssafe20260630xex22d1"/>
      <w:bookmarkEnd w:id="1803"/>
      <w:bookmarkEnd w:id="1804"/>
      <w:r>
        <w:rPr>
          <w:rFonts w:ascii="Times New Roman;Times;serif" w:hAnsi="Times New Roman;Times;serif"/>
          <w:b/>
          <w:sz w:val="24"/>
        </w:rPr>
        <w:t>Exhibit 22.1</w:t>
      </w:r>
      <w:r>
        <w:br w:type="page"/>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List of Issuers of Guaranteed Securities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As of June 30, 2026, the following subsidiary was the issuer of the 2.80% senior notes due June 2031, the 2.85% senior notes due January 2032, the 6.10% senior notes due April 2034 and the 5.65% senior notes due January 2035 guaranteed by Safehold Inc.</w:t>
      </w:r>
    </w:p>
    <w:tbl>
      <w:tblPr>
        <w:tblW w:w="5807" w:type="dxa"/>
        <w:jc w:val="center"/>
        <w:tblInd w:w="0" w:type="dxa"/>
        <w:tblLayout w:type="fixed"/>
        <w:tblCellMar>
          <w:top w:w="0" w:type="dxa"/>
          <w:left w:w="0" w:type="dxa"/>
          <w:bottom w:w="0" w:type="dxa"/>
          <w:right w:w="0" w:type="dxa"/>
        </w:tblCellMar>
      </w:tblPr>
      <w:tblGrid>
        <w:gridCol w:w="2806"/>
        <w:gridCol w:w="3001"/>
      </w:tblGrid>
      <w:tr>
        <w:trPr/>
        <w:tc>
          <w:tcPr>
            <w:tcW w:w="2806"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Name of Subsidiary</w:t>
            </w:r>
          </w:p>
        </w:tc>
        <w:tc>
          <w:tcPr>
            <w:tcW w:w="3001"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Jurisdiction of Organization</w:t>
            </w:r>
          </w:p>
        </w:tc>
      </w:tr>
      <w:tr>
        <w:trPr/>
        <w:tc>
          <w:tcPr>
            <w:tcW w:w="2806" w:type="dxa"/>
            <w:tcBorders/>
            <w:vAlign w:val="center"/>
          </w:tcPr>
          <w:p>
            <w:pPr>
              <w:pStyle w:val="TableContents"/>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Safehold GL Holdings LLC</w:t>
            </w:r>
          </w:p>
        </w:tc>
        <w:tc>
          <w:tcPr>
            <w:tcW w:w="3001" w:type="dxa"/>
            <w:tcBorders/>
            <w:vAlign w:val="center"/>
          </w:tcPr>
          <w:p>
            <w:pPr>
              <w:pStyle w:val="TableContents"/>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Delaware</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805" w:name="safe-20260630xex31d0.htm"/>
      <w:bookmarkStart w:id="1806" w:name="kssafe20260630xex31d0"/>
      <w:bookmarkEnd w:id="1805"/>
      <w:bookmarkEnd w:id="1806"/>
      <w:r>
        <w:rPr>
          <w:rFonts w:ascii="Times New Roman;Times;serif" w:hAnsi="Times New Roman;Times;serif"/>
          <w:b/>
          <w:sz w:val="20"/>
        </w:rPr>
        <w:t>Exhibit 31.0</w:t>
      </w:r>
      <w:r>
        <w:br w:type="page"/>
      </w:r>
    </w:p>
    <w:p>
      <w:pPr>
        <w:pStyle w:val="TextBody"/>
        <w:bidi w:val="0"/>
        <w:spacing w:before="0" w:after="100"/>
        <w:ind w:left="0" w:right="0" w:hanging="0"/>
        <w:jc w:val="righ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Jay Sugarman, certify that: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1. I have reviewed this quarterly report on Form 10-Q of Safehold Inc.;</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360" w:right="0" w:firstLine="360"/>
        <w:jc w:val="both"/>
        <w:rPr/>
      </w:pPr>
      <w:r>
        <w:rPr/>
        <w:t>​</w:t>
      </w:r>
    </w:p>
    <w:tbl>
      <w:tblPr>
        <w:tblW w:w="4865" w:type="dxa"/>
        <w:jc w:val="center"/>
        <w:tblInd w:w="0" w:type="dxa"/>
        <w:tblLayout w:type="fixed"/>
        <w:tblCellMar>
          <w:top w:w="0" w:type="dxa"/>
          <w:left w:w="0" w:type="dxa"/>
          <w:bottom w:w="0" w:type="dxa"/>
          <w:right w:w="0" w:type="dxa"/>
        </w:tblCellMar>
      </w:tblPr>
      <w:tblGrid>
        <w:gridCol w:w="556"/>
        <w:gridCol w:w="1216"/>
        <w:gridCol w:w="406"/>
        <w:gridCol w:w="631"/>
        <w:gridCol w:w="205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353060" cy="175260"/>
                      <wp:effectExtent l="0" t="0" r="0" b="0"/>
                      <wp:wrapNone/>
                      <wp:docPr id="588" name="Frame58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772160" cy="175260"/>
                      <wp:effectExtent l="0" t="0" r="0" b="0"/>
                      <wp:wrapNone/>
                      <wp:docPr id="589" name="Frame589"/>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57810" cy="175260"/>
                      <wp:effectExtent l="0" t="0" r="0" b="0"/>
                      <wp:wrapNone/>
                      <wp:docPr id="590" name="Frame59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706245" cy="175260"/>
                      <wp:effectExtent l="0" t="0" r="0" b="0"/>
                      <wp:wrapNone/>
                      <wp:docPr id="591" name="Frame591"/>
                      <a:graphic xmlns:a="http://schemas.openxmlformats.org/drawingml/2006/main">
                        <a:graphicData uri="http://schemas.microsoft.com/office/word/2010/wordprocessingShape">
                          <wps:wsp>
                            <wps:cNvSpPr txBox="1"/>
                            <wps:spPr>
                              <a:xfrm>
                                <a:off x="0" y="0"/>
                                <a:ext cx="170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8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JAY SUGARMAN</w:t>
            </w:r>
          </w:p>
        </w:tc>
      </w:tr>
      <w:tr>
        <w:trPr/>
        <w:tc>
          <w:tcPr>
            <w:tcW w:w="177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Jay Sugarman</w:t>
            </w:r>
          </w:p>
        </w:tc>
      </w:tr>
      <w:tr>
        <w:trPr/>
        <w:tc>
          <w:tcPr>
            <w:tcW w:w="177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0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 Brett Asnas, certify that: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1. I have reviewed this quarterly report on Form 10-Q of Safehold Inc.;</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ind w:left="360" w:right="0" w:firstLine="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360" w:right="0" w:firstLine="360"/>
        <w:jc w:val="both"/>
        <w:rPr/>
      </w:pPr>
      <w:r>
        <w:rPr/>
        <w:t>​</w:t>
      </w:r>
    </w:p>
    <w:tbl>
      <w:tblPr>
        <w:tblW w:w="7190" w:type="dxa"/>
        <w:jc w:val="center"/>
        <w:tblInd w:w="0" w:type="dxa"/>
        <w:tblLayout w:type="fixed"/>
        <w:tblCellMar>
          <w:top w:w="0" w:type="dxa"/>
          <w:left w:w="0" w:type="dxa"/>
          <w:bottom w:w="0" w:type="dxa"/>
          <w:right w:w="0" w:type="dxa"/>
        </w:tblCellMar>
      </w:tblPr>
      <w:tblGrid>
        <w:gridCol w:w="556"/>
        <w:gridCol w:w="1216"/>
        <w:gridCol w:w="406"/>
        <w:gridCol w:w="631"/>
        <w:gridCol w:w="438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353060" cy="175260"/>
                      <wp:effectExtent l="0" t="0" r="0" b="0"/>
                      <wp:wrapNone/>
                      <wp:docPr id="592" name="Frame59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772160" cy="175260"/>
                      <wp:effectExtent l="0" t="0" r="0" b="0"/>
                      <wp:wrapNone/>
                      <wp:docPr id="593" name="Frame593"/>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57810" cy="175260"/>
                      <wp:effectExtent l="0" t="0" r="0" b="0"/>
                      <wp:wrapNone/>
                      <wp:docPr id="594" name="Frame59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3183255" cy="175260"/>
                      <wp:effectExtent l="0" t="0" r="0" b="0"/>
                      <wp:wrapNone/>
                      <wp:docPr id="595" name="Frame595"/>
                      <a:graphic xmlns:a="http://schemas.openxmlformats.org/drawingml/2006/main">
                        <a:graphicData uri="http://schemas.microsoft.com/office/word/2010/wordprocessingShape">
                          <wps:wsp>
                            <wps:cNvSpPr txBox="1"/>
                            <wps:spPr>
                              <a:xfrm>
                                <a:off x="0" y="0"/>
                                <a:ext cx="318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BRETT ASNAS</w:t>
            </w:r>
          </w:p>
        </w:tc>
      </w:tr>
      <w:tr>
        <w:trPr/>
        <w:tc>
          <w:tcPr>
            <w:tcW w:w="177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Brett Asnas</w:t>
            </w:r>
          </w:p>
        </w:tc>
      </w:tr>
      <w:tr>
        <w:trPr/>
        <w:tc>
          <w:tcPr>
            <w:tcW w:w="177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8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807" w:name="safe-20260630xex32d0.htm"/>
      <w:bookmarkStart w:id="1808" w:name="kssafe20260630xex32d0"/>
      <w:bookmarkEnd w:id="1807"/>
      <w:bookmarkEnd w:id="1808"/>
      <w:r>
        <w:rPr>
          <w:rFonts w:ascii="Times New Roman;Times;serif" w:hAnsi="Times New Roman;Times;serif"/>
          <w:b/>
          <w:sz w:val="20"/>
        </w:rPr>
        <w:t>Exhibit 32.0</w:t>
      </w:r>
      <w:r>
        <w:br w:type="page"/>
      </w:r>
    </w:p>
    <w:p>
      <w:pPr>
        <w:pStyle w:val="TextBody"/>
        <w:bidi w:val="0"/>
        <w:spacing w:before="0" w:after="100"/>
        <w:ind w:left="0" w:right="0" w:hanging="0"/>
        <w:jc w:val="righ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undersigned, the Chief Executive Officer of Safehold Inc. (the "Company"), hereby certifies on the date hereof, pursuant to 18 U.S.C. 1350, as adopted pursuant to Section 906 of The Sarbanes-Oxley Act of 2002, that the Quarterly Report on Form 10-Q for the quarter ended June 30,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4865" w:type="dxa"/>
        <w:jc w:val="center"/>
        <w:tblInd w:w="0" w:type="dxa"/>
        <w:tblLayout w:type="fixed"/>
        <w:tblCellMar>
          <w:top w:w="0" w:type="dxa"/>
          <w:left w:w="0" w:type="dxa"/>
          <w:bottom w:w="0" w:type="dxa"/>
          <w:right w:w="0" w:type="dxa"/>
        </w:tblCellMar>
      </w:tblPr>
      <w:tblGrid>
        <w:gridCol w:w="556"/>
        <w:gridCol w:w="1216"/>
        <w:gridCol w:w="406"/>
        <w:gridCol w:w="631"/>
        <w:gridCol w:w="2056"/>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353060" cy="175260"/>
                      <wp:effectExtent l="0" t="0" r="0" b="0"/>
                      <wp:wrapNone/>
                      <wp:docPr id="596" name="Frame596"/>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772160" cy="175260"/>
                      <wp:effectExtent l="0" t="0" r="0" b="0"/>
                      <wp:wrapNone/>
                      <wp:docPr id="597" name="Frame59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57810" cy="175260"/>
                      <wp:effectExtent l="0" t="0" r="0" b="0"/>
                      <wp:wrapNone/>
                      <wp:docPr id="598" name="Frame59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706245" cy="175260"/>
                      <wp:effectExtent l="0" t="0" r="0" b="0"/>
                      <wp:wrapNone/>
                      <wp:docPr id="599" name="Frame599"/>
                      <a:graphic xmlns:a="http://schemas.openxmlformats.org/drawingml/2006/main">
                        <a:graphicData uri="http://schemas.microsoft.com/office/word/2010/wordprocessingShape">
                          <wps:wsp>
                            <wps:cNvSpPr txBox="1"/>
                            <wps:spPr>
                              <a:xfrm>
                                <a:off x="0" y="0"/>
                                <a:ext cx="170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8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JAY SUGARMAN</w:t>
            </w:r>
          </w:p>
        </w:tc>
      </w:tr>
      <w:tr>
        <w:trPr/>
        <w:tc>
          <w:tcPr>
            <w:tcW w:w="177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Jay Sugarman</w:t>
            </w:r>
          </w:p>
        </w:tc>
      </w:tr>
      <w:tr>
        <w:trPr/>
        <w:tc>
          <w:tcPr>
            <w:tcW w:w="177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undersigned, the Chief Financial Officer of Safehold Inc. (the "Company"), hereby certifies on the date hereof, pursuant to 18 U.S.C. 1350, as adopted pursuant to Section 906 of The Sarbanes-Oxley Act of 2002, that the Quarterly Report on Form 10-Q for the quarter ended June 30,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7190" w:type="dxa"/>
        <w:jc w:val="center"/>
        <w:tblInd w:w="0" w:type="dxa"/>
        <w:tblLayout w:type="fixed"/>
        <w:tblCellMar>
          <w:top w:w="0" w:type="dxa"/>
          <w:left w:w="0" w:type="dxa"/>
          <w:bottom w:w="0" w:type="dxa"/>
          <w:right w:w="0" w:type="dxa"/>
        </w:tblCellMar>
      </w:tblPr>
      <w:tblGrid>
        <w:gridCol w:w="556"/>
        <w:gridCol w:w="1216"/>
        <w:gridCol w:w="406"/>
        <w:gridCol w:w="631"/>
        <w:gridCol w:w="438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353060" cy="175260"/>
                      <wp:effectExtent l="0" t="0" r="0" b="0"/>
                      <wp:wrapNone/>
                      <wp:docPr id="600" name="Frame600"/>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GA</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772160" cy="175260"/>
                      <wp:effectExtent l="0" t="0" r="0" b="0"/>
                      <wp:wrapNone/>
                      <wp:docPr id="601" name="Frame601"/>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57810" cy="175260"/>
                      <wp:effectExtent l="0" t="0" r="0" b="0"/>
                      <wp:wrapNone/>
                      <wp:docPr id="602" name="Frame60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3183255" cy="175260"/>
                      <wp:effectExtent l="0" t="0" r="0" b="0"/>
                      <wp:wrapNone/>
                      <wp:docPr id="603" name="Frame603"/>
                      <a:graphic xmlns:a="http://schemas.openxmlformats.org/drawingml/2006/main">
                        <a:graphicData uri="http://schemas.microsoft.com/office/word/2010/wordprocessingShape">
                          <wps:wsp>
                            <wps:cNvSpPr txBox="1"/>
                            <wps:spPr>
                              <a:xfrm>
                                <a:off x="0" y="0"/>
                                <a:ext cx="318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31,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BRETT ASNAS</w:t>
            </w:r>
          </w:p>
        </w:tc>
      </w:tr>
      <w:tr>
        <w:trPr/>
        <w:tc>
          <w:tcPr>
            <w:tcW w:w="177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Brett Asnas</w:t>
            </w:r>
          </w:p>
        </w:tc>
      </w:tr>
      <w:tr>
        <w:trPr/>
        <w:tc>
          <w:tcPr>
            <w:tcW w:w="1772" w:type="dxa"/>
            <w:gridSpan w:val="2"/>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8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1809" w:name="safe-20260630xex10d2.htm"/>
      <w:bookmarkStart w:id="1810" w:name="kssafe20260630xex10d2"/>
      <w:bookmarkEnd w:id="1809"/>
      <w:bookmarkEnd w:id="1810"/>
      <w:r>
        <w:rPr>
          <w:rFonts w:ascii="Times New Roman" w:hAnsi="Times New Roman"/>
          <w:b/>
          <w:sz w:val="20"/>
        </w:rPr>
        <w:t>Exhibit 10.2</w:t>
      </w:r>
      <w:r>
        <w:br w:type="page"/>
      </w:r>
    </w:p>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1"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RESTRICTED STOCK UNITS AWARD AGREEMENT (Safehold Inc. 2009 Long-Term Incentive Plan) THIS RESTRICTED STOCK UNITS AWARD AGREEMENT (the “Agreement”) is entered into by and between SAFEHOLD INC. (“SAFE” or the “Company”) and [●] (“Participant”), effective as of [●], 2026 (the “Grant Date”). RECITALS: A. The Company has adopted the 2009 Long-Term Incentive Plan, as amended from time to time (the “Plan”). Except as otherwise defined herein, capitalized terms used in this Agreement have the respective meanings set forth in the Plan. The Plan is hereby incorporated herein by reference as though set forth herein in its entirety. B. The Company wishes to set forth, in this Agreement, the terms and conditions of an award of restricted stock units (“Units”) being made to Participant representing the right to receive shares of Common Stock of the Company (“Shares”) pursuant to the Plan. NOW, THEREFORE, the parties agree as follows: 1. Award. Subject to the terms of this Agreement and the Plan, the Participant is hereby granted [●] Units, representing the right to receive an equivalent number of Shares. The award described herein is granted effective as of the Grant Date. 2. Vesting. The Units shall vest on such date(s) and in accordance with the terms and conditions set forth on Exhibit A. 3. Settlement and Delivery of Shares. Subject to satisfying applicable tax withholding requirements in accordance with Section 14 hereof, on each Vesting Date, the Company shall promptly (but in no event later than two and one-half (2-½) months after the applicable Vesting Date) deliver to the Participant a number of Shares equal to the number of Units vesting on such date. Except as may be required by law, the Shares shall be issued and delivered to the Participant, free of any restrictive legend or other restrictions, in book-entry form or otherwise as the Participant may direct. 4. Confidentiality. The Participant has entered into and shall abide by the Company’s Employee Proprietary Information and Inventions Assignment Agreement, which includes confidentiality and post-termination non-competition and non-solicitation restrictions (the “Restrictive Covenants Agreement”) and reaffirms Participant’s obligations under the Restrictive Covenants Agreement. The Participant acknowledges and recognizes the highly competitive nature of the businesses of the Company and accordingly agrees, in the Participant’s capacity as an investor and equity holder in the Company and its Affiliates, to the restrictive covenants contained in Restrictive Covenants Agreement. The Participant acknowledges and agrees that the Company’s remedies at law for an actual or threatened breach of any of the provisions of Restrictive Covenants Agreement would be inadequate and the Company would suffer irreparable damages as a result of such breach or threatened breach. 5. Clawback. In the event the Board of Directors of the Company determines that the Participant has engaged in fraud, willful misconduct or violation of Company policy that (1) caused or otherwise contributed materially to the need for a material restatement or adjustment of the Company’s financial results within two years after the period presented, or (2) caused or otherwise contributed materially to a material negative revision of a financial or operating measure on the basis of which incentive compensation was awarded or paid to such covered executive, the Compensation Committee of the Company’s Board of Directors (the “Committee”) will review the award of Units pursuant to this Agreement and all other performance-based compensation awarded to or earned by the Participant during fiscal periods materially affected by the restatement or adjustment or negative revision. For this purpose, “performance-based compensation” includes annual cash incentive bonus awards and all forms of equity-based incentive compensation. If the Committee determines that the performance-based compensation would have been materially lower if it had been based on the restated, adjusted or revised results, the </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2"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Committee may, to the extent permitted by applicable law, seek recoupment from the Participant of any portion of such performance-based compensation as it deems appropriate after a review of all relevant facts and circumstances. 6. Restrictions on Units. a. Prior to vesting, Units that are not vested (and the Shares represented by such Units) are not transferable except as designated by the Participant by will or by the laws of descent and distribution or, subject to such procedures as the Committee may establish, to or for the benefit of the Participant’s family. Except as permitted by the foregoing, Units that are not vested (and the Shares represented by such Units) may not be sold, assigned, transferred, pledged, hypothecated, encumbered or otherwise disposed of (whether by operation of law and otherwise) or be subject to execution, attachment or similar process. Any attempt to sell, transfer, assign, pledge, hypothecate, voluntarily encumber or otherwise dispose of Units or Shares shall be null and void. Upon the vesting of Units, the Shares that are delivered to the Participant shall be fully transferable by the Participant. b. Prior to vesting, Units shall not be evidenced by a certificate registered in the name of the Participant and the Participant shall not have any voting rights with respect to such unvested Units (or the Shares represented by such Units). 7. Dividend Equivalent Rights. a. From and after the Grant Date, dividend equivalents shall accrue with respect to Units and shall be payable subject to the same vesting terms and other conditions as the Units to which they relate. Dividend equivalents shall be credited as and when dividends are declared by the Company on Shares from the Grant Date until Units are vested and paid. If, and to the extent, Units are forfeited, all related dividend equivalent rights shall also be forfeited. b. Dividend equivalents rights entitle the Participant to receive payments with respect to each Unit equal to the dividends declared by the Company on one Share. c. Dividend equivalent payments shall be made to the Participant in cash, net of applicable tax withholdings at required statutory minimum amounts, on the same date vested Units are settled. 10. Adjustments to Number of Units and Shares. In the event of any change in the Company’s outstanding Shares by reason of any stock dividend, split, spinoff, recapitalization or other similar change, the terms and the number of any outstanding Units (and the Shares represented by such Units) shall be equitably adjusted by the Committee that administers the Plan in its discretion to the extent the Committee determines that such adjustment is necessary to preserve the benefit, including the economic value, of this Agreement for the Participant and the Company. 11. Administration. The authority to administer and interpret this Agreement shall be vested in the Committee, and the Committee shall have all the powers with respect to this Agreement as it has with respect to the Plan. Any interpretation of the Agreement by the Committee and any decision made by it with respect to the Agreement are final and binding on all persons. 12. Representations. The Shares represented by the Units are currently registered under the Securities Act of 1933, as amended (the “Securities Act”), and any applicable state securities laws, pursuant to an effective registration statement. The Participant hereby represents and covenants that any subsequent sale of any such Shares shall be made either pursuant to an effective registration statement under the Securities Act and any applicable state securities laws, or pursuant to an exemption from registration under the Securities Act and such state securities laws. The Participant agrees that the obligation of the Company to issue Shares shall also be subject, as conditions precedent, to compliance with applicable provisions of the Securities Act, the Securities Exchange Act of 1934, as amended, state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3" descr=""/>
                          <pic:cNvPicPr>
                            <a:picLocks noChangeAspect="1" noChangeArrowheads="1"/>
                          </pic:cNvPicPr>
                        </pic:nvPicPr>
                        <pic:blipFill>
                          <a:blip r:embed="rId9"/>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securities or corporation laws, rules and regulations under any of the foregoing and applicable requirements of any securities exchange upon which the Company’s securities shall be listed. 13. Electronic Delivery. By executing this Agreement, the Participant hereby consents to the electronic delivery of prospectuses, annual reports and other information required to be delivered by Securities and Exchange Commission rules. This consent may be revoked in writing by the Participant at any time upon three business days’ notice to the Company, in which case subsequent prospectuses, annual reports and other information will be delivered in hard copy to the Participant. 14. Taxes and Withholding. a. The Participant shall be responsible for all income taxes payable in respect of the Shares. The Participant shall be required to pay to the Company, and the Company shall have the right and is hereby authorized to withhold any cash, Shares, other securities or other property or from any compensation or other amounts owing to the Participant, the amount (in cash, Shares other securities or other property) of any required withholding taxes in respect of the Shares, and to take such other action as may be necessary in the opinion of the Committee to satisfy all obligations for the payment of such withholding taxes, if applicable. In addition, the Committee may permit or require a Participant to satisfy, in whole or in part, the foregoing withholding liability by having the Company withhold a number of Shares with a Fair Market Value equal to such withholding liability. The obligations of the Company under this Agreement will be conditional on such payment or arrangements, and the Company will, to the extent permitted by law, have the right to deduct any such withholding taxes from any payment of any kind otherwise due to Participant. In determining the amount to be withheld, the Company may consider statutory withholding amounts or other withholding rates applicable to a Participant, including the maximum applicable rate in a Participant’s applicable jurisdiction. b. Notwithstanding anything herein to the contrary and subject to Section 409A of the Code, Shares to be delivered under this Agreement may be accelerated as required to pay employment taxes and any resulting pyramiding taxes incurred by the Participant related to the Shares subject to this Agreement prior to the scheduled settlement of the Shares pursuant to this Agreement, in accordance with and to the extent permitted by U.S. Treasury Regulation 1.409A-3(j)(4)(vi), with the payment of such employment related taxes and any resulting pyramiding taxes to be accomplished by the Company withholding whole Shares which would otherwise be issued or transferred to the Participant having an aggregate Fair Market Value, determined as of the date on which such withholding obligation arises, equal to the amount of such employment related taxes and any resulting pyramiding taxes. 15. Plan Governs. The terms of this Agreement shall be subject to the terms of the Plan, a copy of which may be obtained by the Participant from the office of the Secretary of the Company. 16. Amendment and Termination. The Committee may at any time amend or terminate this Agreement, provided that no such amendment or termination may materially adversely affect the rights of the Participant awarded hereunder. 17. Waiver of Responsibility. The Participant understands that the Company has assumed no responsibility for advising the Participant as to the tax consequences to the Participant of the grant of Units under this Agreement. The Participant should consult with his or her individual tax advisor concerning the applicability of Federal, state and local tax laws to the Units and to his or her personal tax circumstances.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4" descr=""/>
                          <pic:cNvPicPr>
                            <a:picLocks noChangeAspect="1" noChangeArrowheads="1"/>
                          </pic:cNvPicPr>
                        </pic:nvPicPr>
                        <pic:blipFill>
                          <a:blip r:embed="rId1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18. Agreement Not Contract of Employment. Neither the Plan nor this Agreement shall not be construed as giving the Participant the right to be retained in the employ of, or in any other continuing relationship with, the Company or any of its Affiliates. 19. Successors and Assigns. This Agreement shall be binding upon, and inure to the benefit of, the Company, its successors and assigns, and any person acquiring, whether by merger, consolidation, purchase of assets or otherwise, all or substantially all of the Company’s assets and business. The Company shall have the right to assign this Agreement at its sole election without the need for further notice to or consent by the Participant. 20. Governing Law. The validity, construction and effect of this Agreement shall be determined in accordance with the laws of the state of New York applicable to agreements made and to be performed entirely within such jurisdiction. 21. Counterparts. This Agreement may be signed in counterparts, each of which shall be an original, with the same effect as if the signatures thereto and hereto were upon the same instrument. This Agreement may be executed by PDF or other electronic means. 22. Interpretation. Whenever possible, each provision or portion of any provision of this Agreement will be interpreted in such manner as to be effective and valid under applicable law but the invalidity or unenforceability of any provision or portion of any provision of this Agreement in any jurisdiction shall not affect the validity or enforceability of the remainder of this Agreement in that jurisdiction or the validity or enforceability of this Agreement, including that provision or portion of any provision, in any other jurisdiction. In addition, should a court or arbitrator determine that any provision or portion of any provision of this Agreement is not reasonable or valid, either in period of time, geographical area, or otherwise, the parties hereto agree that such provision should be interpreted and enforced to the maximum extent which such court or arbitrator deems reasonable or valid. 23. Entire Agreement. This Agreement shall constitute the entire agreement between the parties, and shall supersede all prior representations, agreements and understandings (including any prior course of dealings), both written and oral, between the parties with respect to the subject matter hereof.</w:t>
            </w:r>
          </w:p>
        </w:tc>
      </w:tr>
    </w:tbl>
    <w:tbl>
      <w:tblPr>
        <w:tblW w:w="13438" w:type="dxa"/>
        <w:jc w:val="center"/>
        <w:tblInd w:w="0" w:type="dxa"/>
        <w:tblLayout w:type="fixed"/>
        <w:tblCellMar>
          <w:top w:w="0" w:type="dxa"/>
          <w:left w:w="0" w:type="dxa"/>
          <w:bottom w:w="0" w:type="dxa"/>
          <w:right w:w="0" w:type="dxa"/>
        </w:tblCellMar>
      </w:tblPr>
      <w:tblGrid>
        <w:gridCol w:w="23"/>
        <w:gridCol w:w="12735"/>
        <w:gridCol w:w="68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5" descr=""/>
                          <pic:cNvPicPr>
                            <a:picLocks noChangeAspect="1" noChangeArrowheads="1"/>
                          </pic:cNvPicPr>
                        </pic:nvPicPr>
                        <pic:blipFill>
                          <a:blip r:embed="rId11"/>
                          <a:stretch>
                            <a:fillRect/>
                          </a:stretch>
                        </pic:blipFill>
                        <pic:spPr bwMode="auto">
                          <a:xfrm>
                            <a:off x="0" y="0"/>
                            <a:ext cx="8086725" cy="10477500"/>
                          </a:xfrm>
                          <a:prstGeom prst="rect">
                            <a:avLst/>
                          </a:prstGeom>
                        </pic:spPr>
                      </pic:pic>
                    </a:graphicData>
                  </a:graphic>
                </wp:inline>
              </w:drawing>
            </w:r>
          </w:p>
        </w:tc>
        <w:tc>
          <w:tcPr>
            <w:tcW w:w="6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IN WITNESS WHEREOF, the Company and the Participant have executed this Restricted Stock Units Award Agreement as of the day and year first above written. PARTICIPANT ____________________________________ SAFEHOLD INC. By: _________________________________</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6" descr=""/>
                          <pic:cNvPicPr>
                            <a:picLocks noChangeAspect="1" noChangeArrowheads="1"/>
                          </pic:cNvPicPr>
                        </pic:nvPicPr>
                        <pic:blipFill>
                          <a:blip r:embed="rId12"/>
                          <a:stretch>
                            <a:fillRect/>
                          </a:stretch>
                        </pic:blipFill>
                        <pic:spPr bwMode="auto">
                          <a:xfrm>
                            <a:off x="0" y="0"/>
                            <a:ext cx="8086725" cy="104775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Exhibit A [Intentionally Omitted]</w:t>
            </w:r>
          </w:p>
        </w:tc>
      </w:tr>
    </w:tbl>
    <w:p>
      <w:pPr>
        <w:pStyle w:val="TextBody"/>
        <w:bidi w:val="0"/>
        <w:spacing w:before="40" w:after="40"/>
        <w:ind w:left="0" w:right="0" w:hanging="0"/>
        <w:jc w:val="right"/>
        <w:rPr>
          <w:rFonts w:ascii="Times New Roman" w:hAnsi="Times New Roman"/>
          <w:b/>
          <w:sz w:val="20"/>
        </w:rPr>
      </w:pPr>
      <w:bookmarkStart w:id="1811" w:name="safe-20260630xex10d3.htm"/>
      <w:bookmarkStart w:id="1812" w:name="kssafe20260630xex10d3"/>
      <w:bookmarkEnd w:id="1811"/>
      <w:bookmarkEnd w:id="1812"/>
      <w:r>
        <w:rPr>
          <w:rFonts w:ascii="Times New Roman" w:hAnsi="Times New Roman"/>
          <w:b/>
          <w:sz w:val="20"/>
        </w:rPr>
        <w:t>Exhibit 10.3</w:t>
      </w:r>
      <w:r>
        <w:br w:type="page"/>
      </w:r>
    </w:p>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7" descr=""/>
                          <pic:cNvPicPr>
                            <a:picLocks noChangeAspect="1" noChangeArrowheads="1"/>
                          </pic:cNvPicPr>
                        </pic:nvPicPr>
                        <pic:blipFill>
                          <a:blip r:embed="rId13"/>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CARET PERFORMANCE INCENTIVE PLAN CARET PROFITS INTEREST AWARD AGREEMENT This Caret Profits Interest Award Agreement (this “Agreement”), is made on this day of [●] (the “Grant Date”), by and among Safehold Inc. (the “Company”), Safehold GL Holdings LLC (formerly known as Safehold Operating Partnership LP) (the “Current Caret Issuer”) and [●] (the “Participant”). Capitalized terms used but not otherwise defined in this Agreement shall have the meanings set forth in the Plan (as defined below). R E C I T A L S: WHEREAS, the Company and CARET Ventures LLC, (the “Prior Caret Issuer”) previously adopted the Safehold Inc. CARET Performance Incentive Plan (as may be amended and/or restated from time to time, the “Plan”); WHEREAS, in connection with a restructuring of the Company and its subsidiaries, all rights and obligations of the Prior Caret Issuer and CARET Management Holdings LLC (“CMH”) under the Plan were assigned to and assumed by the Current Caret Issuer; and WHEREAS, the Managing Member of the Current Caret Issuer, and the Board or the Committee, has determined that it would be in the best interests of the Company and its Affiliates to cause Profits Interests in the Current Caret Issuer (“Caret Profits Interests”) to be granted to the Participant pursuant to the Plan, the limited liability company agreement of the Current Caret Issuer (as may be amended from time to time, the "LLC Agreement") and the terms and conditions set forth herein. NOW THEREFORE, in consideration of the mutual covenants hereinafter set forth, the parties hereto agree as follows: 1. Grant of Caret Profits Interests. (a) Caret Profits Interests. Subject to the terms and conditions of the Plan, the LLC Agreement and this Agreement, the Current Caret Issuer hereby grants to the Participant an award of [●] Caret Profits Interests (the “Granted Interests”), subject to adjustment as provided in the Plan, the LLC Agreement and this Agreement. The Granted Interests and all rights of the Participant with respect to the Granted Interests are subject to the terms and conditions of the Plan and the LLC Agreement, each of which is incorporated herein by reference. (b) Distributions. Distributions in respect of the Granted Interests that have not been forfeited in accordance with this Agreement shall be made to the Participant in accordance with the provisions of the Plan, the LLC Agreement and this Agreement, as applicable. 2. Vesting. Subject to Section 3 below and except as otherwise provided herein, the Granted Interests shall vest in five equal annual installments on each annual anniversary of [●] (each, a “Vesting Date”) subject to the Participant’s continued employment through each Vesting Date. 3. Effect of Termination of Employment. The treatment of the Participant’s Granted Interests upon termination of employment shall be as set forth below:</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8" descr=""/>
                          <pic:cNvPicPr>
                            <a:picLocks noChangeAspect="1" noChangeArrowheads="1"/>
                          </pic:cNvPicPr>
                        </pic:nvPicPr>
                        <pic:blipFill>
                          <a:blip r:embed="rId14"/>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(a) If the Participant’s employment is terminated by the Company for any reason or the Participant resigns voluntarily, all Granted Interests that have not vested as of the date of termination or resignation shall thereupon automatically be cancelled and forfeited. 4. Rights as Holder of Caret Profits Interests. The Participant shall be the record owner of the Granted Interests, subject to the vesting provisions set forth herein, unless and until such Granted Interests are forfeited, transferred or otherwise disposed of pursuant to this Agreement, the Plan or the LLC Agreement, and as record owner shall be entitled to all rights of a holder of Caret Profits Interests as provided in this Agreement, the LLC Agreement and the Plan. 5. Representations of the Participant. The Participant hereby represents and warrants as follows: (a) Understanding the Investment Risks of the Granted Interests. The Participant understands that: i. The Granted Interests represent a highly speculative investment, and there can be no assurance as to the success of the Current Caret Issuer in its business; ii. The Granted Interests cannot be transferred except in very limited circumstances in accordance with the provisions of the Plan and the LLC Agreement and, at present, no market for the Granted Interests exists and it is not anticipated that a market for the Granted Interests will develop in the future; iii. The Granted Interests may be worthless; and iv. Issuance and ownership of the Granted Interests may result in taxable income to the Participant without a corresponding cash or in-kind distribution. (b) Understanding of the Nature of the Granted Interests and Caret Units. The Participant understands and agrees that: i. Neither the Granted Interests nor the Caret Units will be registered under the Securities Act of 1933 and the rules and regulations promulgated thereunder (the “Securities Act”), or any applicable state securities laws and, they are being issued in reliance upon certain exemptions contained in the Securities Act and applicable state securities laws, and the representations and warranties of the Participant contained herein are essential to any claim of exemption by the Current Caret Issuer under the Securities Act and such state laws; ii. The Granted Interests and Caret Units are “restricted securities” as that term is defined in Rule 144 promulgated under the Securities Act; iii. The Participant may not sell, transfer, assign, pledge or otherwise dispose of or encumber the Granted Interests or Caret Units except as allowed under the provisions of the Plan, the LLC Agreement and this Agreement; iv. Only the Current Caret Issuer can register the Granted Interests or the Caret Units under the Securities Act and applicable state securities laws, but it is not anticipated that the Granted Interests or the Caret Units will be registered in any event; v. The Current Caret Issuer has not made any representations to the Participant that the Current Caret Issuer will register the Granted Interests or the Caret Units under the Securities Act or any applicable state securities laws, or any representations with respect to compliance with any exemption therefrom; vi. The Participant is aware of the conditions restricting the sale or transfer of the Granted Interests and the Caret Units under the Plan, the LLC Agreement and this Agreement, the Securities Act and applicable state securities laws;</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9" descr=""/>
                          <pic:cNvPicPr>
                            <a:picLocks noChangeAspect="1" noChangeArrowheads="1"/>
                          </pic:cNvPicPr>
                        </pic:nvPicPr>
                        <pic:blipFill>
                          <a:blip r:embed="rId15"/>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 vii. The Current Caret Issuer may, from time to time, make “stop transfer” notations in its transfer record to ensure compliance with the Securities Act and any applicable state securities laws, and any additional restrictions imposed by state securities administrators; and viii. At the time and as a condition of delivery of documents evidencing the Granted Interests, the Participant will be deemed to have made all the representations and warranties contained in this Section 5 with respect to such Granted Interests as a condition of the delivery of such Granted Interests by the Current Caret Issuer. (c) Noncontravention. Neither the execution and the delivery of this Agreement by the Participant nor the performance of the Participant’s obligations under this Agreement: (i) violates any statute, regulation, rule, injunction, judgment, order, decree, ruling, charge or other restriction of any government, governmental agency or court to which the Participant is subject; or (ii) conflicts with, results in a breach of, constitutes a default under, results in the acceleration of, creates in any party the right to accelerate, terminate, modify or cancel or requires any notice under (with or without the giving of notice or the lapse of time) its organizational documents or any agreement, contract, lease, license, instrument or other arrangement to which the Participant is a party or by which it is bound or to which any of its assets is subject. 6. Transferability. The Participant may transfer, directly or indirectly, any Granted Interest only in accordance with the terms set forth in this Agreement, the LLC Agreement and the terms of the Plan. Any purported assignment, transfer or grant by the Participant, directly or indirectly, of any Granted Interest in contravention of the Plan, the LLC Agreement or this Agreement shall be null and void ab initio. 7. Clawback. In the event the Board determines that the Participant has engaged in fraud, willful misconduct or a violation of Company policy that (a) caused or otherwise contributed materially to the need for a material restatement or adjustment of the Company’s financial results within two (2) years after the period presented, or (b) caused or otherwise contributed materially to a material negative revision of a financial or operating measure on the basis of which incentive compensation was awarded or paid to such covered executive, the Board will review the award of Granted Interests pursuant to this Agreement and all other performance-based compensation awarded to or earned by the Participant during fiscal periods materially affected by the restatement or adjustment or negative revision. For this purpose, “performance-based compensation” includes annual cash incentive bonus awards and all forms of equity-based incentive compensation. If the Board determines that the performance-based compensation would have been materially lower if it had been based on the restated, adjusted or revised results, the Board may, to the extent permitted by applicable law, require the Participant to forfeit and repay to the Company of any portion of such performance-based compensation as it deems appropriate after a review of all relevant facts and circumstances. Without limiting the foregoing, the Granted Interests shall be and remain subject to any incentive compensation clawback or recoupment policy currently in effect or as may be adopted by the Company and, in each case, as may be amended from time to time. No such policy adoption or amendment shall in any event require the prior consent of the Participant. 8. Section 83(b) Election. The Participant may execute and deliver to the Current Caret Issuer and the Internal Revenue Service (the “IRS”) no later than the thirty (30) days following the Grant Date, an election under Section 83(b) of the Code (the “83(b) Election”) in the form attached hereto as Exhibit A. The Participant understands that under Section 83 of the Code, regulations promulgated thereunder, and certain IRS administrative announcements in the absence of an effective election under Section 83(b) of the Code, the excess of the fair market value of the Granted Interests on the date on which any forfeiture restrictions applicable to such Granted Interests lapse over the price paid for the Granted Interests (which is $0) may be reportable as ordinary income at that time. For this purpose, the term “forfeiture restrictions” means the restrictions on transferability and the vesting conditions imposed under this Agreement. The Participant understands that (a) in making the 83(b) Election, the Participant may be taxed at the time the Granted Interests are acquired hereunder to the extent the fair market value of the Granted Interests exceeds the purchase price for such Granted Interests and (b) in order to be effective,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Image10" descr=""/>
                          <pic:cNvPicPr>
                            <a:picLocks noChangeAspect="1" noChangeArrowheads="1"/>
                          </pic:cNvPicPr>
                        </pic:nvPicPr>
                        <pic:blipFill>
                          <a:blip r:embed="rId16"/>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the 83(b) Election must be filed with the IRS within thirty (30) days after the Grant Date. The Participant hereby acknowledges that (i) the foregoing description of the tax consequences is not intended to be a complete analysis of all possible tax consequences of the Granted Interests and, among other things, does not address state, local or foreign income and other tax consequences or all tax considerations that might be relevant to the Participant in light of his or her circumstances or if he or she is subject to special tax rules, (ii) neither the Company nor the Current Caret Issuer has provided, and hereby is not providing, the Participant with legal or tax advice, and has urged the Participant to consult his or her own tax advisor with respect to the taxation consequences of the Granted Interests and (iii) the Current Caret Issuer has not advised the Participant to rely on any determination by it or its representatives as to the fair market value specified in the 83(b) Election and will have no liability to the Participant if the actual fair market value of the Granted Interests on the Grant Date exceeds the amount specified in the 83(b) Election. 9. Confidentiality. The Participant has entered into and shall abide by the Company’s Employee Proprietary Information and Inventions Assignment Agreement (the “Restrictive Covenants Agreement”) and reaffirms Participant’s obligations under the Restrictive Covenants Agreement. The Participant acknowledges and recognizes the highly competitive nature of the businesses of the Company and accordingly agrees, in the Participant’s capacity as an investor and equity holder in the Company and its Affiliates, to the restrictive covenants contained in Restrictive Covenants Agreement. The Participant acknowledges and agrees that the Company’s remedies at law for an actual or threatened breach of any of the provisions of Restrictive Covenants Agreement would be inadequate and the Company would suffer irreparable damages as a result of such breach or threatened breach. 10. Becoming a Member of the Current Caret Issuer. Upon receipt of the Granted Interests, the Participant shall, automatically and without further action on his or her part, be deemed to be a party to, signatory of and bound by the LLC Agreement. If requested by the Company, the Participant agrees to execute and deliver a joinder to LLC Agreement or other the governing instruments of the Current Caret Issuer, together with such other documents as the Current Caret Issuer may require, evidencing the Participant’s agreement to be admitted as a limited member of the Current Caret Issuer and to be bound by and to adhere to the terms of such governing instruments of the Current Caret Issuer. 11. Notices. Any notice necessary under this Agreement shall be addressed to the Current Caret Issuer at its principal executive office and to the Participant at the address appearing in the personnel records of the Company (or one of its Affiliates) for the Participant or to either party at such other address as either party hereto may hereafter designate in writing to the other. Any such notice shall be deemed effective upon receipt thereof by the addressee. 12. Incorporation of the Plan. By entering into this Agreement, the Participant agrees and acknowledges that (a) the Participant has received and read a copy of the Plan and (b) the Granted Interests are subject to the Plan, the terms and provisions of which are hereby incorporated herein by reference. In the event of a conflict between any term or provision contained herein and a term or provision of the Plan, the applicable terms and provisions of the Plan will govern and prevail. In the event of a conflict between any term or provision contained herein or the Plan and a term or provision of the LLC Agreement, the applicable terms and provisions of the LLC Agreement will govern and prevail. 13. Certain Specific Acknowledgements. The Participant acknowledges that the Granted Interests are subject to the Plan provisions under which (a) in certain circumstances, an adjustment may be made to the number of Granted Interests, and (b) the Company and the Current Caret Issuer have full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11" descr=""/>
                          <pic:cNvPicPr>
                            <a:picLocks noChangeAspect="1" noChangeArrowheads="1"/>
                          </pic:cNvPicPr>
                        </pic:nvPicPr>
                        <pic:blipFill>
                          <a:blip r:embed="rId1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discretion to interpret and administer the Plan and this Agreement, and its judgments are final, conclusive and binding. 14. No Right to Continued Service. Neither the Plan nor this Agreement shall be construed as giving the Participant the right to be retained in the employ of, or in any other continuing relationship with, the Company, the Current Caret Issuer or any of their respective Affiliates. 15. Tax Withholding. The Participant shall be required to pay to the Company, the Current Caret Issuer or the applicable Affiliate, and the Company, the Current Caret Issuer or the applicable Affiliate shall have the right and are hereby authorized to withhold from any payment due or transfer made under this Agreement, under the Plan or from any other amount owing to the Participant (including in connection with any transfers), the amount (in cash, securities or other property) of any applicable Federal, state, local or foreign withholding taxes in respect of a Granted Interest, or any payment or transfer under this Agreement or the Plan. The Company, the Current Caret Issuer or any Affiliate shall have the right and are hereby authorized to take such other action as may be necessary, as determined by the Current Caret Issuer, to satisfy all obligations for the payment of such withholding taxes. The Granted Interests are intended to constitute “profits interests” as defined in IRS Revenue Procedure 93-27, 1993-2 C.B. 343, as clarified by IRS Revenue Procedure 2001-43, 2001-2 C.B. 191 and, accordingly, at the time the Granted Interests are acquired hereunder the “liquidation value” of such Granted Interests are intended to equal zero dollars ($0.00). The Current Caret Issuer and the Participant further acknowledge that the Capital Account (as defined in the LLC Agreement) with respect to the Granted Interests on the date such Granted Interests are acquired hereunder shall be equal to zero dollars ($0.00) and, as of such date, Section 15.2(a)(iii) of the LLC Agreement provides that, in the event of a liquidation of the Current Caret Issuer, distributions shall be made to the Members (as defined in the LLC Agreement) in accordance with their Capital Account balances. Current Caret Issuer and its Affiliates agree to withhold taxes in a manner consistent with this treatment unless otherwise required by applicable Law. 16. Severability. If any provision of this Agreement is, becomes or is deemed to be invalid, illegal or unenforceable in any jurisdiction or as to any Person or the Granted Interests, or would disqualify the Granted Interests under any law deemed applicable by the Current Caret Issuer, such provision shall be construed or deemed amended to conform to the applicable Laws, or if it cannot be construed or deemed amended without, in the determination of the Current Caret Issuer, materially altering the intent of this Agreement, such provision shall be stricken as to such jurisdiction, Person or the Granted Interests and the remainder of this Agreement and the Granted Interests shall remain in full force and effect. 17. Governing Law; Disputes. (a) The validity, construction and effect of this Agreement and any rules and regulations relating to the Plan and this Agreement shall be determined in accordance with the laws of the state of New York applicable to agreements made and to be performed entirely within such jurisdiction. (b) Except as otherwise specifically provided herein, the Participant (as a condition of participation in the Plan and receipt of Granted Interests) hereby irrevocably submits to the jurisdiction of the United States District Court for the Southern District of New York (or, if subject matter jurisdiction in that court is not available, in any state court located within the Borough of Manhattan, New York) over any dispute arising out of or relating to the Plan and/or this Agreement. Except as otherwise specifically provided in this Section 18(b), the Participant undertakes not to commence any suit, action or proceeding arising out of or relating to the Plan and/or this Agreement in a forum other than a forum described in this Section 18(b). The agreement to the forum described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Image12" descr=""/>
                          <pic:cNvPicPr>
                            <a:picLocks noChangeAspect="1" noChangeArrowheads="1"/>
                          </pic:cNvPicPr>
                        </pic:nvPicPr>
                        <pic:blipFill>
                          <a:blip r:embed="rId1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in this Section 18(b) is independent of the law that may be applied in any suit, action, or proceeding and the Participant agrees to such forum even if such forum may under applicable law choose to apply non-forum law. The Participant hereby waives, to the fullest extent permitted by applicable law, any objection which they now or hereafter have to personal jurisdiction or to the laying of venue of any such suit, action or proceeding brought in an applicable court described in this Section 18(b), and agrees that the Participant shall not attempt to deny or defeat such personal jurisdiction by motion or other request for leave from any such court. The Participant agrees that, to the fullest extent permitted by applicable law, a final and non-appealable judgment in any suit, action or proceeding brought in any applicable court described in this Section 18(b) shall be conclusive and binding upon the parties and may be enforced in any other jurisdiction. The Participant, the Company and the Current Caret Issuer each hereby waives, to the fullest extent permitted by applicable law, any right it may have to a trial by jury in respect of any suit, action or proceeding arising out of or relating to the Plan and/or this Agreement. 18. Successors and Assigns. This Agreement shall be binding upon, and inure to the benefit of, the Company, the Current Caret Issuer and their respective successors and assigns, and any person acquiring, whether by merger, consolidation, purchase of assets or otherwise, all or substantially all of the Company’s or the Current Caret Issuer’s assets and business. This Agreement, including the restrictions on the Participant’s activities set forth herein, also apply to any parent, subsidiary, affiliate, successor and assign of the Company or the Current Caret Issuer to which the Participant provides services or about which the Participant receives Confidential Information. The Company and the Current Caret Issuer shall have the right to assign this Agreement at their sole election without the need for further notice to or consent by Participant. 19. Survival, All Duties Preserved. Nothing in this Agreement limits or reduces any common law or statutory duty the Participant owes to the Company, nor does this Agreement limit or eliminate any remedies available to the Company for a violation of such duties. This Agreement will survive the expiration or termination of the Participant’s employment with the Company and/or any assignee hereunder and shall, likewise, continue to apply and be valid notwithstanding any change in the Participant’s duties, responsibilities, position, or title. 20. Signature in Counterparts. This Agreement may be signed via facsimile or other electronic means and in counterparts, each of which shall be an original, with the same effect as if the signatures thereto and hereto were upon the same instrument. [Remainder of Page Intentionally Left Blank; Signature Page Follows]</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13" descr=""/>
                          <pic:cNvPicPr>
                            <a:picLocks noChangeAspect="1" noChangeArrowheads="1"/>
                          </pic:cNvPicPr>
                        </pic:nvPicPr>
                        <pic:blipFill>
                          <a:blip r:embed="rId19"/>
                          <a:stretch>
                            <a:fillRect/>
                          </a:stretch>
                        </pic:blipFill>
                        <pic:spPr bwMode="auto">
                          <a:xfrm>
                            <a:off x="0" y="0"/>
                            <a:ext cx="8086725" cy="104775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IN WITNESS WHEREOF, the parties hereto have executed this Caret Profits Interest Award Agreement on the date first written above. Safehold GL Holdings LLC, a Delaware limited liability company By: __________________________ Name: Title: Safehold Inc., a Maryland corporation By: __________________________ Name: Title: Participant: _________________________________ Name: </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14" descr=""/>
                          <pic:cNvPicPr>
                            <a:picLocks noChangeAspect="1" noChangeArrowheads="1"/>
                          </pic:cNvPicPr>
                        </pic:nvPicPr>
                        <pic:blipFill>
                          <a:blip r:embed="rId20"/>
                          <a:stretch>
                            <a:fillRect/>
                          </a:stretch>
                        </pic:blipFill>
                        <pic:spPr bwMode="auto">
                          <a:xfrm>
                            <a:off x="0" y="0"/>
                            <a:ext cx="8086725" cy="104775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 EXHIBT A [Intentionally Omitted]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95651/000110465922089422/tm2223188d1_ex2-1.htm" TargetMode="External"/><Relationship Id="rId3" Type="http://schemas.openxmlformats.org/officeDocument/2006/relationships/hyperlink" Target="https://www.sec.gov/Archives/edgar/data/1095651/000110465922089422/tm2223188d1_ex2-1.htm" TargetMode="External"/><Relationship Id="rId4" Type="http://schemas.openxmlformats.org/officeDocument/2006/relationships/hyperlink" Target="https://www.sec.gov/Archives/edgar/data/1095651/000110465923041210/tm2310731d1_ex3-3.htm" TargetMode="External"/><Relationship Id="rId5" Type="http://schemas.openxmlformats.org/officeDocument/2006/relationships/hyperlink" Target="https://www.sec.gov/Archives/edgar/data/1095651/000110465923041210/tm2310731d1_ex3-4.htm" TargetMode="External"/><Relationship Id="rId6" Type="http://schemas.openxmlformats.org/officeDocument/2006/relationships/hyperlink" Target="https://www.sec.gov/Archives/edgar/data/1095651/000110465926062569/tm2614139d1_ex10-1.htm"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36923</Words>
  <Characters>199394</Characters>
  <CharactersWithSpaces>239303</CharactersWithSpaces>
  <Paragraphs>8355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