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1200" w:type="dxa"/>
        <w:tblCellMar>
          <w:top w:w="0" w:type="dxa"/>
          <w:left w:w="0" w:type="dxa"/>
          <w:bottom w:w="0" w:type="dxa"/>
          <w:right w:w="0" w:type="dxa"/>
        </w:tblCellMar>
      </w:tblPr>
      <w:tr>
        <w:trPr>
          <w:trHeight w:val="41"/>
        </w:trPr>
        <w:tc>
          <w:tcPr>
            <w:tcW w:w="5840" w:type="dxa"/>
            <w:vAlign w:val="bottom"/>
            <w:vMerge w:val="restart"/>
          </w:tcPr>
          <w:p>
            <w:pPr>
              <w:jc w:val="center"/>
              <w:ind w:right="1139"/>
              <w:spacing w:after="0"/>
              <w:rPr>
                <w:sz w:val="20"/>
                <w:szCs w:val="20"/>
                <w:color w:val="auto"/>
              </w:rPr>
            </w:pPr>
            <w:r>
              <w:rPr>
                <w:rFonts w:ascii="Arial" w:cs="Arial" w:eastAsia="Arial" w:hAnsi="Arial"/>
                <w:sz w:val="22"/>
                <w:szCs w:val="22"/>
                <w:b w:val="1"/>
                <w:bCs w:val="1"/>
                <w:color w:val="auto"/>
                <w:w w:val="96"/>
              </w:rPr>
              <w:t>UNITED STATES</w:t>
            </w:r>
          </w:p>
        </w:tc>
        <w:tc>
          <w:tcPr>
            <w:tcW w:w="40" w:type="dxa"/>
            <w:vAlign w:val="bottom"/>
            <w:tcBorders>
              <w:top w:val="single" w:sz="8" w:color="808080"/>
            </w:tcBorders>
          </w:tcPr>
          <w:p>
            <w:pPr>
              <w:spacing w:after="0"/>
              <w:rPr>
                <w:sz w:val="3"/>
                <w:szCs w:val="3"/>
                <w:color w:val="auto"/>
              </w:rPr>
            </w:pPr>
          </w:p>
        </w:tc>
        <w:tc>
          <w:tcPr>
            <w:tcW w:w="2900" w:type="dxa"/>
            <w:vAlign w:val="bottom"/>
            <w:tcBorders>
              <w:top w:val="single" w:sz="8" w:color="808080"/>
              <w:bottom w:val="single" w:sz="8" w:color="2C2C2C"/>
            </w:tcBorders>
            <w:gridSpan w:val="2"/>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584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2940" w:type="dxa"/>
            <w:vAlign w:val="bottom"/>
            <w:gridSpan w:val="3"/>
          </w:tcPr>
          <w:p>
            <w:pPr>
              <w:ind w:left="7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21"/>
        </w:trPr>
        <w:tc>
          <w:tcPr>
            <w:tcW w:w="5840" w:type="dxa"/>
            <w:vAlign w:val="bottom"/>
            <w:vMerge w:val="restart"/>
          </w:tcPr>
          <w:p>
            <w:pPr>
              <w:jc w:val="center"/>
              <w:ind w:right="1139"/>
              <w:spacing w:after="0"/>
              <w:rPr>
                <w:sz w:val="20"/>
                <w:szCs w:val="20"/>
                <w:color w:val="auto"/>
              </w:rPr>
            </w:pPr>
            <w:r>
              <w:rPr>
                <w:rFonts w:ascii="Arial" w:cs="Arial" w:eastAsia="Arial" w:hAnsi="Arial"/>
                <w:sz w:val="22"/>
                <w:szCs w:val="22"/>
                <w:b w:val="1"/>
                <w:bCs w:val="1"/>
                <w:color w:val="auto"/>
                <w:w w:val="98"/>
              </w:rPr>
              <w:t>SECURITIES AND EXCHANGE COMMISSION</w:t>
            </w:r>
          </w:p>
        </w:tc>
        <w:tc>
          <w:tcPr>
            <w:tcW w:w="40" w:type="dxa"/>
            <w:vAlign w:val="bottom"/>
          </w:tcPr>
          <w:p>
            <w:pPr>
              <w:spacing w:after="0" w:line="20" w:lineRule="exact"/>
              <w:rPr>
                <w:sz w:val="1"/>
                <w:szCs w:val="1"/>
                <w:color w:val="auto"/>
              </w:rPr>
            </w:pPr>
          </w:p>
        </w:tc>
        <w:tc>
          <w:tcPr>
            <w:tcW w:w="1740" w:type="dxa"/>
            <w:vAlign w:val="bottom"/>
            <w:tcBorders>
              <w:top w:val="single" w:sz="8" w:color="808080"/>
              <w:bottom w:val="single" w:sz="8" w:color="2C2C2C"/>
            </w:tcBorders>
          </w:tcPr>
          <w:p>
            <w:pPr>
              <w:spacing w:after="0" w:line="20" w:lineRule="exact"/>
              <w:rPr>
                <w:sz w:val="1"/>
                <w:szCs w:val="1"/>
                <w:color w:val="auto"/>
              </w:rPr>
            </w:pPr>
          </w:p>
        </w:tc>
        <w:tc>
          <w:tcPr>
            <w:tcW w:w="11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584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17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1160" w:type="dxa"/>
            <w:vAlign w:val="bottom"/>
          </w:tcPr>
          <w:p>
            <w:pPr>
              <w:jc w:val="right"/>
              <w:spacing w:after="0"/>
              <w:rPr>
                <w:sz w:val="20"/>
                <w:szCs w:val="20"/>
                <w:color w:val="auto"/>
              </w:rPr>
            </w:pPr>
            <w:r>
              <w:rPr>
                <w:rFonts w:ascii="Arial" w:cs="Arial" w:eastAsia="Arial" w:hAnsi="Arial"/>
                <w:sz w:val="12"/>
                <w:szCs w:val="12"/>
                <w:color w:val="auto"/>
              </w:rPr>
              <w:t>3235-0080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0"/>
        </w:trPr>
        <w:tc>
          <w:tcPr>
            <w:tcW w:w="5840" w:type="dxa"/>
            <w:vAlign w:val="bottom"/>
            <w:vMerge w:val="restart"/>
          </w:tcPr>
          <w:p>
            <w:pPr>
              <w:jc w:val="center"/>
              <w:ind w:right="1139"/>
              <w:spacing w:after="0"/>
              <w:rPr>
                <w:sz w:val="20"/>
                <w:szCs w:val="20"/>
                <w:color w:val="auto"/>
              </w:rPr>
            </w:pPr>
            <w:r>
              <w:rPr>
                <w:rFonts w:ascii="Arial" w:cs="Arial" w:eastAsia="Arial" w:hAnsi="Arial"/>
                <w:sz w:val="18"/>
                <w:szCs w:val="18"/>
                <w:color w:val="auto"/>
                <w:w w:val="97"/>
              </w:rPr>
              <w:t>Washington, D.C. 20549</w:t>
            </w:r>
          </w:p>
        </w:tc>
        <w:tc>
          <w:tcPr>
            <w:tcW w:w="40" w:type="dxa"/>
            <w:vAlign w:val="bottom"/>
          </w:tcPr>
          <w:p>
            <w:pPr>
              <w:spacing w:after="0"/>
              <w:rPr>
                <w:sz w:val="13"/>
                <w:szCs w:val="13"/>
                <w:color w:val="auto"/>
              </w:rPr>
            </w:pPr>
          </w:p>
        </w:tc>
        <w:tc>
          <w:tcPr>
            <w:tcW w:w="1740" w:type="dxa"/>
            <w:vAlign w:val="bottom"/>
          </w:tcPr>
          <w:p>
            <w:pPr>
              <w:ind w:left="80"/>
              <w:spacing w:after="0"/>
              <w:rPr>
                <w:sz w:val="20"/>
                <w:szCs w:val="20"/>
                <w:color w:val="auto"/>
              </w:rPr>
            </w:pPr>
            <w:r>
              <w:rPr>
                <w:rFonts w:ascii="Arial" w:cs="Arial" w:eastAsia="Arial" w:hAnsi="Arial"/>
                <w:sz w:val="12"/>
                <w:szCs w:val="12"/>
                <w:color w:val="auto"/>
              </w:rPr>
              <w:t>Expires:</w:t>
            </w:r>
          </w:p>
        </w:tc>
        <w:tc>
          <w:tcPr>
            <w:tcW w:w="1200" w:type="dxa"/>
            <w:vAlign w:val="bottom"/>
            <w:gridSpan w:val="2"/>
          </w:tcPr>
          <w:p>
            <w:pPr>
              <w:jc w:val="right"/>
              <w:ind w:right="100"/>
              <w:spacing w:after="0"/>
              <w:rPr>
                <w:sz w:val="20"/>
                <w:szCs w:val="20"/>
                <w:color w:val="auto"/>
              </w:rPr>
            </w:pPr>
            <w:r>
              <w:rPr>
                <w:rFonts w:ascii="Arial" w:cs="Arial" w:eastAsia="Arial" w:hAnsi="Arial"/>
                <w:sz w:val="12"/>
                <w:szCs w:val="12"/>
                <w:color w:val="auto"/>
              </w:rPr>
              <w:t>March 31, 2018</w:t>
            </w:r>
          </w:p>
        </w:tc>
        <w:tc>
          <w:tcPr>
            <w:tcW w:w="0" w:type="dxa"/>
            <w:vAlign w:val="bottom"/>
          </w:tcPr>
          <w:p>
            <w:pPr>
              <w:spacing w:after="0"/>
              <w:rPr>
                <w:sz w:val="1"/>
                <w:szCs w:val="1"/>
                <w:color w:val="auto"/>
              </w:rPr>
            </w:pPr>
          </w:p>
        </w:tc>
      </w:tr>
      <w:tr>
        <w:trPr>
          <w:trHeight w:val="139"/>
        </w:trPr>
        <w:tc>
          <w:tcPr>
            <w:tcW w:w="58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740" w:type="dxa"/>
            <w:vAlign w:val="bottom"/>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1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0"/>
        </w:trPr>
        <w:tc>
          <w:tcPr>
            <w:tcW w:w="5840" w:type="dxa"/>
            <w:vAlign w:val="bottom"/>
          </w:tcPr>
          <w:p>
            <w:pPr>
              <w:spacing w:after="0"/>
              <w:rPr>
                <w:sz w:val="4"/>
                <w:szCs w:val="4"/>
                <w:color w:val="auto"/>
              </w:rPr>
            </w:pPr>
          </w:p>
        </w:tc>
        <w:tc>
          <w:tcPr>
            <w:tcW w:w="40" w:type="dxa"/>
            <w:vAlign w:val="bottom"/>
          </w:tcPr>
          <w:p>
            <w:pPr>
              <w:spacing w:after="0"/>
              <w:rPr>
                <w:sz w:val="4"/>
                <w:szCs w:val="4"/>
                <w:color w:val="auto"/>
              </w:rPr>
            </w:pPr>
          </w:p>
        </w:tc>
        <w:tc>
          <w:tcPr>
            <w:tcW w:w="1740" w:type="dxa"/>
            <w:vAlign w:val="bottom"/>
            <w:vMerge w:val="continue"/>
          </w:tcPr>
          <w:p>
            <w:pPr>
              <w:spacing w:after="0"/>
              <w:rPr>
                <w:sz w:val="4"/>
                <w:szCs w:val="4"/>
                <w:color w:val="auto"/>
              </w:rPr>
            </w:pPr>
          </w:p>
        </w:tc>
        <w:tc>
          <w:tcPr>
            <w:tcW w:w="116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rPr>
          <w:sz w:val="24"/>
          <w:szCs w:val="24"/>
          <w:color w:val="auto"/>
        </w:rPr>
        <w:sectPr>
          <w:pgSz w:w="11900" w:h="16838" w:orient="portrait"/>
          <w:cols w:equalWidth="0" w:num="1">
            <w:col w:w="10020"/>
          </w:cols>
          <w:pgMar w:left="920" w:top="268" w:right="959" w:bottom="1440" w:gutter="0" w:footer="0" w:header="0"/>
        </w:sectPr>
      </w:pPr>
      <w:r>
        <w:rPr>
          <w:sz w:val="24"/>
          <w:szCs w:val="24"/>
          <w:color w:val="auto"/>
        </w:rPr>
        <w:drawing>
          <wp:anchor simplePos="0" relativeHeight="251657728" behindDoc="1" locked="0" layoutInCell="0" allowOverlap="1">
            <wp:simplePos x="0" y="0"/>
            <wp:positionH relativeFrom="page">
              <wp:posOffset>6899275</wp:posOffset>
            </wp:positionH>
            <wp:positionV relativeFrom="page">
              <wp:posOffset>170180</wp:posOffset>
            </wp:positionV>
            <wp:extent cx="59690" cy="7886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788670"/>
                    </a:xfrm>
                    <a:prstGeom prst="rect">
                      <a:avLst/>
                    </a:prstGeom>
                    <a:noFill/>
                  </pic:spPr>
                </pic:pic>
              </a:graphicData>
            </a:graphic>
          </wp:anchor>
        </w:drawing>
        <w:drawing>
          <wp:anchor simplePos="0" relativeHeight="251657728" behindDoc="1" locked="0" layoutInCell="0" allowOverlap="1">
            <wp:simplePos x="0" y="0"/>
            <wp:positionH relativeFrom="page">
              <wp:posOffset>5047615</wp:posOffset>
            </wp:positionH>
            <wp:positionV relativeFrom="page">
              <wp:posOffset>170180</wp:posOffset>
            </wp:positionV>
            <wp:extent cx="59690" cy="7886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788670"/>
                    </a:xfrm>
                    <a:prstGeom prst="rect">
                      <a:avLst/>
                    </a:prstGeom>
                    <a:noFill/>
                  </pic:spPr>
                </pic:pic>
              </a:graphicData>
            </a:graphic>
          </wp:anchor>
        </w:drawing>
      </w:r>
    </w:p>
    <w:p>
      <w:pPr>
        <w:jc w:val="center"/>
        <w:ind w:left="680"/>
        <w:spacing w:after="0"/>
        <w:rPr>
          <w:sz w:val="20"/>
          <w:szCs w:val="20"/>
          <w:color w:val="auto"/>
        </w:rPr>
      </w:pPr>
      <w:r>
        <w:rPr>
          <w:rFonts w:ascii="Arial" w:cs="Arial" w:eastAsia="Arial" w:hAnsi="Arial"/>
          <w:sz w:val="21"/>
          <w:szCs w:val="21"/>
          <w:b w:val="1"/>
          <w:bCs w:val="1"/>
          <w:color w:val="auto"/>
        </w:rPr>
        <w:t>FORM 25</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0"/>
        </w:trPr>
        <w:tc>
          <w:tcPr>
            <w:tcW w:w="40" w:type="dxa"/>
            <w:vAlign w:val="bottom"/>
          </w:tcPr>
          <w:p>
            <w:pPr>
              <w:spacing w:after="0"/>
              <w:rPr>
                <w:sz w:val="13"/>
                <w:szCs w:val="13"/>
                <w:color w:val="auto"/>
              </w:rPr>
            </w:pPr>
          </w:p>
        </w:tc>
        <w:tc>
          <w:tcPr>
            <w:tcW w:w="19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1000" w:type="dxa"/>
            <w:vAlign w:val="bottom"/>
          </w:tcPr>
          <w:p>
            <w:pPr>
              <w:jc w:val="right"/>
              <w:spacing w:after="0"/>
              <w:rPr>
                <w:sz w:val="20"/>
                <w:szCs w:val="20"/>
                <w:color w:val="auto"/>
              </w:rPr>
            </w:pPr>
            <w:r>
              <w:rPr>
                <w:rFonts w:ascii="Arial" w:cs="Arial" w:eastAsia="Arial" w:hAnsi="Arial"/>
                <w:sz w:val="12"/>
                <w:szCs w:val="12"/>
                <w:color w:val="auto"/>
              </w:rPr>
              <w:t>1.7</w:t>
            </w:r>
          </w:p>
        </w:tc>
        <w:tc>
          <w:tcPr>
            <w:tcW w:w="40" w:type="dxa"/>
            <w:vAlign w:val="bottom"/>
          </w:tcPr>
          <w:p>
            <w:pPr>
              <w:spacing w:after="0"/>
              <w:rPr>
                <w:sz w:val="13"/>
                <w:szCs w:val="13"/>
                <w:color w:val="auto"/>
              </w:rPr>
            </w:pPr>
          </w:p>
        </w:tc>
      </w:tr>
      <w:tr>
        <w:trPr>
          <w:trHeight w:val="43"/>
        </w:trPr>
        <w:tc>
          <w:tcPr>
            <w:tcW w:w="40" w:type="dxa"/>
            <w:vAlign w:val="bottom"/>
          </w:tcPr>
          <w:p>
            <w:pPr>
              <w:spacing w:after="0"/>
              <w:rPr>
                <w:sz w:val="3"/>
                <w:szCs w:val="3"/>
                <w:color w:val="auto"/>
              </w:rPr>
            </w:pPr>
          </w:p>
        </w:tc>
        <w:tc>
          <w:tcPr>
            <w:tcW w:w="1900" w:type="dxa"/>
            <w:vAlign w:val="bottom"/>
            <w:tcBorders>
              <w:bottom w:val="single" w:sz="8" w:color="808080"/>
            </w:tcBorders>
          </w:tcPr>
          <w:p>
            <w:pPr>
              <w:spacing w:after="0"/>
              <w:rPr>
                <w:sz w:val="3"/>
                <w:szCs w:val="3"/>
                <w:color w:val="auto"/>
              </w:rPr>
            </w:pPr>
          </w:p>
        </w:tc>
        <w:tc>
          <w:tcPr>
            <w:tcW w:w="10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r>
      <w:tr>
        <w:trPr>
          <w:trHeight w:val="21"/>
        </w:trPr>
        <w:tc>
          <w:tcPr>
            <w:tcW w:w="40" w:type="dxa"/>
            <w:vAlign w:val="bottom"/>
            <w:tcBorders>
              <w:bottom w:val="single" w:sz="8" w:color="2C2C2C"/>
            </w:tcBorders>
          </w:tcPr>
          <w:p>
            <w:pPr>
              <w:spacing w:after="0" w:line="20" w:lineRule="exact"/>
              <w:rPr>
                <w:sz w:val="1"/>
                <w:szCs w:val="1"/>
                <w:color w:val="auto"/>
              </w:rPr>
            </w:pPr>
          </w:p>
        </w:tc>
        <w:tc>
          <w:tcPr>
            <w:tcW w:w="1900" w:type="dxa"/>
            <w:vAlign w:val="bottom"/>
            <w:tcBorders>
              <w:bottom w:val="single" w:sz="8" w:color="2C2C2C"/>
            </w:tcBorders>
          </w:tcPr>
          <w:p>
            <w:pPr>
              <w:spacing w:after="0" w:line="20" w:lineRule="exact"/>
              <w:rPr>
                <w:sz w:val="1"/>
                <w:szCs w:val="1"/>
                <w:color w:val="auto"/>
              </w:rPr>
            </w:pPr>
          </w:p>
        </w:tc>
        <w:tc>
          <w:tcPr>
            <w:tcW w:w="10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r>
    </w:tbl>
    <w:p>
      <w:pPr>
        <w:spacing w:after="0" w:line="26" w:lineRule="exact"/>
        <w:rPr>
          <w:sz w:val="24"/>
          <w:szCs w:val="24"/>
          <w:color w:val="auto"/>
        </w:rPr>
      </w:pPr>
    </w:p>
    <w:p>
      <w:pPr>
        <w:sectPr>
          <w:pgSz w:w="11900" w:h="16838" w:orient="portrait"/>
          <w:cols w:equalWidth="0" w:num="2">
            <w:col w:w="6320" w:space="720"/>
            <w:col w:w="2980"/>
          </w:cols>
          <w:pgMar w:left="920" w:top="268" w:right="959" w:bottom="1440" w:gutter="0" w:footer="0" w:header="0"/>
          <w:type w:val="continuous"/>
        </w:sectPr>
      </w:pPr>
    </w:p>
    <w:p>
      <w:pPr>
        <w:ind w:left="1420"/>
        <w:spacing w:after="0"/>
        <w:rPr>
          <w:sz w:val="20"/>
          <w:szCs w:val="20"/>
          <w:color w:val="auto"/>
        </w:rPr>
      </w:pPr>
      <w:r>
        <w:rPr>
          <w:rFonts w:ascii="Arial" w:cs="Arial" w:eastAsia="Arial" w:hAnsi="Arial"/>
          <w:sz w:val="22"/>
          <w:szCs w:val="22"/>
          <w:b w:val="1"/>
          <w:bCs w:val="1"/>
          <w:color w:val="auto"/>
        </w:rPr>
        <w:t>NOTIFICATION OF REMOVAL FROM LISTING AND/OR REGISTRATION</w:t>
      </w:r>
    </w:p>
    <w:p>
      <w:pPr>
        <w:spacing w:after="0" w:line="12" w:lineRule="exact"/>
        <w:rPr>
          <w:sz w:val="24"/>
          <w:szCs w:val="24"/>
          <w:color w:val="auto"/>
        </w:rPr>
      </w:pPr>
    </w:p>
    <w:p>
      <w:pPr>
        <w:ind w:left="1340"/>
        <w:spacing w:after="0"/>
        <w:rPr>
          <w:sz w:val="20"/>
          <w:szCs w:val="20"/>
          <w:color w:val="auto"/>
        </w:rPr>
      </w:pPr>
      <w:r>
        <w:rPr>
          <w:rFonts w:ascii="Arial" w:cs="Arial" w:eastAsia="Arial" w:hAnsi="Arial"/>
          <w:sz w:val="22"/>
          <w:szCs w:val="22"/>
          <w:b w:val="1"/>
          <w:bCs w:val="1"/>
          <w:color w:val="auto"/>
        </w:rPr>
        <w:t>UNDER SECTION 12(b) OF THE SECURITIES EXCHANGE ACT OF 1934.</w:t>
      </w:r>
    </w:p>
    <w:p>
      <w:pPr>
        <w:spacing w:after="0" w:line="23" w:lineRule="exact"/>
        <w:rPr>
          <w:sz w:val="24"/>
          <w:szCs w:val="24"/>
          <w:color w:val="auto"/>
        </w:rPr>
      </w:pPr>
    </w:p>
    <w:p>
      <w:pPr>
        <w:ind w:left="5020"/>
        <w:spacing w:after="0"/>
        <w:rPr>
          <w:rFonts w:ascii="Arial" w:cs="Arial" w:eastAsia="Arial" w:hAnsi="Arial"/>
          <w:sz w:val="18"/>
          <w:szCs w:val="18"/>
          <w:color w:val="auto"/>
        </w:rPr>
      </w:pPr>
      <w:r>
        <w:rPr>
          <w:rFonts w:ascii="Arial" w:cs="Arial" w:eastAsia="Arial" w:hAnsi="Arial"/>
          <w:sz w:val="18"/>
          <w:szCs w:val="18"/>
          <w:color w:val="auto"/>
        </w:rPr>
        <w:t xml:space="preserve">Commission File Number </w:t>
      </w:r>
      <w:hyperlink r:id="rId10">
        <w:r>
          <w:rPr>
            <w:rFonts w:ascii="Times New Roman" w:cs="Times New Roman" w:eastAsia="Times New Roman" w:hAnsi="Times New Roman"/>
            <w:sz w:val="21"/>
            <w:szCs w:val="21"/>
            <w:u w:val="single" w:color="auto"/>
            <w:color w:val="0000EE"/>
          </w:rPr>
          <w:t>001-38122</w:t>
        </w:r>
      </w:hyperlink>
    </w:p>
    <w:p>
      <w:pPr>
        <w:spacing w:after="0" w:line="136" w:lineRule="exact"/>
        <w:rPr>
          <w:sz w:val="24"/>
          <w:szCs w:val="24"/>
          <w:color w:val="auto"/>
        </w:rPr>
      </w:pPr>
    </w:p>
    <w:p>
      <w:pPr>
        <w:ind w:left="3100"/>
        <w:spacing w:after="0"/>
        <w:tabs>
          <w:tab w:leader="none" w:pos="3960" w:val="left"/>
        </w:tabs>
        <w:rPr>
          <w:rFonts w:ascii="Times New Roman" w:cs="Times New Roman" w:eastAsia="Times New Roman" w:hAnsi="Times New Roman"/>
          <w:sz w:val="22"/>
          <w:szCs w:val="22"/>
          <w:u w:val="single" w:color="auto"/>
          <w:color w:val="0000EE"/>
        </w:rPr>
      </w:pPr>
      <w:r>
        <w:rPr>
          <w:rFonts w:ascii="Arial" w:cs="Arial" w:eastAsia="Arial" w:hAnsi="Arial"/>
          <w:sz w:val="18"/>
          <w:szCs w:val="18"/>
          <w:color w:val="auto"/>
        </w:rPr>
        <w:t>Issuer:</w:t>
      </w:r>
      <w:r>
        <w:rPr>
          <w:sz w:val="20"/>
          <w:szCs w:val="20"/>
          <w:color w:val="auto"/>
        </w:rPr>
        <w:tab/>
      </w:r>
      <w:hyperlink r:id="rId11">
        <w:r>
          <w:rPr>
            <w:rFonts w:ascii="Times New Roman" w:cs="Times New Roman" w:eastAsia="Times New Roman" w:hAnsi="Times New Roman"/>
            <w:sz w:val="22"/>
            <w:szCs w:val="22"/>
            <w:u w:val="single" w:color="auto"/>
            <w:color w:val="0000EE"/>
          </w:rPr>
          <w:t>Safehold Inc.</w:t>
        </w:r>
      </w:hyperlink>
    </w:p>
    <w:p>
      <w:pPr>
        <w:spacing w:after="0" w:line="57" w:lineRule="exact"/>
        <w:rPr>
          <w:sz w:val="24"/>
          <w:szCs w:val="24"/>
          <w:color w:val="auto"/>
        </w:rPr>
      </w:pPr>
    </w:p>
    <w:p>
      <w:pPr>
        <w:ind w:left="3100"/>
        <w:spacing w:after="0"/>
        <w:rPr>
          <w:sz w:val="20"/>
          <w:szCs w:val="20"/>
          <w:color w:val="auto"/>
        </w:rPr>
      </w:pPr>
      <w:r>
        <w:rPr>
          <w:rFonts w:ascii="Arial" w:cs="Arial" w:eastAsia="Arial" w:hAnsi="Arial"/>
          <w:sz w:val="18"/>
          <w:szCs w:val="18"/>
          <w:color w:val="auto"/>
        </w:rPr>
        <w:t xml:space="preserve">Exchange: </w:t>
      </w:r>
      <w:r>
        <w:rPr>
          <w:rFonts w:ascii="Times New Roman" w:cs="Times New Roman" w:eastAsia="Times New Roman" w:hAnsi="Times New Roman"/>
          <w:sz w:val="18"/>
          <w:szCs w:val="18"/>
          <w:color w:val="0000FF"/>
        </w:rPr>
        <w:t>NEW YORK STOCK EXCHANGE LLC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412750</wp:posOffset>
            </wp:positionH>
            <wp:positionV relativeFrom="paragraph">
              <wp:posOffset>48895</wp:posOffset>
            </wp:positionV>
            <wp:extent cx="553783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pacing w:after="0" w:line="110" w:lineRule="exact"/>
        <w:rPr>
          <w:sz w:val="24"/>
          <w:szCs w:val="24"/>
          <w:color w:val="auto"/>
        </w:rPr>
      </w:pPr>
    </w:p>
    <w:p>
      <w:pPr>
        <w:ind w:left="660"/>
        <w:spacing w:after="0"/>
        <w:rPr>
          <w:sz w:val="20"/>
          <w:szCs w:val="20"/>
          <w:color w:val="auto"/>
        </w:rPr>
      </w:pPr>
      <w:r>
        <w:rPr>
          <w:rFonts w:ascii="Arial" w:cs="Arial" w:eastAsia="Arial" w:hAnsi="Arial"/>
          <w:sz w:val="12"/>
          <w:szCs w:val="12"/>
          <w:color w:val="auto"/>
        </w:rPr>
        <w:t>(Exact name of Issuer as specified in its charter, and name of Exchange where security is listed and/or registered)</w:t>
      </w:r>
    </w:p>
    <w:p>
      <w:pPr>
        <w:spacing w:after="0" w:line="91" w:lineRule="exact"/>
        <w:rPr>
          <w:sz w:val="24"/>
          <w:szCs w:val="24"/>
          <w:color w:val="auto"/>
        </w:rPr>
      </w:pPr>
    </w:p>
    <w:p>
      <w:pPr>
        <w:ind w:left="2280"/>
        <w:spacing w:after="0"/>
        <w:tabs>
          <w:tab w:leader="none" w:pos="3820" w:val="left"/>
        </w:tabs>
        <w:rPr>
          <w:sz w:val="20"/>
          <w:szCs w:val="20"/>
          <w:color w:val="auto"/>
        </w:rPr>
      </w:pPr>
      <w:r>
        <w:rPr>
          <w:rFonts w:ascii="Arial" w:cs="Arial" w:eastAsia="Arial" w:hAnsi="Arial"/>
          <w:sz w:val="18"/>
          <w:szCs w:val="18"/>
          <w:color w:val="auto"/>
        </w:rPr>
        <w:t>Address:</w:t>
      </w:r>
      <w:r>
        <w:rPr>
          <w:sz w:val="20"/>
          <w:szCs w:val="20"/>
          <w:color w:val="auto"/>
        </w:rPr>
        <w:tab/>
      </w:r>
      <w:r>
        <w:rPr>
          <w:rFonts w:ascii="Times New Roman" w:cs="Times New Roman" w:eastAsia="Times New Roman" w:hAnsi="Times New Roman"/>
          <w:sz w:val="18"/>
          <w:szCs w:val="18"/>
          <w:color w:val="0000FF"/>
        </w:rPr>
        <w:t>c/o iStar, 1114 Avenue of the Americas</w:t>
      </w:r>
    </w:p>
    <w:p>
      <w:pPr>
        <w:spacing w:after="0" w:line="62" w:lineRule="exact"/>
        <w:rPr>
          <w:sz w:val="24"/>
          <w:szCs w:val="24"/>
          <w:color w:val="auto"/>
        </w:rPr>
      </w:pPr>
    </w:p>
    <w:tbl>
      <w:tblPr>
        <w:tblLayout w:type="fixed"/>
        <w:tblInd w:w="2280" w:type="dxa"/>
        <w:tblCellMar>
          <w:top w:w="0" w:type="dxa"/>
          <w:left w:w="0" w:type="dxa"/>
          <w:bottom w:w="0" w:type="dxa"/>
          <w:right w:w="0" w:type="dxa"/>
        </w:tblCellMar>
      </w:tblPr>
      <w:tr>
        <w:trPr>
          <w:trHeight w:val="228"/>
        </w:trPr>
        <w:tc>
          <w:tcPr>
            <w:tcW w:w="3580" w:type="dxa"/>
            <w:vAlign w:val="bottom"/>
          </w:tcPr>
          <w:p>
            <w:pPr>
              <w:ind w:left="1560"/>
              <w:spacing w:after="0"/>
              <w:rPr>
                <w:sz w:val="20"/>
                <w:szCs w:val="20"/>
                <w:color w:val="auto"/>
              </w:rPr>
            </w:pPr>
            <w:r>
              <w:rPr>
                <w:rFonts w:ascii="Times New Roman" w:cs="Times New Roman" w:eastAsia="Times New Roman" w:hAnsi="Times New Roman"/>
                <w:sz w:val="18"/>
                <w:szCs w:val="18"/>
                <w:color w:val="0000FF"/>
              </w:rPr>
              <w:t>New York   NEW YORK</w:t>
            </w:r>
          </w:p>
        </w:tc>
        <w:tc>
          <w:tcPr>
            <w:tcW w:w="1880" w:type="dxa"/>
            <w:vAlign w:val="bottom"/>
          </w:tcPr>
          <w:p>
            <w:pPr>
              <w:jc w:val="right"/>
              <w:ind w:right="1212"/>
              <w:spacing w:after="0"/>
              <w:rPr>
                <w:sz w:val="20"/>
                <w:szCs w:val="20"/>
                <w:color w:val="auto"/>
              </w:rPr>
            </w:pPr>
            <w:r>
              <w:rPr>
                <w:rFonts w:ascii="Times New Roman" w:cs="Times New Roman" w:eastAsia="Times New Roman" w:hAnsi="Times New Roman"/>
                <w:sz w:val="18"/>
                <w:szCs w:val="18"/>
                <w:color w:val="0000FF"/>
              </w:rPr>
              <w:t>10036</w:t>
            </w:r>
          </w:p>
        </w:tc>
      </w:tr>
      <w:tr>
        <w:trPr>
          <w:trHeight w:val="274"/>
        </w:trPr>
        <w:tc>
          <w:tcPr>
            <w:tcW w:w="3580" w:type="dxa"/>
            <w:vAlign w:val="bottom"/>
          </w:tcPr>
          <w:p>
            <w:pPr>
              <w:spacing w:after="0"/>
              <w:rPr>
                <w:sz w:val="20"/>
                <w:szCs w:val="20"/>
                <w:color w:val="auto"/>
              </w:rPr>
            </w:pPr>
            <w:r>
              <w:rPr>
                <w:rFonts w:ascii="Arial" w:cs="Arial" w:eastAsia="Arial" w:hAnsi="Arial"/>
                <w:sz w:val="18"/>
                <w:szCs w:val="18"/>
                <w:color w:val="auto"/>
              </w:rPr>
              <w:t>Telephone number:</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(212) 930-9400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412750</wp:posOffset>
            </wp:positionH>
            <wp:positionV relativeFrom="paragraph">
              <wp:posOffset>33020</wp:posOffset>
            </wp:positionV>
            <wp:extent cx="553783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pacing w:after="0" w:line="86" w:lineRule="exact"/>
        <w:rPr>
          <w:sz w:val="24"/>
          <w:szCs w:val="24"/>
          <w:color w:val="auto"/>
        </w:rPr>
      </w:pPr>
    </w:p>
    <w:p>
      <w:pPr>
        <w:ind w:left="660"/>
        <w:spacing w:after="0"/>
        <w:rPr>
          <w:sz w:val="20"/>
          <w:szCs w:val="20"/>
          <w:color w:val="auto"/>
        </w:rPr>
      </w:pPr>
      <w:r>
        <w:rPr>
          <w:rFonts w:ascii="Arial" w:cs="Arial" w:eastAsia="Arial" w:hAnsi="Arial"/>
          <w:sz w:val="12"/>
          <w:szCs w:val="12"/>
          <w:color w:val="auto"/>
        </w:rPr>
        <w:t>(Address, including zip code, and telephone number, including area code, of Issuer's principal executive offices)</w:t>
      </w:r>
    </w:p>
    <w:p>
      <w:pPr>
        <w:spacing w:after="0" w:line="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412750</wp:posOffset>
            </wp:positionH>
            <wp:positionV relativeFrom="paragraph">
              <wp:posOffset>23495</wp:posOffset>
            </wp:positionV>
            <wp:extent cx="553783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pacing w:after="0" w:line="70" w:lineRule="exact"/>
        <w:rPr>
          <w:sz w:val="24"/>
          <w:szCs w:val="24"/>
          <w:color w:val="auto"/>
        </w:rPr>
      </w:pPr>
    </w:p>
    <w:p>
      <w:pPr>
        <w:ind w:left="660"/>
        <w:spacing w:after="0"/>
        <w:rPr>
          <w:sz w:val="20"/>
          <w:szCs w:val="20"/>
          <w:color w:val="auto"/>
        </w:rPr>
      </w:pPr>
      <w:r>
        <w:rPr>
          <w:rFonts w:ascii="Arial" w:cs="Arial" w:eastAsia="Arial" w:hAnsi="Arial"/>
          <w:sz w:val="12"/>
          <w:szCs w:val="12"/>
          <w:color w:val="auto"/>
        </w:rPr>
        <w:t>(Description of class of securities)</w:t>
      </w:r>
    </w:p>
    <w:p>
      <w:pPr>
        <w:spacing w:after="0" w:line="93" w:lineRule="exact"/>
        <w:rPr>
          <w:sz w:val="24"/>
          <w:szCs w:val="24"/>
          <w:color w:val="auto"/>
        </w:rPr>
      </w:pPr>
    </w:p>
    <w:p>
      <w:pPr>
        <w:ind w:right="860"/>
        <w:spacing w:after="0" w:line="262" w:lineRule="auto"/>
        <w:rPr>
          <w:sz w:val="20"/>
          <w:szCs w:val="20"/>
          <w:color w:val="auto"/>
        </w:rPr>
      </w:pPr>
      <w:r>
        <w:rPr>
          <w:rFonts w:ascii="Arial" w:cs="Arial" w:eastAsia="Arial" w:hAnsi="Arial"/>
          <w:sz w:val="18"/>
          <w:szCs w:val="18"/>
          <w:color w:val="auto"/>
        </w:rPr>
        <w:t>Please place an X in the box to designate the rule provision relied upon to strike the class of securities from listing and registration:</w:t>
      </w:r>
    </w:p>
    <w:p>
      <w:pPr>
        <w:spacing w:after="0" w:line="209" w:lineRule="exact"/>
        <w:rPr>
          <w:sz w:val="24"/>
          <w:szCs w:val="24"/>
          <w:color w:val="auto"/>
        </w:rPr>
      </w:pPr>
    </w:p>
    <w:p>
      <w:pPr>
        <w:ind w:left="820"/>
        <w:spacing w:after="0"/>
        <w:rPr>
          <w:sz w:val="20"/>
          <w:szCs w:val="20"/>
          <w:color w:val="auto"/>
        </w:rPr>
      </w:pPr>
      <w:r>
        <w:rPr>
          <w:sz w:val="1"/>
          <w:szCs w:val="1"/>
          <w:color w:val="auto"/>
        </w:rPr>
        <w:drawing>
          <wp:inline distT="0" distB="0" distL="0" distR="0">
            <wp:extent cx="111125" cy="11112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18"/>
          <w:szCs w:val="18"/>
          <w:color w:val="auto"/>
        </w:rPr>
        <w:t xml:space="preserve"> 17 CFR 240.12d2-2(a)(1)</w:t>
      </w:r>
    </w:p>
    <w:p>
      <w:pPr>
        <w:spacing w:after="0" w:line="205" w:lineRule="exact"/>
        <w:rPr>
          <w:sz w:val="24"/>
          <w:szCs w:val="24"/>
          <w:color w:val="auto"/>
        </w:rPr>
      </w:pPr>
    </w:p>
    <w:p>
      <w:pPr>
        <w:ind w:left="820"/>
        <w:spacing w:after="0"/>
        <w:rPr>
          <w:sz w:val="20"/>
          <w:szCs w:val="20"/>
          <w:color w:val="auto"/>
        </w:rPr>
      </w:pPr>
      <w:r>
        <w:rPr>
          <w:sz w:val="1"/>
          <w:szCs w:val="1"/>
          <w:color w:val="auto"/>
        </w:rPr>
        <w:drawing>
          <wp:inline distT="0" distB="0" distL="0" distR="0">
            <wp:extent cx="111125" cy="11112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18"/>
          <w:szCs w:val="18"/>
          <w:color w:val="auto"/>
        </w:rPr>
        <w:t xml:space="preserve"> 17 CFR 240.12d2-2(a)(2)</w:t>
      </w:r>
    </w:p>
    <w:p>
      <w:pPr>
        <w:spacing w:after="0" w:line="205" w:lineRule="exact"/>
        <w:rPr>
          <w:sz w:val="24"/>
          <w:szCs w:val="24"/>
          <w:color w:val="auto"/>
        </w:rPr>
      </w:pPr>
    </w:p>
    <w:p>
      <w:pPr>
        <w:ind w:left="820"/>
        <w:spacing w:after="0"/>
        <w:rPr>
          <w:sz w:val="20"/>
          <w:szCs w:val="20"/>
          <w:color w:val="auto"/>
        </w:rPr>
      </w:pPr>
      <w:r>
        <w:rPr>
          <w:sz w:val="1"/>
          <w:szCs w:val="1"/>
          <w:color w:val="auto"/>
        </w:rPr>
        <w:drawing>
          <wp:inline distT="0" distB="0" distL="0" distR="0">
            <wp:extent cx="111125" cy="11176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11125" cy="111760"/>
                    </a:xfrm>
                    <a:prstGeom prst="rect">
                      <a:avLst/>
                    </a:prstGeom>
                    <a:noFill/>
                    <a:ln>
                      <a:noFill/>
                    </a:ln>
                  </pic:spPr>
                </pic:pic>
              </a:graphicData>
            </a:graphic>
          </wp:inline>
        </w:drawing>
      </w:r>
      <w:r>
        <w:rPr>
          <w:rFonts w:ascii="Arial" w:cs="Arial" w:eastAsia="Arial" w:hAnsi="Arial"/>
          <w:sz w:val="18"/>
          <w:szCs w:val="18"/>
          <w:color w:val="auto"/>
        </w:rPr>
        <w:t xml:space="preserve"> 17 CFR 240.12d2-2(a)(3)</w:t>
      </w:r>
    </w:p>
    <w:p>
      <w:pPr>
        <w:spacing w:after="0" w:line="205" w:lineRule="exact"/>
        <w:rPr>
          <w:sz w:val="24"/>
          <w:szCs w:val="24"/>
          <w:color w:val="auto"/>
        </w:rPr>
      </w:pPr>
    </w:p>
    <w:p>
      <w:pPr>
        <w:ind w:left="820"/>
        <w:spacing w:after="0"/>
        <w:rPr>
          <w:sz w:val="20"/>
          <w:szCs w:val="20"/>
          <w:color w:val="auto"/>
        </w:rPr>
      </w:pPr>
      <w:r>
        <w:rPr>
          <w:sz w:val="1"/>
          <w:szCs w:val="1"/>
          <w:color w:val="auto"/>
        </w:rPr>
        <w:drawing>
          <wp:inline distT="0" distB="0" distL="0" distR="0">
            <wp:extent cx="111125" cy="11176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11125" cy="111760"/>
                    </a:xfrm>
                    <a:prstGeom prst="rect">
                      <a:avLst/>
                    </a:prstGeom>
                    <a:noFill/>
                    <a:ln>
                      <a:noFill/>
                    </a:ln>
                  </pic:spPr>
                </pic:pic>
              </a:graphicData>
            </a:graphic>
          </wp:inline>
        </w:drawing>
      </w:r>
      <w:r>
        <w:rPr>
          <w:rFonts w:ascii="Arial" w:cs="Arial" w:eastAsia="Arial" w:hAnsi="Arial"/>
          <w:sz w:val="18"/>
          <w:szCs w:val="18"/>
          <w:color w:val="auto"/>
        </w:rPr>
        <w:t xml:space="preserve"> 17 CFR 240.12d2-2(a)(4)</w:t>
      </w:r>
    </w:p>
    <w:p>
      <w:pPr>
        <w:spacing w:after="0" w:line="205" w:lineRule="exact"/>
        <w:rPr>
          <w:sz w:val="24"/>
          <w:szCs w:val="24"/>
          <w:color w:val="auto"/>
        </w:rPr>
      </w:pPr>
    </w:p>
    <w:p>
      <w:pPr>
        <w:ind w:left="780" w:right="1360" w:firstLine="54"/>
        <w:spacing w:after="0" w:line="275" w:lineRule="auto"/>
        <w:rPr>
          <w:sz w:val="20"/>
          <w:szCs w:val="20"/>
          <w:color w:val="auto"/>
        </w:rPr>
      </w:pPr>
      <w:r>
        <w:rPr>
          <w:sz w:val="1"/>
          <w:szCs w:val="1"/>
          <w:color w:val="auto"/>
        </w:rPr>
        <w:drawing>
          <wp:inline distT="0" distB="0" distL="0" distR="0">
            <wp:extent cx="111125" cy="11112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18"/>
          <w:szCs w:val="18"/>
          <w:color w:val="auto"/>
        </w:rPr>
        <w:t xml:space="preserve"> Pursuant to 17 CFR 240.12d2-2(b), the Exchange has complied with its rules to strike the class of securities from listing and/or withdraw registration on the Exchange. </w:t>
      </w:r>
      <w:r>
        <w:rPr>
          <w:rFonts w:ascii="Arial" w:cs="Arial" w:eastAsia="Arial" w:hAnsi="Arial"/>
          <w:sz w:val="29"/>
          <w:szCs w:val="29"/>
          <w:u w:val="single" w:color="auto"/>
          <w:color w:val="0000EE"/>
          <w:vertAlign w:val="superscript"/>
        </w:rPr>
        <w:t>1</w:t>
      </w:r>
    </w:p>
    <w:p>
      <w:pPr>
        <w:spacing w:after="0" w:line="36" w:lineRule="exact"/>
        <w:rPr>
          <w:sz w:val="24"/>
          <w:szCs w:val="24"/>
          <w:color w:val="auto"/>
        </w:rPr>
      </w:pPr>
    </w:p>
    <w:p>
      <w:pPr>
        <w:jc w:val="both"/>
        <w:ind w:left="780" w:right="1260" w:firstLine="54"/>
        <w:spacing w:after="0" w:line="245" w:lineRule="auto"/>
        <w:rPr>
          <w:sz w:val="20"/>
          <w:szCs w:val="20"/>
          <w:color w:val="auto"/>
        </w:rPr>
      </w:pPr>
      <w:r>
        <w:rPr>
          <w:sz w:val="1"/>
          <w:szCs w:val="1"/>
          <w:color w:val="auto"/>
        </w:rPr>
        <w:drawing>
          <wp:inline distT="0" distB="0" distL="0" distR="0">
            <wp:extent cx="111125" cy="11112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18"/>
          <w:szCs w:val="18"/>
          <w:color w:val="auto"/>
        </w:rPr>
        <w:t xml:space="preserve"> Pursuant to 17 CFR 240.12d2-2(c), the Issuer has complied with its rules of the Exchange and the requirements of 17 CFR 240.12d-2(c) governing the voluntary withdrawal of the class of securities from listing and registration on the Exchange.</w:t>
      </w:r>
    </w:p>
    <w:p>
      <w:pPr>
        <w:spacing w:after="0" w:line="169" w:lineRule="exact"/>
        <w:rPr>
          <w:sz w:val="24"/>
          <w:szCs w:val="24"/>
          <w:color w:val="auto"/>
        </w:rPr>
      </w:pPr>
    </w:p>
    <w:p>
      <w:pPr>
        <w:ind w:right="180"/>
        <w:spacing w:after="0" w:line="256" w:lineRule="auto"/>
        <w:rPr>
          <w:sz w:val="20"/>
          <w:szCs w:val="20"/>
          <w:color w:val="auto"/>
        </w:rPr>
      </w:pPr>
      <w:r>
        <w:rPr>
          <w:rFonts w:ascii="Arial" w:cs="Arial" w:eastAsia="Arial" w:hAnsi="Arial"/>
          <w:sz w:val="18"/>
          <w:szCs w:val="18"/>
          <w:color w:val="auto"/>
        </w:rPr>
        <w:t xml:space="preserve">Pursuant to the requirements fo the Securities Exchange Act of 1934, </w:t>
      </w:r>
      <w:r>
        <w:rPr>
          <w:rFonts w:ascii="Times New Roman" w:cs="Times New Roman" w:eastAsia="Times New Roman" w:hAnsi="Times New Roman"/>
          <w:sz w:val="18"/>
          <w:szCs w:val="18"/>
          <w:color w:val="0000FF"/>
        </w:rPr>
        <w:t>NEW YORK STOCK EXCHANGE LLC</w:t>
      </w:r>
      <w:r>
        <w:rPr>
          <w:rFonts w:ascii="Arial" w:cs="Arial" w:eastAsia="Arial" w:hAnsi="Arial"/>
          <w:sz w:val="18"/>
          <w:szCs w:val="18"/>
          <w:color w:val="auto"/>
        </w:rPr>
        <w:t xml:space="preserve"> certifies that it has reasonable grounds to believe that it meets all of the requirements for filing the Form 25 and has caused this notification to be signed on its behalf by the undersigned duly authorized person.</w:t>
      </w:r>
    </w:p>
    <w:p>
      <w:pPr>
        <w:spacing w:after="0" w:line="52" w:lineRule="exact"/>
        <w:rPr>
          <w:sz w:val="24"/>
          <w:szCs w:val="24"/>
          <w:color w:val="auto"/>
        </w:rPr>
      </w:pPr>
    </w:p>
    <w:tbl>
      <w:tblPr>
        <w:tblLayout w:type="fixed"/>
        <w:tblInd w:w="640" w:type="dxa"/>
        <w:tblCellMar>
          <w:top w:w="0" w:type="dxa"/>
          <w:left w:w="0" w:type="dxa"/>
          <w:bottom w:w="0" w:type="dxa"/>
          <w:right w:w="0" w:type="dxa"/>
        </w:tblCellMar>
      </w:tblPr>
      <w:tr>
        <w:trPr>
          <w:trHeight w:val="216"/>
        </w:trPr>
        <w:tc>
          <w:tcPr>
            <w:tcW w:w="2060" w:type="dxa"/>
            <w:vAlign w:val="bottom"/>
          </w:tcPr>
          <w:p>
            <w:pPr>
              <w:spacing w:after="0"/>
              <w:rPr>
                <w:sz w:val="18"/>
                <w:szCs w:val="18"/>
                <w:color w:val="auto"/>
              </w:rPr>
            </w:pPr>
          </w:p>
        </w:tc>
        <w:tc>
          <w:tcPr>
            <w:tcW w:w="940" w:type="dxa"/>
            <w:vAlign w:val="bottom"/>
            <w:vMerge w:val="restart"/>
          </w:tcPr>
          <w:p>
            <w:pPr>
              <w:ind w:left="40"/>
              <w:spacing w:after="0"/>
              <w:rPr>
                <w:sz w:val="20"/>
                <w:szCs w:val="20"/>
                <w:color w:val="auto"/>
              </w:rPr>
            </w:pPr>
            <w:r>
              <w:rPr>
                <w:rFonts w:ascii="Arial" w:cs="Arial" w:eastAsia="Arial" w:hAnsi="Arial"/>
                <w:sz w:val="18"/>
                <w:szCs w:val="18"/>
                <w:color w:val="auto"/>
              </w:rPr>
              <w:t>By</w:t>
            </w:r>
          </w:p>
        </w:tc>
        <w:tc>
          <w:tcPr>
            <w:tcW w:w="3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80" w:type="dxa"/>
            <w:vAlign w:val="bottom"/>
          </w:tcPr>
          <w:p>
            <w:pPr>
              <w:ind w:left="40"/>
              <w:spacing w:after="0"/>
              <w:rPr>
                <w:sz w:val="20"/>
                <w:szCs w:val="20"/>
                <w:color w:val="auto"/>
              </w:rPr>
            </w:pPr>
            <w:r>
              <w:rPr>
                <w:rFonts w:ascii="Times New Roman" w:cs="Times New Roman" w:eastAsia="Times New Roman" w:hAnsi="Times New Roman"/>
                <w:sz w:val="18"/>
                <w:szCs w:val="18"/>
                <w:color w:val="0000FF"/>
                <w:w w:val="97"/>
              </w:rPr>
              <w:t>Manager, Market Watch and</w:t>
            </w:r>
          </w:p>
        </w:tc>
        <w:tc>
          <w:tcPr>
            <w:tcW w:w="0" w:type="dxa"/>
            <w:vAlign w:val="bottom"/>
          </w:tcPr>
          <w:p>
            <w:pPr>
              <w:spacing w:after="0"/>
              <w:rPr>
                <w:sz w:val="1"/>
                <w:szCs w:val="1"/>
                <w:color w:val="auto"/>
              </w:rPr>
            </w:pPr>
          </w:p>
        </w:tc>
      </w:tr>
      <w:tr>
        <w:trPr>
          <w:trHeight w:val="138"/>
        </w:trPr>
        <w:tc>
          <w:tcPr>
            <w:tcW w:w="2060" w:type="dxa"/>
            <w:vAlign w:val="bottom"/>
            <w:vMerge w:val="restart"/>
          </w:tcPr>
          <w:p>
            <w:pPr>
              <w:jc w:val="right"/>
              <w:ind w:right="532"/>
              <w:spacing w:after="0"/>
              <w:rPr>
                <w:sz w:val="20"/>
                <w:szCs w:val="20"/>
                <w:color w:val="auto"/>
              </w:rPr>
            </w:pPr>
            <w:r>
              <w:rPr>
                <w:rFonts w:ascii="Times New Roman" w:cs="Times New Roman" w:eastAsia="Times New Roman" w:hAnsi="Times New Roman"/>
                <w:sz w:val="18"/>
                <w:szCs w:val="18"/>
                <w:color w:val="0000FF"/>
              </w:rPr>
              <w:t>2023-03-31</w:t>
            </w:r>
          </w:p>
        </w:tc>
        <w:tc>
          <w:tcPr>
            <w:tcW w:w="940" w:type="dxa"/>
            <w:vAlign w:val="bottom"/>
            <w:vMerge w:val="continue"/>
          </w:tcPr>
          <w:p>
            <w:pPr>
              <w:spacing w:after="0"/>
              <w:rPr>
                <w:sz w:val="11"/>
                <w:szCs w:val="11"/>
                <w:color w:val="auto"/>
              </w:rPr>
            </w:pPr>
          </w:p>
        </w:tc>
        <w:tc>
          <w:tcPr>
            <w:tcW w:w="3400" w:type="dxa"/>
            <w:vAlign w:val="bottom"/>
            <w:vMerge w:val="restart"/>
          </w:tcPr>
          <w:p>
            <w:pPr>
              <w:ind w:left="1200"/>
              <w:spacing w:after="0"/>
              <w:rPr>
                <w:sz w:val="20"/>
                <w:szCs w:val="20"/>
                <w:color w:val="auto"/>
              </w:rPr>
            </w:pPr>
            <w:r>
              <w:rPr>
                <w:rFonts w:ascii="Times New Roman" w:cs="Times New Roman" w:eastAsia="Times New Roman" w:hAnsi="Times New Roman"/>
                <w:sz w:val="18"/>
                <w:szCs w:val="18"/>
                <w:color w:val="0000FF"/>
              </w:rPr>
              <w:t>Victoria Paper</w:t>
            </w:r>
          </w:p>
        </w:tc>
        <w:tc>
          <w:tcPr>
            <w:tcW w:w="260" w:type="dxa"/>
            <w:vAlign w:val="bottom"/>
          </w:tcPr>
          <w:p>
            <w:pPr>
              <w:spacing w:after="0"/>
              <w:rPr>
                <w:sz w:val="11"/>
                <w:szCs w:val="11"/>
                <w:color w:val="auto"/>
              </w:rPr>
            </w:pPr>
          </w:p>
        </w:tc>
        <w:tc>
          <w:tcPr>
            <w:tcW w:w="2080" w:type="dxa"/>
            <w:vAlign w:val="bottom"/>
            <w:vMerge w:val="restart"/>
          </w:tcPr>
          <w:p>
            <w:pPr>
              <w:ind w:left="380"/>
              <w:spacing w:after="0"/>
              <w:rPr>
                <w:sz w:val="20"/>
                <w:szCs w:val="20"/>
                <w:color w:val="auto"/>
              </w:rPr>
            </w:pPr>
            <w:r>
              <w:rPr>
                <w:rFonts w:ascii="Times New Roman" w:cs="Times New Roman" w:eastAsia="Times New Roman" w:hAnsi="Times New Roman"/>
                <w:sz w:val="18"/>
                <w:szCs w:val="18"/>
                <w:color w:val="0000FF"/>
              </w:rPr>
              <w:t>Proxy Compliance</w:t>
            </w:r>
          </w:p>
        </w:tc>
        <w:tc>
          <w:tcPr>
            <w:tcW w:w="0" w:type="dxa"/>
            <w:vAlign w:val="bottom"/>
          </w:tcPr>
          <w:p>
            <w:pPr>
              <w:spacing w:after="0"/>
              <w:rPr>
                <w:sz w:val="1"/>
                <w:szCs w:val="1"/>
                <w:color w:val="auto"/>
              </w:rPr>
            </w:pPr>
          </w:p>
        </w:tc>
      </w:tr>
      <w:tr>
        <w:trPr>
          <w:trHeight w:val="105"/>
        </w:trPr>
        <w:tc>
          <w:tcPr>
            <w:tcW w:w="2060" w:type="dxa"/>
            <w:vAlign w:val="bottom"/>
            <w:tcBorders>
              <w:bottom w:val="single" w:sz="8" w:color="auto"/>
            </w:tcBorders>
            <w:vMerge w:val="continue"/>
          </w:tcPr>
          <w:p>
            <w:pPr>
              <w:spacing w:after="0"/>
              <w:rPr>
                <w:sz w:val="8"/>
                <w:szCs w:val="8"/>
                <w:color w:val="auto"/>
              </w:rPr>
            </w:pPr>
          </w:p>
        </w:tc>
        <w:tc>
          <w:tcPr>
            <w:tcW w:w="940" w:type="dxa"/>
            <w:vAlign w:val="bottom"/>
          </w:tcPr>
          <w:p>
            <w:pPr>
              <w:spacing w:after="0"/>
              <w:rPr>
                <w:sz w:val="8"/>
                <w:szCs w:val="8"/>
                <w:color w:val="auto"/>
              </w:rPr>
            </w:pPr>
          </w:p>
        </w:tc>
        <w:tc>
          <w:tcPr>
            <w:tcW w:w="3400" w:type="dxa"/>
            <w:vAlign w:val="bottom"/>
            <w:tcBorders>
              <w:bottom w:val="single" w:sz="8" w:color="auto"/>
            </w:tcBorders>
            <w:vMerge w:val="continue"/>
          </w:tcPr>
          <w:p>
            <w:pPr>
              <w:spacing w:after="0"/>
              <w:rPr>
                <w:sz w:val="8"/>
                <w:szCs w:val="8"/>
                <w:color w:val="auto"/>
              </w:rPr>
            </w:pPr>
          </w:p>
        </w:tc>
        <w:tc>
          <w:tcPr>
            <w:tcW w:w="260" w:type="dxa"/>
            <w:vAlign w:val="bottom"/>
          </w:tcPr>
          <w:p>
            <w:pPr>
              <w:spacing w:after="0"/>
              <w:rPr>
                <w:sz w:val="8"/>
                <w:szCs w:val="8"/>
                <w:color w:val="auto"/>
              </w:rPr>
            </w:pPr>
          </w:p>
        </w:tc>
        <w:tc>
          <w:tcPr>
            <w:tcW w:w="208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58"/>
        </w:trPr>
        <w:tc>
          <w:tcPr>
            <w:tcW w:w="2060" w:type="dxa"/>
            <w:vAlign w:val="bottom"/>
          </w:tcPr>
          <w:p>
            <w:pPr>
              <w:jc w:val="right"/>
              <w:ind w:right="1572"/>
              <w:spacing w:after="0"/>
              <w:rPr>
                <w:sz w:val="20"/>
                <w:szCs w:val="20"/>
                <w:color w:val="auto"/>
              </w:rPr>
            </w:pPr>
            <w:r>
              <w:rPr>
                <w:rFonts w:ascii="Arial" w:cs="Arial" w:eastAsia="Arial" w:hAnsi="Arial"/>
                <w:sz w:val="18"/>
                <w:szCs w:val="18"/>
                <w:color w:val="auto"/>
                <w:w w:val="99"/>
              </w:rPr>
              <w:t>Date</w:t>
            </w:r>
          </w:p>
        </w:tc>
        <w:tc>
          <w:tcPr>
            <w:tcW w:w="940" w:type="dxa"/>
            <w:vAlign w:val="bottom"/>
          </w:tcPr>
          <w:p>
            <w:pPr>
              <w:spacing w:after="0"/>
              <w:rPr>
                <w:sz w:val="22"/>
                <w:szCs w:val="22"/>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Name</w:t>
            </w:r>
          </w:p>
        </w:tc>
        <w:tc>
          <w:tcPr>
            <w:tcW w:w="260" w:type="dxa"/>
            <w:vAlign w:val="bottom"/>
          </w:tcPr>
          <w:p>
            <w:pPr>
              <w:spacing w:after="0"/>
              <w:rPr>
                <w:sz w:val="22"/>
                <w:szCs w:val="22"/>
                <w:color w:val="auto"/>
              </w:rPr>
            </w:pPr>
          </w:p>
        </w:tc>
        <w:tc>
          <w:tcPr>
            <w:tcW w:w="2080" w:type="dxa"/>
            <w:vAlign w:val="bottom"/>
          </w:tcPr>
          <w:p>
            <w:pPr>
              <w:ind w:left="20"/>
              <w:spacing w:after="0"/>
              <w:rPr>
                <w:sz w:val="20"/>
                <w:szCs w:val="20"/>
                <w:color w:val="auto"/>
              </w:rPr>
            </w:pPr>
            <w:r>
              <w:rPr>
                <w:rFonts w:ascii="Arial" w:cs="Arial" w:eastAsia="Arial" w:hAnsi="Arial"/>
                <w:sz w:val="18"/>
                <w:szCs w:val="18"/>
                <w:color w:val="auto"/>
              </w:rPr>
              <w:t>Title</w:t>
            </w:r>
          </w:p>
        </w:tc>
        <w:tc>
          <w:tcPr>
            <w:tcW w:w="0" w:type="dxa"/>
            <w:vAlign w:val="bottom"/>
          </w:tcPr>
          <w:p>
            <w:pPr>
              <w:spacing w:after="0"/>
              <w:rPr>
                <w:sz w:val="1"/>
                <w:szCs w:val="1"/>
                <w:color w:val="auto"/>
              </w:rPr>
            </w:pPr>
          </w:p>
        </w:tc>
      </w:tr>
    </w:tbl>
    <w:p>
      <w:pPr>
        <w:spacing w:after="0" w:line="107" w:lineRule="exact"/>
        <w:rPr>
          <w:sz w:val="24"/>
          <w:szCs w:val="24"/>
          <w:color w:val="auto"/>
        </w:rPr>
      </w:pPr>
    </w:p>
    <w:p>
      <w:pPr>
        <w:ind w:left="1260" w:right="700" w:hanging="597"/>
        <w:spacing w:after="0" w:line="261" w:lineRule="auto"/>
        <w:tabs>
          <w:tab w:leader="none" w:pos="1260" w:val="left"/>
        </w:tabs>
        <w:numPr>
          <w:ilvl w:val="0"/>
          <w:numId w:val="1"/>
        </w:numPr>
        <w:rPr>
          <w:rFonts w:ascii="Times New Roman" w:cs="Times New Roman" w:eastAsia="Times New Roman" w:hAnsi="Times New Roman"/>
          <w:sz w:val="18"/>
          <w:szCs w:val="18"/>
          <w:color w:val="auto"/>
        </w:rPr>
      </w:pPr>
      <w:r>
        <w:rPr>
          <w:rFonts w:ascii="Arial" w:cs="Arial" w:eastAsia="Arial" w:hAnsi="Arial"/>
          <w:sz w:val="18"/>
          <w:szCs w:val="18"/>
          <w:color w:val="auto"/>
        </w:rPr>
        <w:t xml:space="preserve">Form 25 and attached Notice will be considered compliance with the provisions of 17 CFR 240.19d-1 as applicable. </w:t>
      </w:r>
      <w:r>
        <w:rPr>
          <w:rFonts w:ascii="Arial" w:cs="Arial" w:eastAsia="Arial" w:hAnsi="Arial"/>
          <w:sz w:val="18"/>
          <w:szCs w:val="18"/>
          <w:u w:val="single" w:color="auto"/>
          <w:color w:val="0000EE"/>
        </w:rPr>
        <w:t>See</w:t>
      </w:r>
      <w:r>
        <w:rPr>
          <w:rFonts w:ascii="Arial" w:cs="Arial" w:eastAsia="Arial" w:hAnsi="Arial"/>
          <w:sz w:val="18"/>
          <w:szCs w:val="18"/>
          <w:color w:val="auto"/>
        </w:rPr>
        <w:t xml:space="preserve"> General Instructions.</w:t>
      </w:r>
    </w:p>
    <w:p>
      <w:pPr>
        <w:spacing w:after="0" w:line="47" w:lineRule="exact"/>
        <w:rPr>
          <w:sz w:val="24"/>
          <w:szCs w:val="24"/>
          <w:color w:val="auto"/>
        </w:rPr>
      </w:pPr>
    </w:p>
    <w:p>
      <w:pPr>
        <w:spacing w:after="0"/>
        <w:rPr>
          <w:sz w:val="20"/>
          <w:szCs w:val="20"/>
          <w:color w:val="auto"/>
        </w:rPr>
      </w:pPr>
      <w:r>
        <w:rPr>
          <w:rFonts w:ascii="Arial" w:cs="Arial" w:eastAsia="Arial" w:hAnsi="Arial"/>
          <w:sz w:val="12"/>
          <w:szCs w:val="12"/>
          <w:color w:val="auto"/>
        </w:rPr>
        <w:t>Persons who respond to the collection of information contained in this form are not required to respond unless the form displays a currently valid OMB Number.</w:t>
      </w:r>
    </w:p>
    <w:p>
      <w:pPr>
        <w:sectPr>
          <w:pgSz w:w="11900" w:h="16838" w:orient="portrait"/>
          <w:cols w:equalWidth="0" w:num="1">
            <w:col w:w="10020"/>
          </w:cols>
          <w:pgMar w:left="920" w:top="268" w:right="959" w:bottom="1440" w:gutter="0" w:footer="0" w:header="0"/>
          <w:type w:val="continuous"/>
        </w:sectPr>
      </w:pPr>
    </w:p>
    <w:bookmarkStart w:id="1" w:name="page2"/>
    <w:bookmarkEnd w:id="1"/>
    <w:p>
      <w:pPr>
        <w:spacing w:after="0" w:line="244" w:lineRule="auto"/>
        <w:rPr>
          <w:sz w:val="20"/>
          <w:szCs w:val="20"/>
          <w:color w:val="auto"/>
        </w:rPr>
      </w:pPr>
      <w:r>
        <w:rPr>
          <w:rFonts w:ascii="Times New Roman" w:cs="Times New Roman" w:eastAsia="Times New Roman" w:hAnsi="Times New Roman"/>
          <w:sz w:val="21"/>
          <w:szCs w:val="21"/>
          <w:color w:val="auto"/>
        </w:rPr>
        <w:t>NOTIFICATION OF THE REMOVAL FROM LISTING AND REGISTRATION OF THE STATED SECURITIES The New York Stock Exchange hereby notifies the SEC of its intention to remove the entire class of the stated securities from listing and registration on the Exchange at the opening of business on April 11, 2023, pursuant to the provisions of Rule 12d2-2 (a). [ X ] 17 CFR 240.12d2-2(a)(3) That on March 31, 2023 the instruments representing the securities comprising the entire class of this security came to evidence, by operation of law or otherwise, other securities in substitution therefore and represent no other right except, if such be the fact, the right to receive an immediate cash payment. On March 31, 2023, Safehold, Inc. ("SAFE") completed its previously announced merger (the "Merger") with and into iStar, Inc. ("STAR"), with STAR continuing as the surviving corporation and operating under the name "Safehold Inc." ("New SAFE"). Each share of common stock of SAFE ("SAFE Common Stock") issued and outstanding immediately before effective time of merger (other than any shares owned directly by STAR or any of the wholly-owned subsidiaries of STAR or SAFE and in each case not held on behalf of third parties) was automatically converted into the right to receive one share of newly issued common stock, $0.01 par value per share, of New SAFE ("New SAFE Common Stock"). The Exchange also notifies the Securities and Exchange Commission that as a result of the above indicated conditions this security was suspended from trading before market open on March 31, 2023.</w:t>
      </w:r>
    </w:p>
    <w:sectPr>
      <w:pgSz w:w="11900" w:h="16838" w:orient="portrait"/>
      <w:cols w:equalWidth="0" w:num="1">
        <w:col w:w="11180"/>
      </w:cols>
      <w:pgMar w:left="320" w:top="111"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10" Type="http://schemas.openxmlformats.org/officeDocument/2006/relationships/hyperlink" Target="file:///cgi-bin/browse-edgar?action=getcompany&amp;filenum=001-38122" TargetMode="External"/><Relationship Id="rId11" Type="http://schemas.openxmlformats.org/officeDocument/2006/relationships/hyperlink" Target="http://www.sec.gov/cgi-bin/browse-edgar?action=getcompany&amp;CIK=000168885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2023-03-31T11:25:00Z</dcterms:created>
  <dcterms:modified xsi:type="dcterms:W3CDTF">2023-03-31T11:25:00Z</dcterms:modified>
</cp:coreProperties>
</file>