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safe-20260331x10q.htm"/>
        <w:bookmarkStart w:id="1" w:name="kssafe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4c045ef4_f17b_47fe_a964_127a1ebc668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20"/>
        <w:ind w:left="60" w:right="0" w:hanging="0"/>
        <w:jc w:val="center"/>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March 31, 2026</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No. 001-15371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Safehold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yAEBlS4hc0a7CyaMaIpKyQ_6_3"/>
      <w:bookmarkStart w:id="4" w:name="Tc_jQGy8IfDzUqFG-3uKEDV2w_6_0"/>
      <w:bookmarkStart w:id="5" w:name="Tc_m1atTfOGh02voD7W_To8EA_5_1"/>
      <w:bookmarkStart w:id="6" w:name="Tc_RmJQxoe_8ECdP5LvAFBIIw_2_3"/>
      <w:bookmarkStart w:id="7" w:name="Tc_Jjs3h09UDkCeCaQi0VM2XA_2_0"/>
      <w:bookmarkStart w:id="8" w:name="_7ab5ba50_7312_476f_94ed_44540d1f7f32"/>
      <w:bookmarkStart w:id="9" w:name="Tc_yAEBlS4hc0a7CyaMaIpKyQ_6_3"/>
      <w:bookmarkStart w:id="10" w:name="Tc_jQGy8IfDzUqFG-3uKEDV2w_6_0"/>
      <w:bookmarkStart w:id="11" w:name="Tc_m1atTfOGh02voD7W_To8EA_5_1"/>
      <w:bookmarkStart w:id="12" w:name="Tc_RmJQxoe_8ECdP5LvAFBIIw_2_3"/>
      <w:bookmarkStart w:id="13" w:name="Tc_Jjs3h09UDkCeCaQi0VM2XA_2_0"/>
      <w:bookmarkStart w:id="14" w:name="_7ab5ba50_7312_476f_94ed_44540d1f7f32"/>
      <w:bookmarkEnd w:id="9"/>
      <w:bookmarkEnd w:id="10"/>
      <w:bookmarkEnd w:id="11"/>
      <w:bookmarkEnd w:id="12"/>
      <w:bookmarkEnd w:id="13"/>
      <w:bookmarkEnd w:id="14"/>
    </w:p>
    <w:tbl>
      <w:tblPr>
        <w:tblW w:w="533" w:type="dxa"/>
        <w:jc w:val="left"/>
        <w:tblInd w:w="0" w:type="dxa"/>
        <w:tblLayout w:type="fixed"/>
        <w:tblCellMar>
          <w:top w:w="0" w:type="dxa"/>
          <w:left w:w="0" w:type="dxa"/>
          <w:bottom w:w="0" w:type="dxa"/>
          <w:right w:w="0" w:type="dxa"/>
        </w:tblCellMar>
      </w:tblPr>
      <w:tblGrid>
        <w:gridCol w:w="124"/>
        <w:gridCol w:w="109"/>
        <w:gridCol w:w="109"/>
        <w:gridCol w:w="191"/>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7170" cy="350520"/>
                      <wp:effectExtent l="0" t="0" r="0" b="0"/>
                      <wp:wrapNone/>
                      <wp:docPr id="1" name="Frame1"/>
                      <a:graphic xmlns:a="http://schemas.openxmlformats.org/drawingml/2006/main">
                        <a:graphicData uri="http://schemas.microsoft.com/office/word/2010/wordprocessingShape">
                          <wps:wsp>
                            <wps:cNvSpPr txBox="1"/>
                            <wps:spPr>
                              <a:xfrm>
                                <a:off x="0" y="0"/>
                                <a:ext cx="21717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1285" cy="701040"/>
                      <wp:effectExtent l="0" t="0" r="0" b="0"/>
                      <wp:wrapNone/>
                      <wp:docPr id="2" name="Frame2"/>
                      <a:graphic xmlns:a="http://schemas.openxmlformats.org/drawingml/2006/main">
                        <a:graphicData uri="http://schemas.microsoft.com/office/word/2010/wordprocessingShape">
                          <wps:wsp>
                            <wps:cNvSpPr txBox="1"/>
                            <wps:spPr>
                              <a:xfrm>
                                <a:off x="0" y="0"/>
                                <a:ext cx="121285"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7170" cy="1518920"/>
                      <wp:effectExtent l="0" t="0" r="0" b="0"/>
                      <wp:wrapNone/>
                      <wp:docPr id="3" name="Frame3"/>
                      <a:graphic xmlns:a="http://schemas.openxmlformats.org/drawingml/2006/main">
                        <a:graphicData uri="http://schemas.microsoft.com/office/word/2010/wordprocessingShape">
                          <wps:wsp>
                            <wps:cNvSpPr txBox="1"/>
                            <wps:spPr>
                              <a:xfrm>
                                <a:off x="0" y="0"/>
                                <a:ext cx="217170" cy="15189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1285" cy="2219960"/>
                      <wp:effectExtent l="0" t="0" r="0" b="0"/>
                      <wp:wrapNone/>
                      <wp:docPr id="4" name="Frame4"/>
                      <a:graphic xmlns:a="http://schemas.openxmlformats.org/drawingml/2006/main">
                        <a:graphicData uri="http://schemas.microsoft.com/office/word/2010/wordprocessingShape">
                          <wps:wsp>
                            <wps:cNvSpPr txBox="1"/>
                            <wps:spPr>
                              <a:xfrm>
                                <a:off x="0" y="0"/>
                                <a:ext cx="121285" cy="22199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7170" cy="817880"/>
                      <wp:effectExtent l="0" t="0" r="0" b="0"/>
                      <wp:wrapNone/>
                      <wp:docPr id="5" name="Frame5"/>
                      <a:graphic xmlns:a="http://schemas.openxmlformats.org/drawingml/2006/main">
                        <a:graphicData uri="http://schemas.microsoft.com/office/word/2010/wordprocessingShape">
                          <wps:wsp>
                            <wps:cNvSpPr txBox="1"/>
                            <wps:spPr>
                              <a:xfrm>
                                <a:off x="0" y="0"/>
                                <a:ext cx="217170" cy="81788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v:textbox>
                      <w10:wrap type="none"/>
                    </v:rect>
                  </w:pict>
                </mc:Fallback>
              </mc:AlternateContent>
            </w:r>
          </w:p>
        </w:tc>
        <w:tc>
          <w:tcPr>
            <w:tcW w:w="191" w:type="dxa"/>
            <w:tcBorders/>
            <w:vAlign w:val="center"/>
          </w:tcPr>
          <w:p>
            <w:pPr>
              <w:pStyle w:val="TableContents"/>
              <w:bidi w:val="0"/>
              <w:spacing w:before="0" w:after="40"/>
              <w:ind w:left="0" w:right="0" w:hanging="0"/>
              <w:jc w:val="left"/>
              <w:rPr/>
            </w:pPr>
            <w:r>
              <w:rPr/>
              <w:t> </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7170" cy="350520"/>
                      <wp:effectExtent l="0" t="0" r="0" b="0"/>
                      <wp:wrapNone/>
                      <wp:docPr id="6" name="Frame6"/>
                      <a:graphic xmlns:a="http://schemas.openxmlformats.org/drawingml/2006/main">
                        <a:graphicData uri="http://schemas.microsoft.com/office/word/2010/wordprocessingShape">
                          <wps:wsp>
                            <wps:cNvSpPr txBox="1"/>
                            <wps:spPr>
                              <a:xfrm>
                                <a:off x="0" y="0"/>
                                <a:ext cx="21717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39th Floor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39th Floor</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1285" cy="175260"/>
                      <wp:effectExtent l="0" t="0" r="0" b="0"/>
                      <wp:wrapNone/>
                      <wp:docPr id="7" name="Frame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817880"/>
                      <wp:effectExtent l="0" t="0" r="0" b="0"/>
                      <wp:wrapNone/>
                      <wp:docPr id="8" name="Frame8"/>
                      <a:graphic xmlns:a="http://schemas.openxmlformats.org/drawingml/2006/main">
                        <a:graphicData uri="http://schemas.microsoft.com/office/word/2010/wordprocessingShape">
                          <wps:wsp>
                            <wps:cNvSpPr txBox="1"/>
                            <wps:spPr>
                              <a:xfrm>
                                <a:off x="0" y="0"/>
                                <a:ext cx="78740" cy="817880"/>
                              </a:xfrm>
                              <a:prstGeom prst="rect"/>
                              <a:solidFill>
                                <a:srgbClr val="FFFFFF"/>
                              </a:solidFill>
                            </wps:spPr>
                            <wps:txb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16840"/>
                      <wp:effectExtent l="0" t="0" r="0" b="0"/>
                      <wp:wrapNone/>
                      <wp:docPr id="9" name="Frame9"/>
                      <a:graphic xmlns:a="http://schemas.openxmlformats.org/drawingml/2006/main">
                        <a:graphicData uri="http://schemas.microsoft.com/office/word/2010/wordprocessingShape">
                          <wps:wsp>
                            <wps:cNvSpPr txBox="1"/>
                            <wps:spPr>
                              <a:xfrm>
                                <a:off x="0" y="0"/>
                                <a:ext cx="69215" cy="11684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233680"/>
                      <wp:effectExtent l="0" t="0" r="0" b="0"/>
                      <wp:wrapNone/>
                      <wp:docPr id="10" name="Frame10"/>
                      <a:graphic xmlns:a="http://schemas.openxmlformats.org/drawingml/2006/main">
                        <a:graphicData uri="http://schemas.microsoft.com/office/word/2010/wordprocessingShape">
                          <wps:wsp>
                            <wps:cNvSpPr txBox="1"/>
                            <wps:spPr>
                              <a:xfrm>
                                <a:off x="0" y="0"/>
                                <a:ext cx="69215" cy="23368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285" cy="350520"/>
                      <wp:effectExtent l="0" t="0" r="0" b="0"/>
                      <wp:wrapNone/>
                      <wp:docPr id="11" name="Frame11"/>
                      <a:graphic xmlns:a="http://schemas.openxmlformats.org/drawingml/2006/main">
                        <a:graphicData uri="http://schemas.microsoft.com/office/word/2010/wordprocessingShape">
                          <wps:wsp>
                            <wps:cNvSpPr txBox="1"/>
                            <wps:spPr>
                              <a:xfrm>
                                <a:off x="0" y="0"/>
                                <a:ext cx="12128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7170" cy="1051560"/>
                      <wp:effectExtent l="0" t="0" r="0" b="0"/>
                      <wp:wrapNone/>
                      <wp:docPr id="12" name="Frame12"/>
                      <a:graphic xmlns:a="http://schemas.openxmlformats.org/drawingml/2006/main">
                        <a:graphicData uri="http://schemas.microsoft.com/office/word/2010/wordprocessingShape">
                          <wps:wsp>
                            <wps:cNvSpPr txBox="1"/>
                            <wps:spPr>
                              <a:xfrm>
                                <a:off x="0" y="0"/>
                                <a:ext cx="21717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v:textbox>
                      <w10:wrap type="none"/>
                    </v:rect>
                  </w:pict>
                </mc:Fallback>
              </mc:AlternateContent>
            </w:r>
          </w:p>
        </w:tc>
        <w:tc>
          <w:tcPr>
            <w:tcW w:w="1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285" cy="584200"/>
                      <wp:effectExtent l="0" t="0" r="0" b="0"/>
                      <wp:wrapNone/>
                      <wp:docPr id="13" name="Frame13"/>
                      <a:graphic xmlns:a="http://schemas.openxmlformats.org/drawingml/2006/main">
                        <a:graphicData uri="http://schemas.microsoft.com/office/word/2010/wordprocessingShape">
                          <wps:wsp>
                            <wps:cNvSpPr txBox="1"/>
                            <wps:spPr>
                              <a:xfrm>
                                <a:off x="0" y="0"/>
                                <a:ext cx="121285" cy="5842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A33gkTQGskuhpC86vR1aqw_1_4"/>
      <w:bookmarkStart w:id="16" w:name="Tc_-2DStYG8C0Ofp_Mu0eH6RQ_1_2"/>
      <w:bookmarkStart w:id="17" w:name="Tc_5M0tJ6D7p0m6hYHCYalIiA_1_0"/>
      <w:bookmarkStart w:id="18" w:name="_31b2f3f8_692f_4215_a6b5_799114ea70c9"/>
      <w:bookmarkStart w:id="19" w:name="Tc_A33gkTQGskuhpC86vR1aqw_1_4"/>
      <w:bookmarkStart w:id="20" w:name="Tc_-2DStYG8C0Ofp_Mu0eH6RQ_1_2"/>
      <w:bookmarkStart w:id="21" w:name="Tc_5M0tJ6D7p0m6hYHCYalIiA_1_0"/>
      <w:bookmarkStart w:id="22" w:name="_31b2f3f8_692f_4215_a6b5_799114ea70c9"/>
      <w:bookmarkEnd w:id="19"/>
      <w:bookmarkEnd w:id="20"/>
      <w:bookmarkEnd w:id="21"/>
      <w:bookmarkEnd w:id="22"/>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518920"/>
                      <wp:effectExtent l="0" t="0" r="0" b="0"/>
                      <wp:wrapNone/>
                      <wp:docPr id="14" name="Frame14"/>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0"/>
                      <wp:effectExtent l="0" t="0" r="0" b="0"/>
                      <wp:wrapNone/>
                      <wp:docPr id="16" name="Frame16"/>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2930525"/>
                      <wp:effectExtent l="0" t="0" r="0" b="0"/>
                      <wp:wrapNone/>
                      <wp:docPr id="18" name="Frame18"/>
                      <a:graphic xmlns:a="http://schemas.openxmlformats.org/drawingml/2006/main">
                        <a:graphicData uri="http://schemas.microsoft.com/office/word/2010/wordprocessingShape">
                          <wps:wsp>
                            <wps:cNvSpPr txBox="1"/>
                            <wps:spPr>
                              <a:xfrm>
                                <a:off x="0" y="0"/>
                                <a:ext cx="97790" cy="293052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0.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285240"/>
                      <wp:effectExtent l="0" t="0" r="0" b="0"/>
                      <wp:wrapNone/>
                      <wp:docPr id="19" name="Frame19"/>
                      <a:graphic xmlns:a="http://schemas.openxmlformats.org/drawingml/2006/main">
                        <a:graphicData uri="http://schemas.microsoft.com/office/word/2010/wordprocessingShape">
                          <wps:wsp>
                            <wps:cNvSpPr txBox="1"/>
                            <wps:spPr>
                              <a:xfrm>
                                <a:off x="0" y="0"/>
                                <a:ext cx="78740" cy="12852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467360"/>
                      <wp:effectExtent l="0" t="0" r="0" b="0"/>
                      <wp:wrapNone/>
                      <wp:docPr id="21" name="Frame21"/>
                      <a:graphic xmlns:a="http://schemas.openxmlformats.org/drawingml/2006/main">
                        <a:graphicData uri="http://schemas.microsoft.com/office/word/2010/wordprocessingShape">
                          <wps:wsp>
                            <wps:cNvSpPr txBox="1"/>
                            <wps:spPr>
                              <a:xfrm>
                                <a:off x="0" y="0"/>
                                <a:ext cx="6921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467360"/>
                      <wp:effectExtent l="0" t="0" r="0" b="0"/>
                      <wp:wrapNone/>
                      <wp:docPr id="23" name="Frame23"/>
                      <a:graphic xmlns:a="http://schemas.openxmlformats.org/drawingml/2006/main">
                        <a:graphicData uri="http://schemas.microsoft.com/office/word/2010/wordprocessingShape">
                          <wps:wsp>
                            <wps:cNvSpPr txBox="1"/>
                            <wps:spPr>
                              <a:xfrm>
                                <a:off x="0" y="0"/>
                                <a:ext cx="97790"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v:textbox>
                      <w10:wrap type="none"/>
                    </v:rect>
                  </w:pict>
                </mc:Fallback>
              </mc:AlternateContent>
            </w:r>
          </w:p>
        </w:tc>
      </w:tr>
    </w:tbl>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95"/>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3" w:name="Tc_IoKUXbcCaketkouq2n34vw_2_4"/>
      <w:bookmarkStart w:id="24" w:name="Tc_7tV-D7tox0-wm7p9X6hHew_2_2"/>
      <w:bookmarkStart w:id="25" w:name="Tc_R0VXYP0n8UCd12oHXls3CA_2_0"/>
      <w:bookmarkStart w:id="26" w:name="Tc_9zjv7fXPzEq1oz3ZytHwjw_1_8"/>
      <w:bookmarkStart w:id="27" w:name="Tc_XulF4oAdMkWZtVHTqqbAEA_1_6"/>
      <w:bookmarkStart w:id="28" w:name="Tc_Aj2LCVcUi0mau__6pblvEQ_1_4"/>
      <w:bookmarkStart w:id="29" w:name="Tc_u8XSHmwo-E2vGoini000zw_1_2"/>
      <w:bookmarkStart w:id="30" w:name="_24dd7b9e_9857_4cc0_8f88_d788eda50413"/>
      <w:bookmarkStart w:id="31" w:name="Tc_IoKUXbcCaketkouq2n34vw_2_4"/>
      <w:bookmarkStart w:id="32" w:name="Tc_7tV-D7tox0-wm7p9X6hHew_2_2"/>
      <w:bookmarkStart w:id="33" w:name="Tc_R0VXYP0n8UCd12oHXls3CA_2_0"/>
      <w:bookmarkStart w:id="34" w:name="Tc_9zjv7fXPzEq1oz3ZytHwjw_1_8"/>
      <w:bookmarkStart w:id="35" w:name="Tc_XulF4oAdMkWZtVHTqqbAEA_1_6"/>
      <w:bookmarkStart w:id="36" w:name="Tc_Aj2LCVcUi0mau__6pblvEQ_1_4"/>
      <w:bookmarkStart w:id="37" w:name="Tc_u8XSHmwo-E2vGoini000zw_1_2"/>
      <w:bookmarkStart w:id="38" w:name="_24dd7b9e_9857_4cc0_8f88_d788eda50413"/>
      <w:bookmarkEnd w:id="31"/>
      <w:bookmarkEnd w:id="32"/>
      <w:bookmarkEnd w:id="33"/>
      <w:bookmarkEnd w:id="34"/>
      <w:bookmarkEnd w:id="35"/>
      <w:bookmarkEnd w:id="36"/>
      <w:bookmarkEnd w:id="37"/>
      <w:bookmarkEnd w:id="38"/>
    </w:p>
    <w:tbl>
      <w:tblPr>
        <w:tblW w:w="9387" w:type="dxa"/>
        <w:jc w:val="left"/>
        <w:tblInd w:w="0" w:type="dxa"/>
        <w:tblLayout w:type="fixed"/>
        <w:tblCellMar>
          <w:top w:w="0" w:type="dxa"/>
          <w:left w:w="0" w:type="dxa"/>
          <w:bottom w:w="0" w:type="dxa"/>
          <w:right w:w="0" w:type="dxa"/>
        </w:tblCellMar>
      </w:tblPr>
      <w:tblGrid>
        <w:gridCol w:w="1711"/>
        <w:gridCol w:w="226"/>
        <w:gridCol w:w="1246"/>
        <w:gridCol w:w="226"/>
        <w:gridCol w:w="1561"/>
        <w:gridCol w:w="226"/>
        <w:gridCol w:w="2011"/>
        <w:gridCol w:w="109"/>
        <w:gridCol w:w="2071"/>
      </w:tblGrid>
      <w:tr>
        <w:trPr/>
        <w:tc>
          <w:tcPr>
            <w:tcW w:w="17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Large Accelerated filer</w:t>
            </w:r>
          </w:p>
        </w:tc>
        <w:tc>
          <w:tcPr>
            <w:tcW w:w="226" w:type="dxa"/>
            <w:tcBorders/>
            <w:vAlign w:val="center"/>
          </w:tcPr>
          <w:p>
            <w:pPr>
              <w:pStyle w:val="TableContents"/>
              <w:bidi w:val="0"/>
              <w:spacing w:before="0" w:after="40"/>
              <w:ind w:left="0" w:right="0" w:hanging="0"/>
              <w:jc w:val="left"/>
              <w:rPr/>
            </w:pPr>
            <w:r>
              <w:rPr/>
              <w:t>  ​</w:t>
            </w:r>
          </w:p>
        </w:tc>
        <w:tc>
          <w:tcPr>
            <w:tcW w:w="1246"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Accelerated filer</w:t>
            </w:r>
          </w:p>
        </w:tc>
        <w:tc>
          <w:tcPr>
            <w:tcW w:w="226" w:type="dxa"/>
            <w:tcBorders/>
            <w:vAlign w:val="center"/>
          </w:tcPr>
          <w:p>
            <w:pPr>
              <w:pStyle w:val="TableContents"/>
              <w:bidi w:val="0"/>
              <w:spacing w:before="0" w:after="40"/>
              <w:ind w:left="0" w:right="0" w:hanging="0"/>
              <w:jc w:val="left"/>
              <w:rPr/>
            </w:pPr>
            <w:r>
              <w:rPr/>
              <w:t>  ​</w:t>
            </w:r>
          </w:p>
        </w:tc>
        <w:tc>
          <w:tcPr>
            <w:tcW w:w="156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Non-accelerated filer</w:t>
            </w:r>
          </w:p>
        </w:tc>
        <w:tc>
          <w:tcPr>
            <w:tcW w:w="226" w:type="dxa"/>
            <w:tcBorders/>
            <w:vAlign w:val="center"/>
          </w:tcPr>
          <w:p>
            <w:pPr>
              <w:pStyle w:val="TableContents"/>
              <w:bidi w:val="0"/>
              <w:spacing w:before="0" w:after="40"/>
              <w:ind w:left="0" w:right="0" w:hanging="0"/>
              <w:jc w:val="left"/>
              <w:rPr/>
            </w:pPr>
            <w:r>
              <w:rPr/>
              <w:t>  ​</w:t>
            </w:r>
          </w:p>
        </w:tc>
        <w:tc>
          <w:tcPr>
            <w:tcW w:w="20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350520"/>
                      <wp:effectExtent l="0" t="0" r="0" b="0"/>
                      <wp:wrapNone/>
                      <wp:docPr id="25" name="Frame25"/>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Emerging growth company</w:t>
            </w:r>
          </w:p>
        </w:tc>
      </w:tr>
      <w:tr>
        <w:trPr/>
        <w:tc>
          <w:tcPr>
            <w:tcW w:w="1711" w:type="dxa"/>
            <w:tcBorders/>
            <w:vAlign w:val="center"/>
          </w:tcPr>
          <w:p>
            <w:pPr>
              <w:pStyle w:val="TableContents"/>
              <w:bidi w:val="0"/>
              <w:spacing w:before="0" w:after="4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4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4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60"/>
        <w:ind w:left="0" w:right="0" w:firstLine="450"/>
        <w:jc w:val="both"/>
        <w:rPr>
          <w:rFonts w:ascii="Times New Roman;Times;serif" w:hAnsi="Times New Roman;Times;serif"/>
          <w:sz w:val="16"/>
        </w:rPr>
      </w:pPr>
      <w:r>
        <w:rPr>
          <w:rFonts w:ascii="Times New Roman;Times;serif" w:hAnsi="Times New Roman;Times;serif"/>
          <w:sz w:val="16"/>
        </w:rPr>
        <w:t>As of April 28, 2026, there were 71,610,002 shares, $0.01 par value per share, of Safehold Inc. common stock outstanding.</w:t>
      </w:r>
    </w:p>
    <w:p>
      <w:pPr>
        <w:pStyle w:val="TextBody"/>
        <w:bidi w:val="0"/>
        <w:spacing w:before="0" w:after="240"/>
        <w:ind w:left="0" w:right="0" w:firstLine="450"/>
        <w:jc w:val="both"/>
        <w:rPr/>
      </w:pPr>
      <w:r>
        <w:rPr/>
        <w:t>​</w:t>
      </w:r>
    </w:p>
    <w:p>
      <w:pPr>
        <w:pStyle w:val="TextBody"/>
        <w:pBdr>
          <w:top w:val="single" w:sz="8" w:space="1" w:color="000000"/>
          <w:bottom w:val="single" w:sz="24" w:space="1" w:color="000000"/>
        </w:pBdr>
        <w:bidi w:val="0"/>
        <w:spacing w:before="0" w:after="240"/>
        <w:ind w:left="0" w:right="0" w:firstLine="45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TOC"/>
      <w:bookmarkStart w:id="40" w:name="_7a5df005_7361_4691_a59f_4f202754e7b9"/>
      <w:bookmarkEnd w:id="39"/>
      <w:bookmarkEnd w:id="40"/>
      <w:r>
        <w:rPr>
          <w:rFonts w:ascii="Times New Roman;Times;serif" w:hAnsi="Times New Roman;Times;serif"/>
          <w:b/>
          <w:sz w:val="20"/>
        </w:rPr>
        <w:t>TABLE OF CONTENTS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841"/>
        <w:gridCol w:w="8853"/>
        <w:gridCol w:w="511"/>
      </w:tblGrid>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r>
              <w:rPr/>
              <w:t> </w:t>
            </w:r>
          </w:p>
        </w:tc>
        <w:tc>
          <w:tcPr>
            <w:tcW w:w="8853" w:type="dxa"/>
            <w:tcBorders/>
            <w:vAlign w:val="center"/>
          </w:tcPr>
          <w:p>
            <w:pPr>
              <w:pStyle w:val="TableContents"/>
              <w:bidi w:val="0"/>
              <w:spacing w:before="0" w:after="30"/>
              <w:ind w:left="0" w:right="0" w:hanging="0"/>
              <w:jc w:val="left"/>
              <w:rPr/>
            </w:pPr>
            <w:r>
              <w:rPr/>
              <w:t> </w:t>
            </w:r>
          </w:p>
        </w:tc>
        <w:tc>
          <w:tcPr>
            <w:tcW w:w="511"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41"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i w:val="false"/>
                  <w:caps w:val="false"/>
                  <w:smallCaps w:val="false"/>
                  <w:sz w:val="20"/>
                </w:rPr>
                <w:t>PART I</w:t>
              </w:r>
            </w:hyperlink>
          </w:p>
        </w:tc>
        <w:tc>
          <w:tcPr>
            <w:tcW w:w="8853"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val="false"/>
                  <w:i w:val="false"/>
                  <w:caps w:val="false"/>
                  <w:smallCaps w:val="false"/>
                  <w:sz w:val="20"/>
                </w:rPr>
                <w:t>Consolidated Financial Information</w:t>
              </w:r>
            </w:hyperlink>
          </w:p>
        </w:tc>
        <w:tc>
          <w:tcPr>
            <w:tcW w:w="51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BalanceSheets1_589528">
              <w:r>
                <w:rPr>
                  <w:rStyle w:val="InternetLink"/>
                  <w:rFonts w:ascii="Times New Roman;Times;serif" w:hAnsi="Times New Roman;Times;serif"/>
                  <w:b w:val="false"/>
                  <w:i w:val="false"/>
                  <w:caps w:val="false"/>
                  <w:smallCaps w:val="false"/>
                  <w:sz w:val="20"/>
                </w:rPr>
                <w:t>Consolidated Balance Sheets (unaudited) as of March 31, 2026 and December 31, 2025</w:t>
              </w:r>
            </w:hyperlink>
            <w:r>
              <w:rPr>
                <w:rFonts w:ascii="Times New Roman;Times;serif" w:hAnsi="Times New Roman;Times;serif"/>
                <w:sz w:val="20"/>
              </w:rPr>
              <w:t xml:space="preserve"> </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OfOperations">
              <w:r>
                <w:rPr>
                  <w:rStyle w:val="InternetLink"/>
                  <w:rFonts w:ascii="Times New Roman;Times;serif" w:hAnsi="Times New Roman;Times;serif"/>
                  <w:b w:val="false"/>
                  <w:i w:val="false"/>
                  <w:caps w:val="false"/>
                  <w:smallCaps w:val="false"/>
                  <w:sz w:val="20"/>
                </w:rPr>
                <w:t>Consolidated Statements of Operations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(Loss)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Statements of Changes in Equity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ashFlows_424097">
              <w:r>
                <w:rPr>
                  <w:rStyle w:val="InternetLink"/>
                  <w:rFonts w:ascii="Times New Roman;Times;serif" w:hAnsi="Times New Roman;Times;serif"/>
                  <w:b w:val="false"/>
                  <w:i w:val="false"/>
                  <w:caps w:val="false"/>
                  <w:smallCaps w:val="false"/>
                  <w:sz w:val="20"/>
                </w:rPr>
                <w:t>Consolidated Statements of Cash Flows (unaudited)—For the three months ended March 31,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Note1BusinessandOrganization_244472">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41"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41"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41"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i w:val="false"/>
                  <w:caps w:val="false"/>
                  <w:smallCaps w:val="false"/>
                  <w:sz w:val="20"/>
                </w:rPr>
                <w:t>PART II</w:t>
              </w:r>
            </w:hyperlink>
          </w:p>
        </w:tc>
        <w:tc>
          <w:tcPr>
            <w:tcW w:w="8853"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694" w:type="dxa"/>
            <w:gridSpan w:val="2"/>
            <w:tcBorders/>
            <w:vAlign w:val="center"/>
          </w:tcPr>
          <w:p>
            <w:pPr>
              <w:pStyle w:val="TableContents"/>
              <w:bidi w:val="0"/>
              <w:spacing w:before="0" w:after="30"/>
              <w:ind w:left="0" w:right="0" w:hanging="0"/>
              <w:jc w:val="left"/>
              <w:rPr/>
            </w:pPr>
            <w:hyperlink w:anchor="SIGNATURES_913228">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PARTICONSOLIDATEDFINANCIALINFORMATION_20"/>
      <w:bookmarkStart w:id="42" w:name="_a5e25a76_622a_40e5_98ec_06fab8cccd51"/>
      <w:bookmarkEnd w:id="41"/>
      <w:bookmarkEnd w:id="42"/>
      <w:r>
        <w:rPr>
          <w:rFonts w:ascii="Times New Roman;Times;serif" w:hAnsi="Times New Roman;Times;serif"/>
          <w:b/>
          <w:sz w:val="20"/>
        </w:rPr>
        <w:t>PART I. CONSOLIDATED FINANCIAL INFORMATION</w:t>
      </w:r>
    </w:p>
    <w:p>
      <w:pPr>
        <w:pStyle w:val="TextBody"/>
        <w:bidi w:val="0"/>
        <w:spacing w:before="0" w:after="0"/>
        <w:ind w:left="0" w:right="0" w:hanging="0"/>
        <w:jc w:val="left"/>
        <w:rPr>
          <w:rFonts w:ascii="Times New Roman;Times;serif" w:hAnsi="Times New Roman;Times;serif"/>
          <w:b/>
          <w:sz w:val="20"/>
        </w:rPr>
      </w:pPr>
      <w:bookmarkStart w:id="43" w:name="Item1FinancialStatements_702643"/>
      <w:bookmarkStart w:id="44" w:name="_Item_1._"/>
      <w:bookmarkEnd w:id="43"/>
      <w:bookmarkEnd w:id="44"/>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lineRule="auto" w:line="240" w:before="0" w:after="0"/>
        <w:ind w:left="0" w:right="0" w:hanging="0"/>
        <w:jc w:val="center"/>
        <w:rPr>
          <w:rFonts w:ascii="Times New Roman;Times;serif" w:hAnsi="Times New Roman;Times;serif"/>
          <w:sz w:val="20"/>
        </w:rPr>
      </w:pPr>
      <w:bookmarkStart w:id="45" w:name="ConsolidatedBalanceSheets1_589528"/>
      <w:bookmarkEnd w:id="45"/>
      <w:r>
        <w:rPr>
          <w:rFonts w:ascii="Times New Roman;Times;serif" w:hAnsi="Times New Roman;Times;serif"/>
          <w:b/>
          <w:sz w:val="20"/>
        </w:rPr>
        <w:t>Consolidated Balance Sheets</w:t>
      </w:r>
      <w:r>
        <w:rPr>
          <w:rFonts w:ascii="Times New Roman;Times;serif" w:hAnsi="Times New Roman;Times;serif"/>
          <w:b/>
          <w:sz w:val="15"/>
        </w:rPr>
        <w: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 w:name="Tc_KGaIXYziEkSdy9jQBPXbYQ_39_5"/>
      <w:bookmarkStart w:id="47" w:name="Tc_TGnByoWe-UStD9BPStG6wA_39_2"/>
      <w:bookmarkStart w:id="48" w:name="Tc_jhO46qph40O_HyB-cB9IhA_39_0"/>
      <w:bookmarkStart w:id="49" w:name="Tc_4dmSi_ytV02K4H8aYpjJJw_38_0"/>
      <w:bookmarkStart w:id="50" w:name="Tc_L1DQQX_elkmMZ8hJoTZJhg_37_0"/>
      <w:bookmarkStart w:id="51" w:name="Tc_YGBOrXZ7tECl6P6pe6Vhqg_36_0"/>
      <w:bookmarkStart w:id="52" w:name="Tc_BG2t8kdaeUmZ5NLPWGCZSQ_35_0"/>
      <w:bookmarkStart w:id="53" w:name="Tc_2sT68pwTj0qiYfCp5Y_b_Q_34_0"/>
      <w:bookmarkStart w:id="54" w:name="Tc_BrFNiTxK1UeCr5e4-OamiQ_33_0"/>
      <w:bookmarkStart w:id="55" w:name="Tc_Q-TVIJTzhEy4G6p3pUOERw_32_0"/>
      <w:bookmarkStart w:id="56" w:name="Tc_5vEtno_lp0WZOER0sYA_7A_31_0"/>
      <w:bookmarkStart w:id="57" w:name="Tc_IyEMwPgcvku4QDUbJJkiOw_30_0"/>
      <w:bookmarkStart w:id="58" w:name="Tc_T-tG7DH9hU62n6rGtBA69w_29_6"/>
      <w:bookmarkStart w:id="59" w:name="Tc_ltGIyhgxP0Gts3qAWt22mg_29_0"/>
      <w:bookmarkStart w:id="60" w:name="Tc_IaLqyAITtUmfvvKEBBLy3A_28_0"/>
      <w:bookmarkStart w:id="61" w:name="Tc_eoXK2Z81M0uyHOn-ZrFmYQ_27_0"/>
      <w:bookmarkStart w:id="62" w:name="Tc_UfP6QeoHT0CZP5OJpLOUaA_26_0"/>
      <w:bookmarkStart w:id="63" w:name="Tc_ruPqVlgOWE-OdLAgzXxDTg_25_0"/>
      <w:bookmarkStart w:id="64" w:name="Tc_P_xrA51mWEmZY9JkbZnjfw_24_5"/>
      <w:bookmarkStart w:id="65" w:name="Tc_cseIUSLeIUySmRS_2J2QAA_24_2"/>
      <w:bookmarkStart w:id="66" w:name="Tc_NXrsuINgm0mr8m4RwE8QXA_24_0"/>
      <w:bookmarkStart w:id="67" w:name="Tc_CfFPwpMs4kezwpmXs50eUA_23_0"/>
      <w:bookmarkStart w:id="68" w:name="Tc_TudL1bWPA0ae7mT23RBU9g_22_0"/>
      <w:bookmarkStart w:id="69" w:name="Tc_FAAW-ldImkiY8HczScDcKA_21_5"/>
      <w:bookmarkStart w:id="70" w:name="Tc_L1lyGfxoVUOnpS7fj4rUAw_21_2"/>
      <w:bookmarkStart w:id="71" w:name="Tc_t7U68CZvQkqwi5Sk-cLYjQ_21_0"/>
      <w:bookmarkStart w:id="72" w:name="Tc_S6zsBOH2y0WAHEBApgkl7A_20_0"/>
      <w:bookmarkStart w:id="73" w:name="Tc_Zd9hCu23-0aa7mmlMEUpaA_19_0"/>
      <w:bookmarkStart w:id="74" w:name="Tc_LwCV8B6IkkelTEZQGM4w5g_18_0"/>
      <w:bookmarkStart w:id="75" w:name="Tc_mo2g8lsmmUChatstgUM9DQ_17_0"/>
      <w:bookmarkStart w:id="76" w:name="Tc_bGa1z4fiR0OAvhB4Fi4FMw_16_0"/>
      <w:bookmarkStart w:id="77" w:name="Tc_eMiev6ssQEOMNUzE17dE6g_15_0"/>
      <w:bookmarkStart w:id="78" w:name="Tc_8a6UZkz2SkKlVHZPfGIQRg_14_0"/>
      <w:bookmarkStart w:id="79" w:name="Tc_ZwKxWLAVqUGTuKXAmJy-oQ_13_0"/>
      <w:bookmarkStart w:id="80" w:name="Tc_tU6JSStIxUGBnZhyZ2pgOA_12_0"/>
      <w:bookmarkStart w:id="81" w:name="Tc_FTuL2YFLk0CDHAEF6f_sSA_11_0"/>
      <w:bookmarkStart w:id="82" w:name="Tc_AZLEvEQ0-kagKErQGM3lOQ_10_0"/>
      <w:bookmarkStart w:id="83" w:name="Tc_98NQDrKEKkGlcUzPJuBYfA_9_0"/>
      <w:bookmarkStart w:id="84" w:name="Tc_8vXTXvlPj0GtlnG3vgkfRA_8_0"/>
      <w:bookmarkStart w:id="85" w:name="Tc_7QhcDfcQjEe9oLWNqcyjPw_7_0"/>
      <w:bookmarkStart w:id="86" w:name="Tc_ZhQG-4YdJEOmm0RHC56wLA_6_0"/>
      <w:bookmarkStart w:id="87" w:name="Tc_iVim8W1-G0GmFZQ9JmtN6g_5_0"/>
      <w:bookmarkStart w:id="88" w:name="Tc_wKMMaHbockeYvQIoCPSAGw_4_5"/>
      <w:bookmarkStart w:id="89" w:name="Tc_PCcsUp8EiUqok_qYYMACfQ_4_2"/>
      <w:bookmarkStart w:id="90" w:name="Tc_nDWfyyspHkW22cqljwGDcQ_4_0"/>
      <w:bookmarkStart w:id="91" w:name="Tc_ywdOXRELBUqo9Q5Cb44xmw_3_0"/>
      <w:bookmarkStart w:id="92" w:name="Tc_cvRbZYxrqUa6joS3NNsy6Q_2_5"/>
      <w:bookmarkStart w:id="93" w:name="Tc_GGpGIo6-zUi6SngEMJyxPQ_2_2"/>
      <w:bookmarkStart w:id="94" w:name="Tc_pBN0rnwAdE-bxLtCXpjrkg_1_5"/>
      <w:bookmarkStart w:id="95" w:name="Tc_5sLD6cf37EaCK_1GQtOADw_1_2"/>
      <w:bookmarkStart w:id="96" w:name="_fde6300a_1401_4e5c_bf46_da204e70b09f"/>
      <w:bookmarkStart w:id="97" w:name="Tc_KGaIXYziEkSdy9jQBPXbYQ_39_5"/>
      <w:bookmarkStart w:id="98" w:name="Tc_TGnByoWe-UStD9BPStG6wA_39_2"/>
      <w:bookmarkStart w:id="99" w:name="Tc_jhO46qph40O_HyB-cB9IhA_39_0"/>
      <w:bookmarkStart w:id="100" w:name="Tc_4dmSi_ytV02K4H8aYpjJJw_38_0"/>
      <w:bookmarkStart w:id="101" w:name="Tc_L1DQQX_elkmMZ8hJoTZJhg_37_0"/>
      <w:bookmarkStart w:id="102" w:name="Tc_YGBOrXZ7tECl6P6pe6Vhqg_36_0"/>
      <w:bookmarkStart w:id="103" w:name="Tc_BG2t8kdaeUmZ5NLPWGCZSQ_35_0"/>
      <w:bookmarkStart w:id="104" w:name="Tc_2sT68pwTj0qiYfCp5Y_b_Q_34_0"/>
      <w:bookmarkStart w:id="105" w:name="Tc_BrFNiTxK1UeCr5e4-OamiQ_33_0"/>
      <w:bookmarkStart w:id="106" w:name="Tc_Q-TVIJTzhEy4G6p3pUOERw_32_0"/>
      <w:bookmarkStart w:id="107" w:name="Tc_5vEtno_lp0WZOER0sYA_7A_31_0"/>
      <w:bookmarkStart w:id="108" w:name="Tc_IyEMwPgcvku4QDUbJJkiOw_30_0"/>
      <w:bookmarkStart w:id="109" w:name="Tc_T-tG7DH9hU62n6rGtBA69w_29_6"/>
      <w:bookmarkStart w:id="110" w:name="Tc_ltGIyhgxP0Gts3qAWt22mg_29_0"/>
      <w:bookmarkStart w:id="111" w:name="Tc_IaLqyAITtUmfvvKEBBLy3A_28_0"/>
      <w:bookmarkStart w:id="112" w:name="Tc_eoXK2Z81M0uyHOn-ZrFmYQ_27_0"/>
      <w:bookmarkStart w:id="113" w:name="Tc_UfP6QeoHT0CZP5OJpLOUaA_26_0"/>
      <w:bookmarkStart w:id="114" w:name="Tc_ruPqVlgOWE-OdLAgzXxDTg_25_0"/>
      <w:bookmarkStart w:id="115" w:name="Tc_P_xrA51mWEmZY9JkbZnjfw_24_5"/>
      <w:bookmarkStart w:id="116" w:name="Tc_cseIUSLeIUySmRS_2J2QAA_24_2"/>
      <w:bookmarkStart w:id="117" w:name="Tc_NXrsuINgm0mr8m4RwE8QXA_24_0"/>
      <w:bookmarkStart w:id="118" w:name="Tc_CfFPwpMs4kezwpmXs50eUA_23_0"/>
      <w:bookmarkStart w:id="119" w:name="Tc_TudL1bWPA0ae7mT23RBU9g_22_0"/>
      <w:bookmarkStart w:id="120" w:name="Tc_FAAW-ldImkiY8HczScDcKA_21_5"/>
      <w:bookmarkStart w:id="121" w:name="Tc_L1lyGfxoVUOnpS7fj4rUAw_21_2"/>
      <w:bookmarkStart w:id="122" w:name="Tc_t7U68CZvQkqwi5Sk-cLYjQ_21_0"/>
      <w:bookmarkStart w:id="123" w:name="Tc_S6zsBOH2y0WAHEBApgkl7A_20_0"/>
      <w:bookmarkStart w:id="124" w:name="Tc_Zd9hCu23-0aa7mmlMEUpaA_19_0"/>
      <w:bookmarkStart w:id="125" w:name="Tc_LwCV8B6IkkelTEZQGM4w5g_18_0"/>
      <w:bookmarkStart w:id="126" w:name="Tc_mo2g8lsmmUChatstgUM9DQ_17_0"/>
      <w:bookmarkStart w:id="127" w:name="Tc_bGa1z4fiR0OAvhB4Fi4FMw_16_0"/>
      <w:bookmarkStart w:id="128" w:name="Tc_eMiev6ssQEOMNUzE17dE6g_15_0"/>
      <w:bookmarkStart w:id="129" w:name="Tc_8a6UZkz2SkKlVHZPfGIQRg_14_0"/>
      <w:bookmarkStart w:id="130" w:name="Tc_ZwKxWLAVqUGTuKXAmJy-oQ_13_0"/>
      <w:bookmarkStart w:id="131" w:name="Tc_tU6JSStIxUGBnZhyZ2pgOA_12_0"/>
      <w:bookmarkStart w:id="132" w:name="Tc_FTuL2YFLk0CDHAEF6f_sSA_11_0"/>
      <w:bookmarkStart w:id="133" w:name="Tc_AZLEvEQ0-kagKErQGM3lOQ_10_0"/>
      <w:bookmarkStart w:id="134" w:name="Tc_98NQDrKEKkGlcUzPJuBYfA_9_0"/>
      <w:bookmarkStart w:id="135" w:name="Tc_8vXTXvlPj0GtlnG3vgkfRA_8_0"/>
      <w:bookmarkStart w:id="136" w:name="Tc_7QhcDfcQjEe9oLWNqcyjPw_7_0"/>
      <w:bookmarkStart w:id="137" w:name="Tc_ZhQG-4YdJEOmm0RHC56wLA_6_0"/>
      <w:bookmarkStart w:id="138" w:name="Tc_iVim8W1-G0GmFZQ9JmtN6g_5_0"/>
      <w:bookmarkStart w:id="139" w:name="Tc_wKMMaHbockeYvQIoCPSAGw_4_5"/>
      <w:bookmarkStart w:id="140" w:name="Tc_PCcsUp8EiUqok_qYYMACfQ_4_2"/>
      <w:bookmarkStart w:id="141" w:name="Tc_nDWfyyspHkW22cqljwGDcQ_4_0"/>
      <w:bookmarkStart w:id="142" w:name="Tc_ywdOXRELBUqo9Q5Cb44xmw_3_0"/>
      <w:bookmarkStart w:id="143" w:name="Tc_cvRbZYxrqUa6joS3NNsy6Q_2_5"/>
      <w:bookmarkStart w:id="144" w:name="Tc_GGpGIo6-zUi6SngEMJyxPQ_2_2"/>
      <w:bookmarkStart w:id="145" w:name="Tc_pBN0rnwAdE-bxLtCXpjrkg_1_5"/>
      <w:bookmarkStart w:id="146" w:name="Tc_5sLD6cf37EaCK_1GQtOADw_1_2"/>
      <w:bookmarkStart w:id="147" w:name="_fde6300a_1401_4e5c_bf46_da204e70b09f"/>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356"/>
        <w:gridCol w:w="346"/>
        <w:gridCol w:w="196"/>
        <w:gridCol w:w="826"/>
        <w:gridCol w:w="346"/>
        <w:gridCol w:w="197"/>
        <w:gridCol w:w="938"/>
      </w:tblGrid>
      <w:tr>
        <w:trPr/>
        <w:tc>
          <w:tcPr>
            <w:tcW w:w="7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671060" cy="175260"/>
                      <wp:effectExtent l="0" t="0" r="0" b="0"/>
                      <wp:wrapNone/>
                      <wp:docPr id="30" name="Frame30"/>
                      <a:graphic xmlns:a="http://schemas.openxmlformats.org/drawingml/2006/main">
                        <a:graphicData uri="http://schemas.microsoft.com/office/word/2010/wordprocessingShape">
                          <wps:wsp>
                            <wps:cNvSpPr txBox="1"/>
                            <wps:spPr>
                              <a:xfrm>
                                <a:off x="0" y="0"/>
                                <a:ext cx="467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4510" cy="175260"/>
                      <wp:effectExtent l="0" t="0" r="0" b="0"/>
                      <wp:wrapNone/>
                      <wp:docPr id="33" name="Frame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5095" cy="175260"/>
                      <wp:effectExtent l="0" t="0" r="0" b="0"/>
                      <wp:wrapNone/>
                      <wp:docPr id="35" name="Frame3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5630" cy="175260"/>
                      <wp:effectExtent l="0" t="0" r="0" b="0"/>
                      <wp:wrapNone/>
                      <wp:docPr id="36" name="Frame36"/>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5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investment in sales-type leases ($10,946 and $10,750 of allowances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3,607,076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3,563,675</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Ground Lease receivables, net ($5,024 and $4,872 of allowances as of March 31,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2,053,883</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2,003,931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at cost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743,728</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(53,771)</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(52,222)</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689,957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688,749</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assets, net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203,131</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204,016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available and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real estate, net and real estate-related intangible assets, net and real estate available and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893,924</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894,793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($452 and $328 of allowances as of March 31,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62,103</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46,088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 related party ($2,267 and $2,223 of allowances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112,535</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112,556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285,919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280,850</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19,304</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21,705</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8,817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3,458</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248,616</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241,100</w:t>
            </w:r>
          </w:p>
        </w:tc>
      </w:tr>
      <w:tr>
        <w:trPr/>
        <w:tc>
          <w:tcPr>
            <w:tcW w:w="735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Deferred expenses and other assets, net</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86,216</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72,030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7,381,851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7,249,275</w:t>
            </w:r>
          </w:p>
        </w:tc>
      </w:tr>
      <w:tr>
        <w:trPr/>
        <w:tc>
          <w:tcPr>
            <w:tcW w:w="73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161,616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161,420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liabilities, net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61,881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62,089</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obligations,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4,696,866</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4,920,363</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4,809,396</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Redeemable noncontrolling interests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Safehold Inc.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400,000</w:t>
            </w:r>
            <w:r>
              <w:rPr>
                <w:rFonts w:ascii="Times New Roman;Times;serif" w:hAnsi="Times New Roman;Times;serif"/>
                <w:sz w:val="20"/>
              </w:rPr>
              <w:t xml:space="preserve"> </w:t>
            </w:r>
            <w:r>
              <w:rPr>
                <w:rFonts w:ascii="Times New Roman;Times;serif" w:hAnsi="Times New Roman;Times;serif"/>
                <w:sz w:val="16"/>
              </w:rPr>
              <w:t>shares authorized, 71,820</w:t>
            </w:r>
            <w:r>
              <w:rPr>
                <w:rFonts w:ascii="Times New Roman;Times;serif" w:hAnsi="Times New Roman;Times;serif"/>
                <w:sz w:val="20"/>
              </w:rPr>
              <w:t xml:space="preserve"> </w:t>
            </w:r>
            <w:r>
              <w:rPr>
                <w:rFonts w:ascii="Times New Roman;Times;serif" w:hAnsi="Times New Roman;Times;serif"/>
                <w:sz w:val="16"/>
              </w:rPr>
              <w:t>and 71,756</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2,198,355</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2,199,265</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181,797</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165,737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47,440</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42,592</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Safehold Inc.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2,428,310</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2,408,311</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32,378</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31,568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2,460,688</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2,439,879</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7,381,851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7,249,275</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9242" w:type="dxa"/>
        <w:jc w:val="left"/>
        <w:tblInd w:w="0" w:type="dxa"/>
        <w:tblLayout w:type="fixed"/>
        <w:tblCellMar>
          <w:top w:w="0" w:type="dxa"/>
          <w:left w:w="0" w:type="dxa"/>
          <w:bottom w:w="0" w:type="dxa"/>
          <w:right w:w="0" w:type="dxa"/>
        </w:tblCellMar>
      </w:tblPr>
      <w:tblGrid>
        <w:gridCol w:w="331"/>
        <w:gridCol w:w="89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and December 31, 2025, includes $2.6</w:t>
            </w:r>
            <w:r>
              <w:rPr>
                <w:caps w:val="false"/>
                <w:smallCaps w:val="false"/>
              </w:rPr>
              <w:t xml:space="preserve"> </w:t>
            </w:r>
            <w:r>
              <w:rPr>
                <w:rFonts w:ascii="Times New Roman;Times;serif" w:hAnsi="Times New Roman;Times;serif"/>
                <w:b w:val="false"/>
                <w:i w:val="false"/>
                <w:caps w:val="false"/>
                <w:smallCaps w:val="false"/>
                <w:sz w:val="16"/>
              </w:rPr>
              <w:t>million and $3.0</w:t>
            </w:r>
            <w:r>
              <w:rPr>
                <w:caps w:val="false"/>
                <w:smallCaps w:val="false"/>
              </w:rPr>
              <w:t> </w:t>
            </w:r>
            <w:r>
              <w:rPr>
                <w:rFonts w:ascii="Times New Roman;Times;serif" w:hAnsi="Times New Roman;Times;serif"/>
                <w:b w:val="false"/>
                <w:i w:val="false"/>
                <w:caps w:val="false"/>
                <w:smallCaps w:val="false"/>
                <w:sz w:val="16"/>
              </w:rPr>
              <w:t>million, respectively, due from related parties.</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 w:name="_ff09e7d8_109e_45d1_9541_edac6342456b"/>
      <w:bookmarkEnd w:id="148"/>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b/>
          <w:sz w:val="20"/>
        </w:rPr>
      </w:pPr>
      <w:bookmarkStart w:id="149" w:name="StatementOfOperations"/>
      <w:bookmarkEnd w:id="149"/>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ZJxZboUTZkOhJgC5YUSNvQ_34_0"/>
      <w:bookmarkStart w:id="151" w:name="Tc_OStkXtAOfUi2RzFYnPKq4w_33_0"/>
      <w:bookmarkStart w:id="152" w:name="Tc_QNFG1UkXQkaISQENQe2r8g_32_0"/>
      <w:bookmarkStart w:id="153" w:name="Tc_cTRz6qRjpk-s14zDkWLqGg_31_5"/>
      <w:bookmarkStart w:id="154" w:name="Tc_Y4SM32Ouy0m41ba-pYBRdg_31_2"/>
      <w:bookmarkStart w:id="155" w:name="Tc_Klznt2H58E-vpSMjP1rZWA_31_0"/>
      <w:bookmarkStart w:id="156" w:name="Tc_DeZ9eBWAA02lpB7qt9wA5Q_30_5"/>
      <w:bookmarkStart w:id="157" w:name="Tc_J0LZewmDBEiqmTMJWoFmPw_30_2"/>
      <w:bookmarkStart w:id="158" w:name="Tc_UxVBUZJInEaFUb6sTADXqg_30_0"/>
      <w:bookmarkStart w:id="159" w:name="Tc_aJId6813VE2Z5flsYlRXQQ_29_0"/>
      <w:bookmarkStart w:id="160" w:name="Tc_7EA4A8pbMU-m_gFRBh4aQA_28_0"/>
      <w:bookmarkStart w:id="161" w:name="Tc_beKHQ8cFck2mZIgM8-IGQA_26_5"/>
      <w:bookmarkStart w:id="162" w:name="Tc_1IpliaceZEWkSlmxlLAilA_26_2"/>
      <w:bookmarkStart w:id="163" w:name="Tc_75y6ZdOqiUua7NJC292F6w_26_0"/>
      <w:bookmarkStart w:id="164" w:name="Tc_8_00enxEBUWPC5gazCMLcw_25_0"/>
      <w:bookmarkStart w:id="165" w:name="Tc_GP-6C-dImkmhzewgvu_fLw_24_0"/>
      <w:bookmarkStart w:id="166" w:name="Tc_JklKnI1u6EWuG2sKFEgeMQ_23_0"/>
      <w:bookmarkStart w:id="167" w:name="Tc_nVfVXOl8TUuDn3VW9QwuDA_22_0"/>
      <w:bookmarkStart w:id="168" w:name="Tc_SFtVhLUAAUiEFcXxIP7uAA_21_0"/>
      <w:bookmarkStart w:id="169" w:name="Tc_fuy19WyuGEKdwcJ4Mq7iKg_20_0"/>
      <w:bookmarkStart w:id="170" w:name="Tc_xYvqVImKP0afUwpCJrblvQ_19_0"/>
      <w:bookmarkStart w:id="171" w:name="Tc_0LH2inVyV024X-q9HVeAew_18_0"/>
      <w:bookmarkStart w:id="172" w:name="Tc_T00ANjrN906dmj-Ni_Yi9A_17_0"/>
      <w:bookmarkStart w:id="173" w:name="Tc_6F2xzI8uJ0ihgmZHdykEZw_16_0"/>
      <w:bookmarkStart w:id="174" w:name="Tc_tql4NwPFUUihr0DmBlyBIA_15_0"/>
      <w:bookmarkStart w:id="175" w:name="Tc_SlcokaEtCEaBr1_9n4NTfA_14_0"/>
      <w:bookmarkStart w:id="176" w:name="Tc_0_fw_kUEmkiLhhqbEGXbdw_13_6"/>
      <w:bookmarkStart w:id="177" w:name="Tc_iRTk3paIXUmaR2UDhz23Jg_13_0"/>
      <w:bookmarkStart w:id="178" w:name="Tc_vi23gibljUCbWAc44lw50w_12_0"/>
      <w:bookmarkStart w:id="179" w:name="Tc_EhBM_K7wkEyhpYmI9ArOTw_11_0"/>
      <w:bookmarkStart w:id="180" w:name="Tc_m3peIFmuFEm9NwSVoh4CXA_10_0"/>
      <w:bookmarkStart w:id="181" w:name="Tc_eJxTrTYPsU-JIIYhjFcBFA_9_0"/>
      <w:bookmarkStart w:id="182" w:name="Tc_hv9Boeut60aUktasYNBHHQ_8_0"/>
      <w:bookmarkStart w:id="183" w:name="Tc_Io2LvmEUfUGY30dYvfFmzA_7_6"/>
      <w:bookmarkStart w:id="184" w:name="Tc_UjYIIX3n9EOuKCG1lRhS5g_7_0"/>
      <w:bookmarkStart w:id="185" w:name="Tc_o52Lu0pgQ0Wb3BhLSxgoYQ_6_0"/>
      <w:bookmarkStart w:id="186" w:name="Tc_Zr8uKgmtWkSMYrDxkncxxw_5_5"/>
      <w:bookmarkStart w:id="187" w:name="Tc_NSPy5YYNH0ixm7Rxd6INsg_5_2"/>
      <w:bookmarkStart w:id="188" w:name="Tc_zO-woX0APEqGbF0rfDzLww_5_0"/>
      <w:bookmarkStart w:id="189" w:name="Tc__0N35Y4Pi0mfg8U9TqaeFg_4_0"/>
      <w:bookmarkStart w:id="190" w:name="Tc_yJdC51EQWEKxKLQXIJeULQ_3_5"/>
      <w:bookmarkStart w:id="191" w:name="Tc_1X3_YwJFVkq3jJJPEWddEQ_3_2"/>
      <w:bookmarkStart w:id="192" w:name="Tc_8qO0Eaox4EWkK06npYOGPA_2_2"/>
      <w:bookmarkStart w:id="193" w:name="Tc_MPUQk-uIZEq6kCUcwMRkPQ_1_2"/>
      <w:bookmarkStart w:id="194" w:name="_8946b13f_a460_434f_a22f_ea4ee75a4a1b"/>
      <w:bookmarkStart w:id="195" w:name="_d8300f18_15c8_46ff_b9d9_67a5bce4299d"/>
      <w:bookmarkStart w:id="196" w:name="Tc_ZJxZboUTZkOhJgC5YUSNvQ_34_0"/>
      <w:bookmarkStart w:id="197" w:name="Tc_OStkXtAOfUi2RzFYnPKq4w_33_0"/>
      <w:bookmarkStart w:id="198" w:name="Tc_QNFG1UkXQkaISQENQe2r8g_32_0"/>
      <w:bookmarkStart w:id="199" w:name="Tc_cTRz6qRjpk-s14zDkWLqGg_31_5"/>
      <w:bookmarkStart w:id="200" w:name="Tc_Y4SM32Ouy0m41ba-pYBRdg_31_2"/>
      <w:bookmarkStart w:id="201" w:name="Tc_Klznt2H58E-vpSMjP1rZWA_31_0"/>
      <w:bookmarkStart w:id="202" w:name="Tc_DeZ9eBWAA02lpB7qt9wA5Q_30_5"/>
      <w:bookmarkStart w:id="203" w:name="Tc_J0LZewmDBEiqmTMJWoFmPw_30_2"/>
      <w:bookmarkStart w:id="204" w:name="Tc_UxVBUZJInEaFUb6sTADXqg_30_0"/>
      <w:bookmarkStart w:id="205" w:name="Tc_aJId6813VE2Z5flsYlRXQQ_29_0"/>
      <w:bookmarkStart w:id="206" w:name="Tc_7EA4A8pbMU-m_gFRBh4aQA_28_0"/>
      <w:bookmarkStart w:id="207" w:name="Tc_beKHQ8cFck2mZIgM8-IGQA_26_5"/>
      <w:bookmarkStart w:id="208" w:name="Tc_1IpliaceZEWkSlmxlLAilA_26_2"/>
      <w:bookmarkStart w:id="209" w:name="Tc_75y6ZdOqiUua7NJC292F6w_26_0"/>
      <w:bookmarkStart w:id="210" w:name="Tc_8_00enxEBUWPC5gazCMLcw_25_0"/>
      <w:bookmarkStart w:id="211" w:name="Tc_GP-6C-dImkmhzewgvu_fLw_24_0"/>
      <w:bookmarkStart w:id="212" w:name="Tc_JklKnI1u6EWuG2sKFEgeMQ_23_0"/>
      <w:bookmarkStart w:id="213" w:name="Tc_nVfVXOl8TUuDn3VW9QwuDA_22_0"/>
      <w:bookmarkStart w:id="214" w:name="Tc_SFtVhLUAAUiEFcXxIP7uAA_21_0"/>
      <w:bookmarkStart w:id="215" w:name="Tc_fuy19WyuGEKdwcJ4Mq7iKg_20_0"/>
      <w:bookmarkStart w:id="216" w:name="Tc_xYvqVImKP0afUwpCJrblvQ_19_0"/>
      <w:bookmarkStart w:id="217" w:name="Tc_0LH2inVyV024X-q9HVeAew_18_0"/>
      <w:bookmarkStart w:id="218" w:name="Tc_T00ANjrN906dmj-Ni_Yi9A_17_0"/>
      <w:bookmarkStart w:id="219" w:name="Tc_6F2xzI8uJ0ihgmZHdykEZw_16_0"/>
      <w:bookmarkStart w:id="220" w:name="Tc_tql4NwPFUUihr0DmBlyBIA_15_0"/>
      <w:bookmarkStart w:id="221" w:name="Tc_SlcokaEtCEaBr1_9n4NTfA_14_0"/>
      <w:bookmarkStart w:id="222" w:name="Tc_0_fw_kUEmkiLhhqbEGXbdw_13_6"/>
      <w:bookmarkStart w:id="223" w:name="Tc_iRTk3paIXUmaR2UDhz23Jg_13_0"/>
      <w:bookmarkStart w:id="224" w:name="Tc_vi23gibljUCbWAc44lw50w_12_0"/>
      <w:bookmarkStart w:id="225" w:name="Tc_EhBM_K7wkEyhpYmI9ArOTw_11_0"/>
      <w:bookmarkStart w:id="226" w:name="Tc_m3peIFmuFEm9NwSVoh4CXA_10_0"/>
      <w:bookmarkStart w:id="227" w:name="Tc_eJxTrTYPsU-JIIYhjFcBFA_9_0"/>
      <w:bookmarkStart w:id="228" w:name="Tc_hv9Boeut60aUktasYNBHHQ_8_0"/>
      <w:bookmarkStart w:id="229" w:name="Tc_Io2LvmEUfUGY30dYvfFmzA_7_6"/>
      <w:bookmarkStart w:id="230" w:name="Tc_UjYIIX3n9EOuKCG1lRhS5g_7_0"/>
      <w:bookmarkStart w:id="231" w:name="Tc_o52Lu0pgQ0Wb3BhLSxgoYQ_6_0"/>
      <w:bookmarkStart w:id="232" w:name="Tc_Zr8uKgmtWkSMYrDxkncxxw_5_5"/>
      <w:bookmarkStart w:id="233" w:name="Tc_NSPy5YYNH0ixm7Rxd6INsg_5_2"/>
      <w:bookmarkStart w:id="234" w:name="Tc_zO-woX0APEqGbF0rfDzLww_5_0"/>
      <w:bookmarkStart w:id="235" w:name="Tc__0N35Y4Pi0mfg8U9TqaeFg_4_0"/>
      <w:bookmarkStart w:id="236" w:name="Tc_yJdC51EQWEKxKLQXIJeULQ_3_5"/>
      <w:bookmarkStart w:id="237" w:name="Tc_1X3_YwJFVkq3jJJPEWddEQ_3_2"/>
      <w:bookmarkStart w:id="238" w:name="Tc_8qO0Eaox4EWkK06npYOGPA_2_2"/>
      <w:bookmarkStart w:id="239" w:name="Tc_MPUQk-uIZEq6kCUcwMRkPQ_1_2"/>
      <w:bookmarkStart w:id="240" w:name="_8946b13f_a460_434f_a22f_ea4ee75a4a1b"/>
      <w:bookmarkStart w:id="241" w:name="_d8300f18_15c8_46ff_b9d9_67a5bce4299d"/>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8342" w:type="dxa"/>
        <w:jc w:val="left"/>
        <w:tblInd w:w="0" w:type="dxa"/>
        <w:tblLayout w:type="fixed"/>
        <w:tblCellMar>
          <w:top w:w="0" w:type="dxa"/>
          <w:left w:w="0" w:type="dxa"/>
          <w:bottom w:w="0" w:type="dxa"/>
          <w:right w:w="0" w:type="dxa"/>
        </w:tblCellMar>
      </w:tblPr>
      <w:tblGrid>
        <w:gridCol w:w="5656"/>
        <w:gridCol w:w="346"/>
        <w:gridCol w:w="211"/>
        <w:gridCol w:w="781"/>
        <w:gridCol w:w="346"/>
        <w:gridCol w:w="211"/>
        <w:gridCol w:w="791"/>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91560" cy="175260"/>
                      <wp:effectExtent l="0" t="0" r="0" b="0"/>
                      <wp:wrapNone/>
                      <wp:docPr id="37" name="Frame37"/>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40" name="Frame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2285" cy="175260"/>
                      <wp:effectExtent l="0" t="0" r="0" b="0"/>
                      <wp:wrapNone/>
                      <wp:docPr id="43" name="Frame4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69,664</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21,382</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56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w:t>
            </w:r>
          </w:p>
        </w:tc>
      </w:tr>
      <w:tr>
        <w:trPr/>
        <w:tc>
          <w:tcPr>
            <w:tcW w:w="56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97,677</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50,426</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14,132</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72,376</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25,301</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4,992</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30,293</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29,410</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29,364</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left"/>
              <w:rPr/>
            </w:pPr>
            <w:r>
              <w:rPr/>
              <w:t>​</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71,635</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March 31, 2026 and 2025, includes $2.3</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$2.3</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 xml:space="preserve">million, respectively, of interest income from related parties.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March 31, 2026 and 2025, includes $2.1</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$3.6</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 xml:space="preserve">million, respectively, of management fees from related parties. </w:t>
            </w:r>
          </w:p>
        </w:tc>
      </w:tr>
    </w:tbl>
    <w:p>
      <w:pPr>
        <w:pStyle w:val="TextBody"/>
        <w:bidi w:val="0"/>
        <w:spacing w:before="0" w:after="240"/>
        <w:ind w:left="360" w:right="0" w:hanging="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2" w:name="_4481c93a_49b3_472c_b1de_e39f16684bb9"/>
      <w:bookmarkEnd w:id="242"/>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sz w:val="20"/>
        </w:rPr>
      </w:pPr>
      <w:bookmarkStart w:id="243" w:name="ConsolidatedStatementsofComprehensiveInc"/>
      <w:bookmarkEnd w:id="243"/>
      <w:r>
        <w:rPr>
          <w:rFonts w:ascii="Times New Roman;Times;serif" w:hAnsi="Times New Roman;Times;serif"/>
          <w:b/>
          <w:sz w:val="20"/>
        </w:rPr>
        <w:t>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4" w:name="Tc__bJNuHqAPEqP74ZcAkZmLQ_11_5"/>
      <w:bookmarkStart w:id="245" w:name="Tc_QqRsBJ0qR0ewIczL6oRiQA_11_2"/>
      <w:bookmarkStart w:id="246" w:name="Tc_8eUGwLG-TkyEUikMOES_rQ_11_0"/>
      <w:bookmarkStart w:id="247" w:name="Tc_UO1IuyStxUelWd0oVvYSbg_10_0"/>
      <w:bookmarkStart w:id="248" w:name="Tc_NmQ0ud29NkidfI8Wu5LehQ_9_0"/>
      <w:bookmarkStart w:id="249" w:name="Tc_1J3GWWcSG0GbMqT1TLw1cw_8_0"/>
      <w:bookmarkStart w:id="250" w:name="Tc_GSGuH_Fp50W6o4owHqmq6Q_7_0"/>
      <w:bookmarkStart w:id="251" w:name="Tc_LizODR4XjkWy2I8sbRlikw_6_0"/>
      <w:bookmarkStart w:id="252" w:name="Tc_IWVI9y4vBEajOxzUBD6vIA_5_0"/>
      <w:bookmarkStart w:id="253" w:name="Tc_ricxRvxAe0y_Tx-iTkcaHQ_4_5"/>
      <w:bookmarkStart w:id="254" w:name="Tc_7dFLiI57mkOT7k26FAlIaA_4_2"/>
      <w:bookmarkStart w:id="255" w:name="Tc_mAiMjCvFjE2zbBb5L16hkw_4_0"/>
      <w:bookmarkStart w:id="256" w:name="Tc_9iw_A4yja0qvhjIX7cD-PA_3_5"/>
      <w:bookmarkStart w:id="257" w:name="Tc_mpYSJ_uOpUq6BQexFHimgQ_3_2"/>
      <w:bookmarkStart w:id="258" w:name="Tc_Lj-ArohYfEWAqUA9av7x2g_2_2"/>
      <w:bookmarkStart w:id="259" w:name="Tc_h3vGaUyji0uDbeKRzYDyBA_1_2"/>
      <w:bookmarkStart w:id="260" w:name="_7a34329e_3324_449f_9c39_25148e8dafea"/>
      <w:bookmarkStart w:id="261" w:name="Tc__bJNuHqAPEqP74ZcAkZmLQ_11_5"/>
      <w:bookmarkStart w:id="262" w:name="Tc_QqRsBJ0qR0ewIczL6oRiQA_11_2"/>
      <w:bookmarkStart w:id="263" w:name="Tc_8eUGwLG-TkyEUikMOES_rQ_11_0"/>
      <w:bookmarkStart w:id="264" w:name="Tc_UO1IuyStxUelWd0oVvYSbg_10_0"/>
      <w:bookmarkStart w:id="265" w:name="Tc_NmQ0ud29NkidfI8Wu5LehQ_9_0"/>
      <w:bookmarkStart w:id="266" w:name="Tc_1J3GWWcSG0GbMqT1TLw1cw_8_0"/>
      <w:bookmarkStart w:id="267" w:name="Tc_GSGuH_Fp50W6o4owHqmq6Q_7_0"/>
      <w:bookmarkStart w:id="268" w:name="Tc_LizODR4XjkWy2I8sbRlikw_6_0"/>
      <w:bookmarkStart w:id="269" w:name="Tc_IWVI9y4vBEajOxzUBD6vIA_5_0"/>
      <w:bookmarkStart w:id="270" w:name="Tc_ricxRvxAe0y_Tx-iTkcaHQ_4_5"/>
      <w:bookmarkStart w:id="271" w:name="Tc_7dFLiI57mkOT7k26FAlIaA_4_2"/>
      <w:bookmarkStart w:id="272" w:name="Tc_mAiMjCvFjE2zbBb5L16hkw_4_0"/>
      <w:bookmarkStart w:id="273" w:name="Tc_9iw_A4yja0qvhjIX7cD-PA_3_5"/>
      <w:bookmarkStart w:id="274" w:name="Tc_mpYSJ_uOpUq6BQexFHimgQ_3_2"/>
      <w:bookmarkStart w:id="275" w:name="Tc_Lj-ArohYfEWAqUA9av7x2g_2_2"/>
      <w:bookmarkStart w:id="276" w:name="Tc_h3vGaUyji0uDbeKRzYDyBA_1_2"/>
      <w:bookmarkStart w:id="277" w:name="_7a34329e_3324_449f_9c39_25148e8dafea"/>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8347" w:type="dxa"/>
        <w:jc w:val="left"/>
        <w:tblInd w:w="0" w:type="dxa"/>
        <w:tblLayout w:type="fixed"/>
        <w:tblCellMar>
          <w:top w:w="0" w:type="dxa"/>
          <w:left w:w="0" w:type="dxa"/>
          <w:bottom w:w="0" w:type="dxa"/>
          <w:right w:w="0" w:type="dxa"/>
        </w:tblCellMar>
      </w:tblPr>
      <w:tblGrid>
        <w:gridCol w:w="5716"/>
        <w:gridCol w:w="346"/>
        <w:gridCol w:w="211"/>
        <w:gridCol w:w="676"/>
        <w:gridCol w:w="346"/>
        <w:gridCol w:w="211"/>
        <w:gridCol w:w="84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629660" cy="175260"/>
                      <wp:effectExtent l="0" t="0" r="0" b="0"/>
                      <wp:wrapNone/>
                      <wp:docPr id="44" name="Frame4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29260" cy="175260"/>
                      <wp:effectExtent l="0" t="0" r="0" b="0"/>
                      <wp:wrapNone/>
                      <wp:docPr id="47" name="Frame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34035" cy="175260"/>
                      <wp:effectExtent l="0" t="0" r="0" b="0"/>
                      <wp:wrapNone/>
                      <wp:docPr id="50" name="Frame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on derivatives into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Safehold Inc.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15,732</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hd w:fill="FFFFFF" w:val="clea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Equity</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w:t>
      </w:r>
    </w:p>
    <w:p>
      <w:pPr>
        <w:pStyle w:val="TextBody"/>
        <w:bidi w:val="0"/>
        <w:spacing w:before="0" w:after="0"/>
        <w:ind w:left="0" w:right="0" w:firstLine="720"/>
        <w:jc w:val="center"/>
        <w:rPr/>
      </w:pPr>
      <w:bookmarkStart w:id="278" w:name="Equity"/>
      <w:bookmarkEnd w:id="278"/>
      <w:r>
        <w:rPr/>
        <w:t>  </w:t>
      </w:r>
    </w:p>
    <w:p>
      <w:pPr>
        <w:pStyle w:val="TextBody"/>
        <w:bidi w:val="0"/>
        <w:spacing w:lineRule="atLeast" w:line="142" w:before="0" w:after="240"/>
        <w:ind w:left="0" w:right="0" w:firstLine="720"/>
        <w:jc w:val="center"/>
        <w:rPr/>
      </w:pPr>
      <w:bookmarkStart w:id="279" w:name="_3134fd69_1dfa_4341_80c2_57423ccfe8a9"/>
      <w:bookmarkEnd w:id="279"/>
      <w:r>
        <w:rPr/>
        <w:t>​</w:t>
      </w:r>
    </w:p>
    <w:p>
      <w:pPr>
        <w:pStyle w:val="Normal"/>
        <w:bidi w:val="0"/>
        <w:spacing w:before="0" w:after="0"/>
        <w:jc w:val="left"/>
        <w:rPr>
          <w:sz w:val="4"/>
          <w:szCs w:val="4"/>
        </w:rPr>
      </w:pPr>
      <w:r>
        <w:rPr>
          <w:sz w:val="4"/>
          <w:szCs w:val="4"/>
        </w:rPr>
      </w:r>
      <w:bookmarkStart w:id="280" w:name="Tc_UNAPEalT90CW_drMiYcGAQ_22_17"/>
      <w:bookmarkStart w:id="281" w:name="Tc_h26UkAyRBkqZ4YOc_2Gg8A_22_14"/>
      <w:bookmarkStart w:id="282" w:name="Tc_CpJ6eb4T9UCc823OHgUp1w_22_11"/>
      <w:bookmarkStart w:id="283" w:name="Tc_00gQ02CDakiM98ivfUgoqw_22_8"/>
      <w:bookmarkStart w:id="284" w:name="Tc_92TSK8MFXEKdXKfqk_AMaQ_22_5"/>
      <w:bookmarkStart w:id="285" w:name="Tc_sHnUC5r8N0uNgHTftGQ6qg_22_2"/>
      <w:bookmarkStart w:id="286" w:name="Tc_tmILAsdb2EyzzIkbkGZgbA_22_0"/>
      <w:bookmarkStart w:id="287" w:name="Tc_xRdn4_R2cES-vSfUp-qsaw_21_12"/>
      <w:bookmarkStart w:id="288" w:name="Tc_jeicMKHplEiChCyXF1KDYQ_21_9"/>
      <w:bookmarkStart w:id="289" w:name="Tc_PZXQG5UZqECyceS1OGQb5Q_21_3"/>
      <w:bookmarkStart w:id="290" w:name="Tc_f-yIfUkyyUyGcUsKyzm3EA_21_0"/>
      <w:bookmarkStart w:id="291" w:name="Tc_Q8UJ54c24EWJrrnk9EyBqQ_20_12"/>
      <w:bookmarkStart w:id="292" w:name="Tc_2ycWDtfZHkyaACndqF32FQ_20_9"/>
      <w:bookmarkStart w:id="293" w:name="Tc_JJK8OWPLT0SIS76DzyDagA_20_6"/>
      <w:bookmarkStart w:id="294" w:name="Tc_A7CchvX7aUi2hP1wJwkuUg_20_3"/>
      <w:bookmarkStart w:id="295" w:name="Tc_PwwRYJwpqk6IG-ZKgl472w_20_0"/>
      <w:bookmarkStart w:id="296" w:name="Tc_QHUVjxtBHU-Y_Qwm7N0NEQ_19_15"/>
      <w:bookmarkStart w:id="297" w:name="Tc_2DvdkjYs9kS_sP4aEQQfFw_19_9"/>
      <w:bookmarkStart w:id="298" w:name="Tc__pWz5KDDHU-RipxM1y77aA_19_6"/>
      <w:bookmarkStart w:id="299" w:name="Tc_4w3h4WLt-Ea-gq2SAsjwqQ_19_3"/>
      <w:bookmarkStart w:id="300" w:name="Tc_R5NLBEJZ9ECphiFmcUObFA_19_0"/>
      <w:bookmarkStart w:id="301" w:name="Tc_L1QyYL7KZEiuaXVWb0KPsw_18_15"/>
      <w:bookmarkStart w:id="302" w:name="Tc_LVJajjhd2kO1XZd4DbVXjg_18_12"/>
      <w:bookmarkStart w:id="303" w:name="Tc_KMgwP4KHHUe1nbklT-dKyw_18_6"/>
      <w:bookmarkStart w:id="304" w:name="Tc_OeuqPttPQEGtBmmYVy-MBQ_18_3"/>
      <w:bookmarkStart w:id="305" w:name="Tc_so2p8G_DMUCEp20dltUKQw_18_0"/>
      <w:bookmarkStart w:id="306" w:name="Tc_31ltKEcJIEWZ7xjel84e_w_17_12"/>
      <w:bookmarkStart w:id="307" w:name="Tc_FBYvsqJcnkK3T7ncHqADzQ_17_9"/>
      <w:bookmarkStart w:id="308" w:name="Tc_9HlMn5e4p0Oqmz3yNNKKbw_17_0"/>
      <w:bookmarkStart w:id="309" w:name="Tc_EIFwn3RwB0q17YoUXYKBxg_16_12"/>
      <w:bookmarkStart w:id="310" w:name="Tc_IUm-WSj3jE6NfuHUvinCWg_16_6"/>
      <w:bookmarkStart w:id="311" w:name="Tc_DhmYI6SCvk2sp_mLo5PFcg_16_3"/>
      <w:bookmarkStart w:id="312" w:name="Tc_RlpvkPQWIUmsELhVtpaWSQ_16_0"/>
      <w:bookmarkStart w:id="313" w:name="Tc_ienLQZAlBEG_C6jE1bSPOg_15_17"/>
      <w:bookmarkStart w:id="314" w:name="Tc_toFr7AJTlEKEtG9gHkN4jA_15_14"/>
      <w:bookmarkStart w:id="315" w:name="Tc_OLfT_gAKbUaN9FObFJ64qA_15_11"/>
      <w:bookmarkStart w:id="316" w:name="Tc_LFvrYF1800a01Znjul8kLA_15_8"/>
      <w:bookmarkStart w:id="317" w:name="Tc_w9LD5NxA802i-XIj5vaETg_15_5"/>
      <w:bookmarkStart w:id="318" w:name="Tc_CQXfeA9A3EWqNI5PMG8yFQ_15_2"/>
      <w:bookmarkStart w:id="319" w:name="Tc_5RKH12imCEK-hnzR2cRRWA_15_0"/>
      <w:bookmarkStart w:id="320" w:name="Tc_cfnI_6VIB0eEsFVkaK3OIQ_13_17"/>
      <w:bookmarkStart w:id="321" w:name="Tc_nZ5N3Qi5b0GtmAx1Jeg-iA_13_14"/>
      <w:bookmarkStart w:id="322" w:name="Tc_5Z5fZL2s0Ey8ersZTvQTgA_13_11"/>
      <w:bookmarkStart w:id="323" w:name="Tc_moYiFJgK3U2I96lxJEPURg_13_8"/>
      <w:bookmarkStart w:id="324" w:name="Tc_CpOdMA8OcEKWn--I3AlLdw_13_5"/>
      <w:bookmarkStart w:id="325" w:name="Tc_V7YjyYE6lEGF0wNz9CbfwA_13_2"/>
      <w:bookmarkStart w:id="326" w:name="Tc_QDatJmB6pECqsY86h9HKDg_13_0"/>
      <w:bookmarkStart w:id="327" w:name="Tc_X_uUjmeoPk-2BzglW3-iQw_12_15"/>
      <w:bookmarkStart w:id="328" w:name="Tc_zAQ8-ywNBkWBG_uYXViIgw_12_12"/>
      <w:bookmarkStart w:id="329" w:name="Tc_ptHbW1c6m0-r0neKz-Ku6Q_12_9"/>
      <w:bookmarkStart w:id="330" w:name="Tc_q0rh1weHlUmH_NtZm-kNDw_12_0"/>
      <w:bookmarkStart w:id="331" w:name="Tc_7ySrPUdj4U24Fer3bYX04Q_11_12"/>
      <w:bookmarkStart w:id="332" w:name="Tc_cjsr126nvU2Tmk9zZcemEA_11_9"/>
      <w:bookmarkStart w:id="333" w:name="Tc_4S0F8hcPLkikqCxjeTcsnQ_11_3"/>
      <w:bookmarkStart w:id="334" w:name="Tc_G14Zf7xSPU-A5nragqaxuw_11_0"/>
      <w:bookmarkStart w:id="335" w:name="Tc_lp9t_LKyy0G9PWpX1MY_AA_10_12"/>
      <w:bookmarkStart w:id="336" w:name="Tc__89fRQ39_EGwSFs8QEpS5g_10_9"/>
      <w:bookmarkStart w:id="337" w:name="Tc_Rgi15LcN-k-IfJuE0yEAcQ_10_6"/>
      <w:bookmarkStart w:id="338" w:name="Tc_dapnd45Mek-rU-w_xILTMA_10_3"/>
      <w:bookmarkStart w:id="339" w:name="Tc_kUxyF_zhYUW2gU8XGChFoQ_10_0"/>
      <w:bookmarkStart w:id="340" w:name="Tc_Sm9MeFdroEqH8s9zkcL2SA_9_15"/>
      <w:bookmarkStart w:id="341" w:name="Tc_AziaLnyr5EuIT3QnIDfsrA_9_9"/>
      <w:bookmarkStart w:id="342" w:name="Tc_OfdakZb3a0GYj9fpMLhWEw_9_6"/>
      <w:bookmarkStart w:id="343" w:name="Tc_97tdxD9KuEqICJn1QeFu5w_9_3"/>
      <w:bookmarkStart w:id="344" w:name="Tc_7X1lpnmJh0GSh4gU-Pv-CQ_9_0"/>
      <w:bookmarkStart w:id="345" w:name="Tc_3V3xuJFVpEW4dlK2eQBlhw_8_15"/>
      <w:bookmarkStart w:id="346" w:name="Tc_5L8uHQ2zZE-rKIDYY83YtQ_8_12"/>
      <w:bookmarkStart w:id="347" w:name="Tc_U3xZwY6bjkadcwWEUmyTyg_8_6"/>
      <w:bookmarkStart w:id="348" w:name="Tc_aldmwV08AEeRntxuSlTKOg_8_3"/>
      <w:bookmarkStart w:id="349" w:name="Tc_Ho_Q_JpUCUKwRynoi_oQUg_8_0"/>
      <w:bookmarkStart w:id="350" w:name="Tc__uB4hYkjA02aBgQSMEjPWA_7_12"/>
      <w:bookmarkStart w:id="351" w:name="Tc_ZyCEsnipW0eaZ48b3Ul4IA_7_9"/>
      <w:bookmarkStart w:id="352" w:name="Tc_ghUDK3rv7EyGRvae9SBEjA_7_0"/>
      <w:bookmarkStart w:id="353" w:name="Tc_Q7G_LLOHyUqoGrEXF2IKiQ_6_12"/>
      <w:bookmarkStart w:id="354" w:name="Tc_YHOKslcWi0anxysS_qsPIQ_6_6"/>
      <w:bookmarkStart w:id="355" w:name="Tc_titki-a1tEajr148fkHsrg_6_3"/>
      <w:bookmarkStart w:id="356" w:name="Tc_XfHYDL44aUW3xv2vxuElWg_6_0"/>
      <w:bookmarkStart w:id="357" w:name="Tc_AolFyfA2m0CD_-GNplKBiQ_5_17"/>
      <w:bookmarkStart w:id="358" w:name="Tc_rLkHw472YUO-9Fbt7aQT5w_5_14"/>
      <w:bookmarkStart w:id="359" w:name="Tc_yH67vlDdfEWHz01KlQEZKQ_5_11"/>
      <w:bookmarkStart w:id="360" w:name="Tc_Azoshz4NwEejEMV8OBpRZg_5_8"/>
      <w:bookmarkStart w:id="361" w:name="Tc_pRp16yl_dkihumCu4B8c3Q_5_5"/>
      <w:bookmarkStart w:id="362" w:name="Tc_77Xxlolum0SmUUWZbePkhg_5_2"/>
      <w:bookmarkStart w:id="363" w:name="Tc_ih6kdMsbrUeyXJEYPWj-6w_5_0"/>
      <w:bookmarkStart w:id="364" w:name="Tc_LmNwWpBK2E2a5KYexeOoJw_4_17"/>
      <w:bookmarkStart w:id="365" w:name="Tc_UiBLz8vXoEu_jg_HXlbEDg_4_14"/>
      <w:bookmarkStart w:id="366" w:name="Tc_HN-LzVOqVk2HpkR2f6IeqQ_4_11"/>
      <w:bookmarkStart w:id="367" w:name="Tc_L78gvQ51ZUuqQP5kFEynTQ_4_8"/>
      <w:bookmarkStart w:id="368" w:name="Tc_kLdYVz6u6USuFMzGmFhspg_4_5"/>
      <w:bookmarkStart w:id="369" w:name="Tc_YquyD7vDIUOIkbmhNVwpnw_4_2"/>
      <w:bookmarkStart w:id="370" w:name="Tc_4PWb3y9X2EqCd6g-NtZBPg_3_17"/>
      <w:bookmarkStart w:id="371" w:name="Tc_8B8cyEvIakmgHnOni8m_4w_3_14"/>
      <w:bookmarkStart w:id="372" w:name="Tc_poZtpo06QEiZ_I0fWrfYcA_3_11"/>
      <w:bookmarkStart w:id="373" w:name="Tc_MzgQjXWT3EedfSa6buK63w_3_8"/>
      <w:bookmarkStart w:id="374" w:name="Tc_skh3vGqOy0CgOr0VwYI1Mg_3_5"/>
      <w:bookmarkStart w:id="375" w:name="Tc_EF6avQxUXkyr2GTEeyNfAA_3_2"/>
      <w:bookmarkStart w:id="376" w:name="Tc_2K9QXmEKhEqof19SLr-eRw_2_11"/>
      <w:bookmarkStart w:id="377" w:name="Tc_FFeuL7vH3UeGd4o9RIlmWw_2_8"/>
      <w:bookmarkStart w:id="378" w:name="Tc_oFypEPoGV0iixcpZ1oga5g_2_5"/>
      <w:bookmarkStart w:id="379" w:name="Tc_TsEuI6o7S0OHfpqpy-NVIg_2_2"/>
      <w:bookmarkStart w:id="380" w:name="Tc_rukdmMELi0-C0eqmqriGSQ_1_11"/>
      <w:bookmarkStart w:id="381" w:name="Tc_MwOXOCGbWUqzCxcA4s_1Hw_1_8"/>
      <w:bookmarkStart w:id="382" w:name="_d4bbf3ce_2d97_48af_8578_08a097c762ed"/>
      <w:bookmarkStart w:id="383" w:name="Tc_UNAPEalT90CW_drMiYcGAQ_22_17"/>
      <w:bookmarkStart w:id="384" w:name="Tc_h26UkAyRBkqZ4YOc_2Gg8A_22_14"/>
      <w:bookmarkStart w:id="385" w:name="Tc_CpJ6eb4T9UCc823OHgUp1w_22_11"/>
      <w:bookmarkStart w:id="386" w:name="Tc_00gQ02CDakiM98ivfUgoqw_22_8"/>
      <w:bookmarkStart w:id="387" w:name="Tc_92TSK8MFXEKdXKfqk_AMaQ_22_5"/>
      <w:bookmarkStart w:id="388" w:name="Tc_sHnUC5r8N0uNgHTftGQ6qg_22_2"/>
      <w:bookmarkStart w:id="389" w:name="Tc_tmILAsdb2EyzzIkbkGZgbA_22_0"/>
      <w:bookmarkStart w:id="390" w:name="Tc_xRdn4_R2cES-vSfUp-qsaw_21_12"/>
      <w:bookmarkStart w:id="391" w:name="Tc_jeicMKHplEiChCyXF1KDYQ_21_9"/>
      <w:bookmarkStart w:id="392" w:name="Tc_PZXQG5UZqECyceS1OGQb5Q_21_3"/>
      <w:bookmarkStart w:id="393" w:name="Tc_f-yIfUkyyUyGcUsKyzm3EA_21_0"/>
      <w:bookmarkStart w:id="394" w:name="Tc_Q8UJ54c24EWJrrnk9EyBqQ_20_12"/>
      <w:bookmarkStart w:id="395" w:name="Tc_2ycWDtfZHkyaACndqF32FQ_20_9"/>
      <w:bookmarkStart w:id="396" w:name="Tc_JJK8OWPLT0SIS76DzyDagA_20_6"/>
      <w:bookmarkStart w:id="397" w:name="Tc_A7CchvX7aUi2hP1wJwkuUg_20_3"/>
      <w:bookmarkStart w:id="398" w:name="Tc_PwwRYJwpqk6IG-ZKgl472w_20_0"/>
      <w:bookmarkStart w:id="399" w:name="Tc_QHUVjxtBHU-Y_Qwm7N0NEQ_19_15"/>
      <w:bookmarkStart w:id="400" w:name="Tc_2DvdkjYs9kS_sP4aEQQfFw_19_9"/>
      <w:bookmarkStart w:id="401" w:name="Tc__pWz5KDDHU-RipxM1y77aA_19_6"/>
      <w:bookmarkStart w:id="402" w:name="Tc_4w3h4WLt-Ea-gq2SAsjwqQ_19_3"/>
      <w:bookmarkStart w:id="403" w:name="Tc_R5NLBEJZ9ECphiFmcUObFA_19_0"/>
      <w:bookmarkStart w:id="404" w:name="Tc_L1QyYL7KZEiuaXVWb0KPsw_18_15"/>
      <w:bookmarkStart w:id="405" w:name="Tc_LVJajjhd2kO1XZd4DbVXjg_18_12"/>
      <w:bookmarkStart w:id="406" w:name="Tc_KMgwP4KHHUe1nbklT-dKyw_18_6"/>
      <w:bookmarkStart w:id="407" w:name="Tc_OeuqPttPQEGtBmmYVy-MBQ_18_3"/>
      <w:bookmarkStart w:id="408" w:name="Tc_so2p8G_DMUCEp20dltUKQw_18_0"/>
      <w:bookmarkStart w:id="409" w:name="Tc_31ltKEcJIEWZ7xjel84e_w_17_12"/>
      <w:bookmarkStart w:id="410" w:name="Tc_FBYvsqJcnkK3T7ncHqADzQ_17_9"/>
      <w:bookmarkStart w:id="411" w:name="Tc_9HlMn5e4p0Oqmz3yNNKKbw_17_0"/>
      <w:bookmarkStart w:id="412" w:name="Tc_EIFwn3RwB0q17YoUXYKBxg_16_12"/>
      <w:bookmarkStart w:id="413" w:name="Tc_IUm-WSj3jE6NfuHUvinCWg_16_6"/>
      <w:bookmarkStart w:id="414" w:name="Tc_DhmYI6SCvk2sp_mLo5PFcg_16_3"/>
      <w:bookmarkStart w:id="415" w:name="Tc_RlpvkPQWIUmsELhVtpaWSQ_16_0"/>
      <w:bookmarkStart w:id="416" w:name="Tc_ienLQZAlBEG_C6jE1bSPOg_15_17"/>
      <w:bookmarkStart w:id="417" w:name="Tc_toFr7AJTlEKEtG9gHkN4jA_15_14"/>
      <w:bookmarkStart w:id="418" w:name="Tc_OLfT_gAKbUaN9FObFJ64qA_15_11"/>
      <w:bookmarkStart w:id="419" w:name="Tc_LFvrYF1800a01Znjul8kLA_15_8"/>
      <w:bookmarkStart w:id="420" w:name="Tc_w9LD5NxA802i-XIj5vaETg_15_5"/>
      <w:bookmarkStart w:id="421" w:name="Tc_CQXfeA9A3EWqNI5PMG8yFQ_15_2"/>
      <w:bookmarkStart w:id="422" w:name="Tc_5RKH12imCEK-hnzR2cRRWA_15_0"/>
      <w:bookmarkStart w:id="423" w:name="Tc_cfnI_6VIB0eEsFVkaK3OIQ_13_17"/>
      <w:bookmarkStart w:id="424" w:name="Tc_nZ5N3Qi5b0GtmAx1Jeg-iA_13_14"/>
      <w:bookmarkStart w:id="425" w:name="Tc_5Z5fZL2s0Ey8ersZTvQTgA_13_11"/>
      <w:bookmarkStart w:id="426" w:name="Tc_moYiFJgK3U2I96lxJEPURg_13_8"/>
      <w:bookmarkStart w:id="427" w:name="Tc_CpOdMA8OcEKWn--I3AlLdw_13_5"/>
      <w:bookmarkStart w:id="428" w:name="Tc_V7YjyYE6lEGF0wNz9CbfwA_13_2"/>
      <w:bookmarkStart w:id="429" w:name="Tc_QDatJmB6pECqsY86h9HKDg_13_0"/>
      <w:bookmarkStart w:id="430" w:name="Tc_X_uUjmeoPk-2BzglW3-iQw_12_15"/>
      <w:bookmarkStart w:id="431" w:name="Tc_zAQ8-ywNBkWBG_uYXViIgw_12_12"/>
      <w:bookmarkStart w:id="432" w:name="Tc_ptHbW1c6m0-r0neKz-Ku6Q_12_9"/>
      <w:bookmarkStart w:id="433" w:name="Tc_q0rh1weHlUmH_NtZm-kNDw_12_0"/>
      <w:bookmarkStart w:id="434" w:name="Tc_7ySrPUdj4U24Fer3bYX04Q_11_12"/>
      <w:bookmarkStart w:id="435" w:name="Tc_cjsr126nvU2Tmk9zZcemEA_11_9"/>
      <w:bookmarkStart w:id="436" w:name="Tc_4S0F8hcPLkikqCxjeTcsnQ_11_3"/>
      <w:bookmarkStart w:id="437" w:name="Tc_G14Zf7xSPU-A5nragqaxuw_11_0"/>
      <w:bookmarkStart w:id="438" w:name="Tc_lp9t_LKyy0G9PWpX1MY_AA_10_12"/>
      <w:bookmarkStart w:id="439" w:name="Tc__89fRQ39_EGwSFs8QEpS5g_10_9"/>
      <w:bookmarkStart w:id="440" w:name="Tc_Rgi15LcN-k-IfJuE0yEAcQ_10_6"/>
      <w:bookmarkStart w:id="441" w:name="Tc_dapnd45Mek-rU-w_xILTMA_10_3"/>
      <w:bookmarkStart w:id="442" w:name="Tc_kUxyF_zhYUW2gU8XGChFoQ_10_0"/>
      <w:bookmarkStart w:id="443" w:name="Tc_Sm9MeFdroEqH8s9zkcL2SA_9_15"/>
      <w:bookmarkStart w:id="444" w:name="Tc_AziaLnyr5EuIT3QnIDfsrA_9_9"/>
      <w:bookmarkStart w:id="445" w:name="Tc_OfdakZb3a0GYj9fpMLhWEw_9_6"/>
      <w:bookmarkStart w:id="446" w:name="Tc_97tdxD9KuEqICJn1QeFu5w_9_3"/>
      <w:bookmarkStart w:id="447" w:name="Tc_7X1lpnmJh0GSh4gU-Pv-CQ_9_0"/>
      <w:bookmarkStart w:id="448" w:name="Tc_3V3xuJFVpEW4dlK2eQBlhw_8_15"/>
      <w:bookmarkStart w:id="449" w:name="Tc_5L8uHQ2zZE-rKIDYY83YtQ_8_12"/>
      <w:bookmarkStart w:id="450" w:name="Tc_U3xZwY6bjkadcwWEUmyTyg_8_6"/>
      <w:bookmarkStart w:id="451" w:name="Tc_aldmwV08AEeRntxuSlTKOg_8_3"/>
      <w:bookmarkStart w:id="452" w:name="Tc_Ho_Q_JpUCUKwRynoi_oQUg_8_0"/>
      <w:bookmarkStart w:id="453" w:name="Tc__uB4hYkjA02aBgQSMEjPWA_7_12"/>
      <w:bookmarkStart w:id="454" w:name="Tc_ZyCEsnipW0eaZ48b3Ul4IA_7_9"/>
      <w:bookmarkStart w:id="455" w:name="Tc_ghUDK3rv7EyGRvae9SBEjA_7_0"/>
      <w:bookmarkStart w:id="456" w:name="Tc_Q7G_LLOHyUqoGrEXF2IKiQ_6_12"/>
      <w:bookmarkStart w:id="457" w:name="Tc_YHOKslcWi0anxysS_qsPIQ_6_6"/>
      <w:bookmarkStart w:id="458" w:name="Tc_titki-a1tEajr148fkHsrg_6_3"/>
      <w:bookmarkStart w:id="459" w:name="Tc_XfHYDL44aUW3xv2vxuElWg_6_0"/>
      <w:bookmarkStart w:id="460" w:name="Tc_AolFyfA2m0CD_-GNplKBiQ_5_17"/>
      <w:bookmarkStart w:id="461" w:name="Tc_rLkHw472YUO-9Fbt7aQT5w_5_14"/>
      <w:bookmarkStart w:id="462" w:name="Tc_yH67vlDdfEWHz01KlQEZKQ_5_11"/>
      <w:bookmarkStart w:id="463" w:name="Tc_Azoshz4NwEejEMV8OBpRZg_5_8"/>
      <w:bookmarkStart w:id="464" w:name="Tc_pRp16yl_dkihumCu4B8c3Q_5_5"/>
      <w:bookmarkStart w:id="465" w:name="Tc_77Xxlolum0SmUUWZbePkhg_5_2"/>
      <w:bookmarkStart w:id="466" w:name="Tc_ih6kdMsbrUeyXJEYPWj-6w_5_0"/>
      <w:bookmarkStart w:id="467" w:name="Tc_LmNwWpBK2E2a5KYexeOoJw_4_17"/>
      <w:bookmarkStart w:id="468" w:name="Tc_UiBLz8vXoEu_jg_HXlbEDg_4_14"/>
      <w:bookmarkStart w:id="469" w:name="Tc_HN-LzVOqVk2HpkR2f6IeqQ_4_11"/>
      <w:bookmarkStart w:id="470" w:name="Tc_L78gvQ51ZUuqQP5kFEynTQ_4_8"/>
      <w:bookmarkStart w:id="471" w:name="Tc_kLdYVz6u6USuFMzGmFhspg_4_5"/>
      <w:bookmarkStart w:id="472" w:name="Tc_YquyD7vDIUOIkbmhNVwpnw_4_2"/>
      <w:bookmarkStart w:id="473" w:name="Tc_4PWb3y9X2EqCd6g-NtZBPg_3_17"/>
      <w:bookmarkStart w:id="474" w:name="Tc_8B8cyEvIakmgHnOni8m_4w_3_14"/>
      <w:bookmarkStart w:id="475" w:name="Tc_poZtpo06QEiZ_I0fWrfYcA_3_11"/>
      <w:bookmarkStart w:id="476" w:name="Tc_MzgQjXWT3EedfSa6buK63w_3_8"/>
      <w:bookmarkStart w:id="477" w:name="Tc_skh3vGqOy0CgOr0VwYI1Mg_3_5"/>
      <w:bookmarkStart w:id="478" w:name="Tc_EF6avQxUXkyr2GTEeyNfAA_3_2"/>
      <w:bookmarkStart w:id="479" w:name="Tc_2K9QXmEKhEqof19SLr-eRw_2_11"/>
      <w:bookmarkStart w:id="480" w:name="Tc_FFeuL7vH3UeGd4o9RIlmWw_2_8"/>
      <w:bookmarkStart w:id="481" w:name="Tc_oFypEPoGV0iixcpZ1oga5g_2_5"/>
      <w:bookmarkStart w:id="482" w:name="Tc_TsEuI6o7S0OHfpqpy-NVIg_2_2"/>
      <w:bookmarkStart w:id="483" w:name="Tc_rukdmMELi0-C0eqmqriGSQ_1_11"/>
      <w:bookmarkStart w:id="484" w:name="Tc_MwOXOCGbWUqzCxcA4s_1Hw_1_8"/>
      <w:bookmarkStart w:id="485" w:name="_d4bbf3ce_2d97_48af_8578_08a097c762ed"/>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tbl>
      <w:tblPr>
        <w:tblW w:w="10205" w:type="dxa"/>
        <w:jc w:val="left"/>
        <w:tblInd w:w="0" w:type="dxa"/>
        <w:tblLayout w:type="fixed"/>
        <w:tblCellMar>
          <w:top w:w="0" w:type="dxa"/>
          <w:left w:w="0" w:type="dxa"/>
          <w:bottom w:w="0" w:type="dxa"/>
          <w:right w:w="0" w:type="dxa"/>
        </w:tblCellMar>
      </w:tblPr>
      <w:tblGrid>
        <w:gridCol w:w="2706"/>
        <w:gridCol w:w="346"/>
        <w:gridCol w:w="216"/>
        <w:gridCol w:w="415"/>
        <w:gridCol w:w="346"/>
        <w:gridCol w:w="181"/>
        <w:gridCol w:w="691"/>
        <w:gridCol w:w="346"/>
        <w:gridCol w:w="216"/>
        <w:gridCol w:w="700"/>
        <w:gridCol w:w="346"/>
        <w:gridCol w:w="249"/>
        <w:gridCol w:w="772"/>
        <w:gridCol w:w="346"/>
        <w:gridCol w:w="267"/>
        <w:gridCol w:w="754"/>
        <w:gridCol w:w="346"/>
        <w:gridCol w:w="181"/>
        <w:gridCol w:w="781"/>
      </w:tblGrid>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7160" cy="175260"/>
                      <wp:effectExtent l="0" t="0" r="0" b="0"/>
                      <wp:wrapNone/>
                      <wp:docPr id="52" name="Frame5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63525" cy="175260"/>
                      <wp:effectExtent l="0" t="0" r="0" b="0"/>
                      <wp:wrapNone/>
                      <wp:docPr id="53" name="Frame5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8785" cy="175260"/>
                      <wp:effectExtent l="0" t="0" r="0" b="0"/>
                      <wp:wrapNone/>
                      <wp:docPr id="56" name="Frame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7160" cy="175260"/>
                      <wp:effectExtent l="0" t="0" r="0" b="0"/>
                      <wp:wrapNone/>
                      <wp:docPr id="58" name="Frame5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44500" cy="175260"/>
                      <wp:effectExtent l="0" t="0" r="0" b="0"/>
                      <wp:wrapNone/>
                      <wp:docPr id="59" name="Frame59"/>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8115" cy="175260"/>
                      <wp:effectExtent l="0" t="0" r="0" b="0"/>
                      <wp:wrapNone/>
                      <wp:docPr id="61" name="Frame6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0220" cy="175260"/>
                      <wp:effectExtent l="0" t="0" r="0" b="0"/>
                      <wp:wrapNone/>
                      <wp:docPr id="62" name="Frame62"/>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9545" cy="175260"/>
                      <wp:effectExtent l="0" t="0" r="0" b="0"/>
                      <wp:wrapNone/>
                      <wp:docPr id="64" name="Frame6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8790" cy="175260"/>
                      <wp:effectExtent l="0" t="0" r="0" b="0"/>
                      <wp:wrapNone/>
                      <wp:docPr id="65" name="Frame65"/>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14935" cy="175260"/>
                      <wp:effectExtent l="0" t="0" r="0" b="0"/>
                      <wp:wrapNone/>
                      <wp:docPr id="67"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 at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96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Par</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2,199,265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165,737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42,592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31,568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2,439,879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28,861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28,897</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3,908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4,724</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(12,801)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(12,801)</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4,848</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4,848</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Redemption and transfer of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(1,440)</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(3,398)</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(3,400)</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2,198,355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181,797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47,440</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32,378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2,460,688</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2,191,840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102,472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48,992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2,374,027</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29,364</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29,410</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3,990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4,322</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(12,802)</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(12,802)</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(13,632)</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Redemption of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2,195,721</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119,034</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35,360</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30,344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2,381,176</w:t>
            </w:r>
          </w:p>
        </w:tc>
      </w:tr>
    </w:tbl>
    <w:p>
      <w:pPr>
        <w:pStyle w:val="TextBody"/>
        <w:bidi w:val="0"/>
        <w:spacing w:lineRule="atLeast" w:line="142" w:before="0" w:after="240"/>
        <w:ind w:left="0" w:right="0" w:firstLine="720"/>
        <w:jc w:val="center"/>
        <w:rPr/>
      </w:pPr>
      <w:r>
        <w:rPr/>
        <w:t>​</w:t>
      </w:r>
    </w:p>
    <w:p>
      <w:pPr>
        <w:pStyle w:val="TextBody"/>
        <w:bidi w:val="0"/>
        <w:spacing w:lineRule="atLeast" w:line="142"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486" w:name="_38a23ea6_038d_4ea2_b3a0_8f06ce38276e"/>
      <w:bookmarkEnd w:id="486"/>
      <w:r>
        <w:rPr>
          <w:rFonts w:ascii="Times New Roman;Times;serif" w:hAnsi="Times New Roman;Times;serif"/>
          <w:b/>
          <w:sz w:val="18"/>
        </w:rPr>
        <w:t>Safehold Inc.</w:t>
      </w:r>
    </w:p>
    <w:p>
      <w:pPr>
        <w:pStyle w:val="TextBody"/>
        <w:bidi w:val="0"/>
        <w:spacing w:before="0" w:after="0"/>
        <w:ind w:left="0" w:right="0" w:hanging="0"/>
        <w:jc w:val="center"/>
        <w:rPr>
          <w:rFonts w:ascii="Times New Roman;Times;serif" w:hAnsi="Times New Roman;Times;serif"/>
          <w:b/>
          <w:sz w:val="18"/>
        </w:rPr>
      </w:pPr>
      <w:bookmarkStart w:id="487" w:name="ConsolidatedStatementsofCashFlows_424097"/>
      <w:bookmarkEnd w:id="487"/>
      <w:r>
        <w:rPr>
          <w:rFonts w:ascii="Times New Roman;Times;serif" w:hAnsi="Times New Roman;Times;serif"/>
          <w:b/>
          <w:sz w:val="18"/>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(unaudited) </w:t>
      </w:r>
    </w:p>
    <w:p>
      <w:pPr>
        <w:pStyle w:val="Normal"/>
        <w:bidi w:val="0"/>
        <w:spacing w:before="0" w:after="0"/>
        <w:jc w:val="left"/>
        <w:rPr>
          <w:sz w:val="4"/>
          <w:szCs w:val="4"/>
        </w:rPr>
      </w:pPr>
      <w:r>
        <w:rPr>
          <w:sz w:val="4"/>
          <w:szCs w:val="4"/>
        </w:rPr>
      </w:r>
      <w:bookmarkStart w:id="488" w:name="Tc_BiVFaIIsp0WWrMnWSIio4A_55_6"/>
      <w:bookmarkStart w:id="489" w:name="Tc_KfNEZJpvwkOebcj-T1K9Kg_55_0"/>
      <w:bookmarkStart w:id="490" w:name="Tc_zqCM6KwRUUae_eOuzkOJYw_54_0"/>
      <w:bookmarkStart w:id="491" w:name="Tc_i3vlTh0Vr0yCsKUujQ-O8w_53_5"/>
      <w:bookmarkStart w:id="492" w:name="Tc_oRZiTQzMDkqFKAg9sbFUKA_53_2"/>
      <w:bookmarkStart w:id="493" w:name="Tc_-7pwqCvI3k22Ib-ZMORn_Q_53_0"/>
      <w:bookmarkStart w:id="494" w:name="Tc_h14bDMmzJEyPqfZE2vzrrQ_52_0"/>
      <w:bookmarkStart w:id="495" w:name="Tc_7V7eLCPNu0KXBdU5HFecbw_50_5"/>
      <w:bookmarkStart w:id="496" w:name="Tc_56PGlNa5KEKvMf4f1NQ3RA_50_2"/>
      <w:bookmarkStart w:id="497" w:name="Tc_gAh5JMiH6EeGEu6LHF7ifA_50_0"/>
      <w:bookmarkStart w:id="498" w:name="Tc_x2qimn-qFEev_FyAbEmeTA_49_0"/>
      <w:bookmarkStart w:id="499" w:name="Tc_EUp3Lblrb0a3HW8QUpIXiw_48_5"/>
      <w:bookmarkStart w:id="500" w:name="Tc_FPnT9Amx-UmfIdsbQb5ClA_48_2"/>
      <w:bookmarkStart w:id="501" w:name="Tc_uEDsUMZC5Ea7t0hT3N7_Hw_48_0"/>
      <w:bookmarkStart w:id="502" w:name="Tc_uT6oLRwLb0u8R5JGJ3vf1w_47_0"/>
      <w:bookmarkStart w:id="503" w:name="Tc_tikBqJk2rkWpxbynk3_rrQ_45_5"/>
      <w:bookmarkStart w:id="504" w:name="Tc_jTrmfKH8hECxZ5ThKt0LkQ_45_2"/>
      <w:bookmarkStart w:id="505" w:name="Tc_mR8IhjaihUWel-AguW4nDg_45_0"/>
      <w:bookmarkStart w:id="506" w:name="Tc_3nPhBtRpnUyL6X8v36fZdw_44_0"/>
      <w:bookmarkStart w:id="507" w:name="Tc_DVmlpA11eEyDLaba-0Pzzw_43_0"/>
      <w:bookmarkStart w:id="508" w:name="Tc_SdLXzhvcrU2zCKf4maTQUA_42_0"/>
      <w:bookmarkStart w:id="509" w:name="Tc_dTDKCy3mR0WHi7rXgUNQjQ_41_0"/>
      <w:bookmarkStart w:id="510" w:name="Tc_k6ibBrLc9kWVvVF_KwRxdQ_40_3"/>
      <w:bookmarkStart w:id="511" w:name="Tc_cjWMak9wu0u0PbxLd-4YnA_40_0"/>
      <w:bookmarkStart w:id="512" w:name="Tc_ZNrhn_41ZkiKA8K7OjSWGQ_39_0"/>
      <w:bookmarkStart w:id="513" w:name="Tc_3leca1dMfUqYQK084cs59w_38_6"/>
      <w:bookmarkStart w:id="514" w:name="Tc_oEJ-Ks1zOUSml_g3AamErw_38_0"/>
      <w:bookmarkStart w:id="515" w:name="Tc_OkBWOFBWz0W3WD1F9_9eow_37_0"/>
      <w:bookmarkStart w:id="516" w:name="Tc_YG-nAqOXE0CyKBUsWfIYPw_36_0"/>
      <w:bookmarkStart w:id="517" w:name="Tc_2mMmbXGUzkG7lbCfjN9STA_35_0"/>
      <w:bookmarkStart w:id="518" w:name="Tc_NuHjrHOWCEGENlvPzIXmoA_34_0"/>
      <w:bookmarkStart w:id="519" w:name="Tc_dVMaCXVPSUqbm7xXkmFcvg_33_0"/>
      <w:bookmarkStart w:id="520" w:name="Tc_TMNX6asfhUqMGqWAIR8n1Q_32_0"/>
      <w:bookmarkStart w:id="521" w:name="Tc_P3rlxeW9q0aqsinAdrQXNg_31_0"/>
      <w:bookmarkStart w:id="522" w:name="Tc_Bwwld1CdDEqrIQYwkEF8Hw_30_0"/>
      <w:bookmarkStart w:id="523" w:name="Tc_T-DQ31ViZUG4CMe_bsbEkQ_29_0"/>
      <w:bookmarkStart w:id="524" w:name="Tc_Yhrn-8hhLEeyNHc5BEWvkQ_28_3"/>
      <w:bookmarkStart w:id="525" w:name="Tc_KiH93KBSs0-zUsqtCpx0KA_28_0"/>
      <w:bookmarkStart w:id="526" w:name="Tc_1pPAnHG_c0e2RM8qc1y2zw_27_0"/>
      <w:bookmarkStart w:id="527" w:name="Tc_xoMt-rZ4dkqntk_1oqiVtQ_26_6"/>
      <w:bookmarkStart w:id="528" w:name="Tc_OS5qQW9LgU2rRAEAmnn4HQ_26_0"/>
      <w:bookmarkStart w:id="529" w:name="Tc_WgvQtQylgE2rfl_Yd23mRw_25_0"/>
      <w:bookmarkStart w:id="530" w:name="Tc_phHbjSQ65USYTexFz07Umg_24_0"/>
      <w:bookmarkStart w:id="531" w:name="Tc_roKfMAXBqEGguMerUBTaNQ_23_0"/>
      <w:bookmarkStart w:id="532" w:name="Tc_OPSlvLbj1EmrJd6QFw_BmQ_22_0"/>
      <w:bookmarkStart w:id="533" w:name="Tc_U0_4EmTuQUys1HFYclH9-g_21_0"/>
      <w:bookmarkStart w:id="534" w:name="Tc_RVpto43F2UqTKPvQE9iVSA_20_0"/>
      <w:bookmarkStart w:id="535" w:name="Tc_yGyq8ZcDSEmaIHcxUEPNXA_19_0"/>
      <w:bookmarkStart w:id="536" w:name="Tc_pW6T01gkTk-ieogzj_-9tw_18_0"/>
      <w:bookmarkStart w:id="537" w:name="Tc_4SmKqEvCsUKgivOKUn6ReQ_17_0"/>
      <w:bookmarkStart w:id="538" w:name="Tc_A851EO9LCEm5akQEzzQtMw_16_0"/>
      <w:bookmarkStart w:id="539" w:name="Tc_HQoralbkRUiWsosTejx7ww_15_0"/>
      <w:bookmarkStart w:id="540" w:name="Tc_C8aNZYb56UWXAgOPJQ0Akw_14_3"/>
      <w:bookmarkStart w:id="541" w:name="Tc_4tWN_UlqLkKRShWlWL-Yhg_14_0"/>
      <w:bookmarkStart w:id="542" w:name="Tc_LKJy040MLEiQnNztFZBZiw_13_0"/>
      <w:bookmarkStart w:id="543" w:name="Tc_S1mnE2IqDkSDQFsTPbFAVg_12_0"/>
      <w:bookmarkStart w:id="544" w:name="Tc_AD3seWDYO0y20cdZSCNHcQ_11_0"/>
      <w:bookmarkStart w:id="545" w:name="Tc_8jg_ZrK3b06nCHPWLF568Q_10_0"/>
      <w:bookmarkStart w:id="546" w:name="Tc__nBioZIkR0ShQQaGvfKhoQ_9_0"/>
      <w:bookmarkStart w:id="547" w:name="Tc_IDlm_GJR7kum365U3KK4Dw_8_0"/>
      <w:bookmarkStart w:id="548" w:name="Tc_84ShwBNPpkKzck-uX6CsHg_7_0"/>
      <w:bookmarkStart w:id="549" w:name="Tc_Ysu6E4KNckKmCHRLOZBKNA_6_5"/>
      <w:bookmarkStart w:id="550" w:name="Tc_Yek9uU0nbk6MDJjXVcQ0lQ_6_2"/>
      <w:bookmarkStart w:id="551" w:name="Tc_gKGi4g2zzUOFUNJpMM3QAw_6_0"/>
      <w:bookmarkStart w:id="552" w:name="Tc_6iDJXt4d2Eyzl0_y1DC3Bg_5_0"/>
      <w:bookmarkStart w:id="553" w:name="Tc_hjhN4m0olUW7GQMFv2vF0w_3_5"/>
      <w:bookmarkStart w:id="554" w:name="Tc_ic8xRVnPj0mX4RBga0yZLQ_3_2"/>
      <w:bookmarkStart w:id="555" w:name="Tc_0ew6-wgmGE6BYTxDLWLQZw_2_2"/>
      <w:bookmarkStart w:id="556" w:name="Tc_bC7Nlfa6hUSYlq87HQ87Jg_1_2"/>
      <w:bookmarkStart w:id="557" w:name="_fd0d9590_db30_4207_bda2_308ab1eb4f5b"/>
      <w:bookmarkStart w:id="558" w:name="Tc_BiVFaIIsp0WWrMnWSIio4A_55_6"/>
      <w:bookmarkStart w:id="559" w:name="Tc_KfNEZJpvwkOebcj-T1K9Kg_55_0"/>
      <w:bookmarkStart w:id="560" w:name="Tc_zqCM6KwRUUae_eOuzkOJYw_54_0"/>
      <w:bookmarkStart w:id="561" w:name="Tc_i3vlTh0Vr0yCsKUujQ-O8w_53_5"/>
      <w:bookmarkStart w:id="562" w:name="Tc_oRZiTQzMDkqFKAg9sbFUKA_53_2"/>
      <w:bookmarkStart w:id="563" w:name="Tc_-7pwqCvI3k22Ib-ZMORn_Q_53_0"/>
      <w:bookmarkStart w:id="564" w:name="Tc_h14bDMmzJEyPqfZE2vzrrQ_52_0"/>
      <w:bookmarkStart w:id="565" w:name="Tc_7V7eLCPNu0KXBdU5HFecbw_50_5"/>
      <w:bookmarkStart w:id="566" w:name="Tc_56PGlNa5KEKvMf4f1NQ3RA_50_2"/>
      <w:bookmarkStart w:id="567" w:name="Tc_gAh5JMiH6EeGEu6LHF7ifA_50_0"/>
      <w:bookmarkStart w:id="568" w:name="Tc_x2qimn-qFEev_FyAbEmeTA_49_0"/>
      <w:bookmarkStart w:id="569" w:name="Tc_EUp3Lblrb0a3HW8QUpIXiw_48_5"/>
      <w:bookmarkStart w:id="570" w:name="Tc_FPnT9Amx-UmfIdsbQb5ClA_48_2"/>
      <w:bookmarkStart w:id="571" w:name="Tc_uEDsUMZC5Ea7t0hT3N7_Hw_48_0"/>
      <w:bookmarkStart w:id="572" w:name="Tc_uT6oLRwLb0u8R5JGJ3vf1w_47_0"/>
      <w:bookmarkStart w:id="573" w:name="Tc_tikBqJk2rkWpxbynk3_rrQ_45_5"/>
      <w:bookmarkStart w:id="574" w:name="Tc_jTrmfKH8hECxZ5ThKt0LkQ_45_2"/>
      <w:bookmarkStart w:id="575" w:name="Tc_mR8IhjaihUWel-AguW4nDg_45_0"/>
      <w:bookmarkStart w:id="576" w:name="Tc_3nPhBtRpnUyL6X8v36fZdw_44_0"/>
      <w:bookmarkStart w:id="577" w:name="Tc_DVmlpA11eEyDLaba-0Pzzw_43_0"/>
      <w:bookmarkStart w:id="578" w:name="Tc_SdLXzhvcrU2zCKf4maTQUA_42_0"/>
      <w:bookmarkStart w:id="579" w:name="Tc_dTDKCy3mR0WHi7rXgUNQjQ_41_0"/>
      <w:bookmarkStart w:id="580" w:name="Tc_k6ibBrLc9kWVvVF_KwRxdQ_40_3"/>
      <w:bookmarkStart w:id="581" w:name="Tc_cjWMak9wu0u0PbxLd-4YnA_40_0"/>
      <w:bookmarkStart w:id="582" w:name="Tc_ZNrhn_41ZkiKA8K7OjSWGQ_39_0"/>
      <w:bookmarkStart w:id="583" w:name="Tc_3leca1dMfUqYQK084cs59w_38_6"/>
      <w:bookmarkStart w:id="584" w:name="Tc_oEJ-Ks1zOUSml_g3AamErw_38_0"/>
      <w:bookmarkStart w:id="585" w:name="Tc_OkBWOFBWz0W3WD1F9_9eow_37_0"/>
      <w:bookmarkStart w:id="586" w:name="Tc_YG-nAqOXE0CyKBUsWfIYPw_36_0"/>
      <w:bookmarkStart w:id="587" w:name="Tc_2mMmbXGUzkG7lbCfjN9STA_35_0"/>
      <w:bookmarkStart w:id="588" w:name="Tc_NuHjrHOWCEGENlvPzIXmoA_34_0"/>
      <w:bookmarkStart w:id="589" w:name="Tc_dVMaCXVPSUqbm7xXkmFcvg_33_0"/>
      <w:bookmarkStart w:id="590" w:name="Tc_TMNX6asfhUqMGqWAIR8n1Q_32_0"/>
      <w:bookmarkStart w:id="591" w:name="Tc_P3rlxeW9q0aqsinAdrQXNg_31_0"/>
      <w:bookmarkStart w:id="592" w:name="Tc_Bwwld1CdDEqrIQYwkEF8Hw_30_0"/>
      <w:bookmarkStart w:id="593" w:name="Tc_T-DQ31ViZUG4CMe_bsbEkQ_29_0"/>
      <w:bookmarkStart w:id="594" w:name="Tc_Yhrn-8hhLEeyNHc5BEWvkQ_28_3"/>
      <w:bookmarkStart w:id="595" w:name="Tc_KiH93KBSs0-zUsqtCpx0KA_28_0"/>
      <w:bookmarkStart w:id="596" w:name="Tc_1pPAnHG_c0e2RM8qc1y2zw_27_0"/>
      <w:bookmarkStart w:id="597" w:name="Tc_xoMt-rZ4dkqntk_1oqiVtQ_26_6"/>
      <w:bookmarkStart w:id="598" w:name="Tc_OS5qQW9LgU2rRAEAmnn4HQ_26_0"/>
      <w:bookmarkStart w:id="599" w:name="Tc_WgvQtQylgE2rfl_Yd23mRw_25_0"/>
      <w:bookmarkStart w:id="600" w:name="Tc_phHbjSQ65USYTexFz07Umg_24_0"/>
      <w:bookmarkStart w:id="601" w:name="Tc_roKfMAXBqEGguMerUBTaNQ_23_0"/>
      <w:bookmarkStart w:id="602" w:name="Tc_OPSlvLbj1EmrJd6QFw_BmQ_22_0"/>
      <w:bookmarkStart w:id="603" w:name="Tc_U0_4EmTuQUys1HFYclH9-g_21_0"/>
      <w:bookmarkStart w:id="604" w:name="Tc_RVpto43F2UqTKPvQE9iVSA_20_0"/>
      <w:bookmarkStart w:id="605" w:name="Tc_yGyq8ZcDSEmaIHcxUEPNXA_19_0"/>
      <w:bookmarkStart w:id="606" w:name="Tc_pW6T01gkTk-ieogzj_-9tw_18_0"/>
      <w:bookmarkStart w:id="607" w:name="Tc_4SmKqEvCsUKgivOKUn6ReQ_17_0"/>
      <w:bookmarkStart w:id="608" w:name="Tc_A851EO9LCEm5akQEzzQtMw_16_0"/>
      <w:bookmarkStart w:id="609" w:name="Tc_HQoralbkRUiWsosTejx7ww_15_0"/>
      <w:bookmarkStart w:id="610" w:name="Tc_C8aNZYb56UWXAgOPJQ0Akw_14_3"/>
      <w:bookmarkStart w:id="611" w:name="Tc_4tWN_UlqLkKRShWlWL-Yhg_14_0"/>
      <w:bookmarkStart w:id="612" w:name="Tc_LKJy040MLEiQnNztFZBZiw_13_0"/>
      <w:bookmarkStart w:id="613" w:name="Tc_S1mnE2IqDkSDQFsTPbFAVg_12_0"/>
      <w:bookmarkStart w:id="614" w:name="Tc_AD3seWDYO0y20cdZSCNHcQ_11_0"/>
      <w:bookmarkStart w:id="615" w:name="Tc_8jg_ZrK3b06nCHPWLF568Q_10_0"/>
      <w:bookmarkStart w:id="616" w:name="Tc__nBioZIkR0ShQQaGvfKhoQ_9_0"/>
      <w:bookmarkStart w:id="617" w:name="Tc_IDlm_GJR7kum365U3KK4Dw_8_0"/>
      <w:bookmarkStart w:id="618" w:name="Tc_84ShwBNPpkKzck-uX6CsHg_7_0"/>
      <w:bookmarkStart w:id="619" w:name="Tc_Ysu6E4KNckKmCHRLOZBKNA_6_5"/>
      <w:bookmarkStart w:id="620" w:name="Tc_Yek9uU0nbk6MDJjXVcQ0lQ_6_2"/>
      <w:bookmarkStart w:id="621" w:name="Tc_gKGi4g2zzUOFUNJpMM3QAw_6_0"/>
      <w:bookmarkStart w:id="622" w:name="Tc_6iDJXt4d2Eyzl0_y1DC3Bg_5_0"/>
      <w:bookmarkStart w:id="623" w:name="Tc_hjhN4m0olUW7GQMFv2vF0w_3_5"/>
      <w:bookmarkStart w:id="624" w:name="Tc_ic8xRVnPj0mX4RBga0yZLQ_3_2"/>
      <w:bookmarkStart w:id="625" w:name="Tc_0ew6-wgmGE6BYTxDLWLQZw_2_2"/>
      <w:bookmarkStart w:id="626" w:name="Tc_bC7Nlfa6hUSYlq87HQ87Jg_1_2"/>
      <w:bookmarkStart w:id="627" w:name="_fd0d9590_db30_4207_bda2_308ab1eb4f5b"/>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tbl>
      <w:tblPr>
        <w:tblW w:w="10028" w:type="dxa"/>
        <w:jc w:val="left"/>
        <w:tblInd w:w="0" w:type="dxa"/>
        <w:tblLayout w:type="fixed"/>
        <w:tblCellMar>
          <w:top w:w="0" w:type="dxa"/>
          <w:left w:w="0" w:type="dxa"/>
          <w:bottom w:w="0" w:type="dxa"/>
          <w:right w:w="0" w:type="dxa"/>
        </w:tblCellMar>
      </w:tblPr>
      <w:tblGrid>
        <w:gridCol w:w="7201"/>
        <w:gridCol w:w="346"/>
        <w:gridCol w:w="181"/>
        <w:gridCol w:w="691"/>
        <w:gridCol w:w="346"/>
        <w:gridCol w:w="181"/>
        <w:gridCol w:w="691"/>
        <w:gridCol w:w="391"/>
      </w:tblGrid>
      <w:tr>
        <w:trPr/>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2635" cy="175260"/>
                      <wp:effectExtent l="0" t="0" r="0" b="0"/>
                      <wp:wrapNone/>
                      <wp:docPr id="69" name="Frame69"/>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71"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14935" cy="175260"/>
                      <wp:effectExtent l="0" t="0" r="0" b="0"/>
                      <wp:wrapNone/>
                      <wp:docPr id="74" name="Frame7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75" name="Frame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8285" cy="175260"/>
                      <wp:effectExtent l="0" t="0" r="0" b="0"/>
                      <wp:wrapNone/>
                      <wp:docPr id="76" name="Frame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For the Three Months Ended </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w:t>
            </w:r>
          </w:p>
        </w:tc>
        <w:tc>
          <w:tcPr>
            <w:tcW w:w="391" w:type="dxa"/>
            <w:tcBorders/>
            <w:vAlign w:val="center"/>
          </w:tcPr>
          <w:p>
            <w:pPr>
              <w:pStyle w:val="TableContents"/>
              <w:bidi w:val="0"/>
              <w:spacing w:before="0" w:after="0"/>
              <w:ind w:left="0" w:right="0" w:hanging="0"/>
              <w:jc w:val="center"/>
              <w:rPr/>
            </w:pPr>
            <w:r>
              <w:rPr/>
              <w:t>​</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91" w:type="dxa"/>
            <w:tcBorders/>
            <w:vAlign w:val="center"/>
          </w:tcPr>
          <w:p>
            <w:pPr>
              <w:pStyle w:val="TableContents"/>
              <w:bidi w:val="0"/>
              <w:spacing w:before="0" w:after="0"/>
              <w:ind w:left="0" w:right="0" w:hanging="0"/>
              <w:jc w:val="left"/>
              <w:rPr/>
            </w:pPr>
            <w:r>
              <w:rPr/>
              <w:t>  ​ ​ ​</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28,897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29,410</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income to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2,196</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3,779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operating lease income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(7,615)</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real estate-related 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Write-off of investment in preferred equity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1,945</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Provision for (recovery of) credit losses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(4,035)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(4,992)</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from operations of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premium, discount and deferred financing costs on debt obligations,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deferred expenses and 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accounts payable, 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(5,802)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8,901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Origination/acquisition of net investment in sales-type leases and Ground Lease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(67,783)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(16,129)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Origination and fundings of loans receivable,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(15,983)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Contributions to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(3,675)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from equity method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9,528</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proceeds received from sale of real estate available and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received from derivative transactions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1,677</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(85,502)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(7,001)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 obligations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790,000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216,000</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Repayments of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(193,000)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deferred financing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Dividends paid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(12,651)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common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withholding taxes upon vesting for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Redemption of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91,486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6,965</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8,865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30,736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17,118</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28,121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Reconciliation of cash and cash equivalents and restricted cash presented on the consolidated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19,304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17,296</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28,121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25,983</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 of non-cash investing and financing activity: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Dividends declared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12,795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12,794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Accruals for payments of withholding taxes upon vesting for stock-based compensation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1,181</w:t>
            </w:r>
          </w:p>
        </w:tc>
        <w:tc>
          <w:tcPr>
            <w:tcW w:w="39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acquisition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8" w:name="Note1BusinessandOrganization_244472"/>
      <w:bookmarkEnd w:id="628"/>
      <w:r>
        <w:rPr>
          <w:rFonts w:ascii="Times New Roman;Times;serif" w:hAnsi="Times New Roman;Times;serif"/>
          <w:b/>
          <w:sz w:val="20"/>
        </w:rPr>
        <w:t>Note 1—Business and 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Business</w:t>
      </w:r>
      <w:r>
        <w:rPr>
          <w:rFonts w:ascii="Times New Roman;Times;serif" w:hAnsi="Times New Roman;Times;serif"/>
          <w:sz w:val="20"/>
        </w:rPr>
        <w:t>—On March 31, 2023, Safehold Inc. (“Old Safe”) merged with and into iStar Inc. (“iStar”), at which time Old Safe ceased to exist and iStar continued as the surviving corporation and changed its name to “Safehold Inc.” (the “Merger”). Unless context otherwise requires, references to “the Company” refer to the business and operations of Old Safe and its consolidated subsidiaries prior to the Merger, and to Safehold Inc. (formerly iStar) and its consolidated subsidiaries following the consummation of the Merger. The Company is internally managed and operates its business through two segments as of January 1, 2026 – “Ground Leases,” reflecting the Company’s primary business of acquiring, managing and capitalizing ground leases, and “Hotel Operations,” reflecting the Company’s operation of certain hotel properties (refer to Note 16). The Company also manages entities focused on ground leases (refer to Note 8) and a wholly-owned subsidiary of the Company serves as external manager to Star Holdings (“Star Holdings”), a Maryland statutory trust that holds the legacy non-ground lease assets held by iStar prior to the Merger as well as shares of common stock of the Company, each of which are reflected in the Company’s Ground Leases segment. Ground leases are long-term contracts between the landlord (the Company) and a tenant or leaseholder. Ground leases generally represent ownership of the land underlying commercial real estate projects that is net leased by the fee owner of the land to the owners/operators of the real estate projects built thereon (“Ground Leases”). Under a Ground Lease, the tenant is generally responsible for all property operating expenses, such as maintenance, real estate taxes and insurance and is also responsible for development costs and capital expenditures. Ground Leases are typically long-term (base terms ranging from 30 to 99 years, often with tenant renewal options) and have contractual base rent increases (either at a specified percentage or consumer price index (“CPI”) based, or both) and sometimes include percentage rent participations. The Company’s CPI lookbacks are generally capped between 3.0% - 3.5% and generally start between years 11 and 21 of the lease term. In the event cumulative inflation growth for the lookback period exceeds the cap, these rent adjustments may not keep up fully with changes in inflation.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target investments in long-term Ground Leases in which: (i) the initial cost of its Ground Lease represents 30% to 45% of the combined value of the land and buildings and improvements thereon as if there was no Ground Lease on the land (“Combined Property Value”); (ii) the ratio of property net operating income to the Ground Lease payment due the Company (“Ground Rent Coverage”) is between 2.0x to 4.5x, and for this purpose the Company uses estimates of the stabilized property net operating income if it does not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As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Additionally, from time to time the Company may own and operate commercial properties that revert to it, as occurred on January 1, 2026 when the Company became responsible for operating two hotel properties following the expiration of a master lease, which is reflected in the Company’s Hotel Operations segment.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Organization</w:t>
      </w:r>
      <w:r>
        <w:rPr>
          <w:rFonts w:ascii="Times New Roman;Times;serif" w:hAnsi="Times New Roman;Times;serif"/>
          <w:sz w:val="20"/>
        </w:rPr>
        <w:t xml:space="preserve">—The Company is a Maryland corporation and its common stock is listed on the New York Stock Exchange (“NYSE”) under the symbol “SAFE.” The Company (then known as iStar) elected to be treated as a real estate investment trust (“REIT”) for U.S. federal income tax purposes, commencing with the tax year ended December 31, 1998.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conducts all of its business and owns all of its properties through Safehold GL Holdings LLC (“Portfolio Holdings”), which, prior to its conversion into a Delaware limited liability company in connection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Merger, was named Safehold Operating Partnership LP. The Company, management of the Company, employees and former employees of the Company, affiliates of MSD Partners, L.P. (“MSD Partners”) and other outside investors own the issued and outstanding equity of Portfolio Holdings.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Safehold Management Services Inc. (“SpinCo Manager”), a Delaware corporation and a subsidiary of the Company, is party to a management agreement with Star Holdings dated as of March 31, 2023, as amended, pursuant to which SpinCo Manager is operating and pursuing the orderly monetization of Star Holding’s assets. Star Holdings paid SpinCo Manager an annual management fee of $15.0 million for the annual term ended March 31, 2025 and $10.0 million for the annual term ended March 31, 2026. The annual fee declined to $7.5 million (refer to Note 15) for the following annual term, and adjusts to 2.0% of the gross book value of Star Holdings’ assets, excluding shares of the Company’s common stock held by Star Holdings, thereafter. 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—The accompanying unaudited condensed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2025 (the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Principles of Consolidation</w:t>
      </w:r>
      <w:r>
        <w:rPr>
          <w:rFonts w:ascii="Times New Roman;Times;serif" w:hAnsi="Times New Roman;Times;serif"/>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Consolidated VIEs</w:t>
      </w:r>
      <w:r>
        <w:rPr>
          <w:rFonts w:ascii="Times New Roman;Times;serif" w:hAnsi="Times New Roman;Times;serif"/>
          <w:sz w:val="20"/>
        </w:rPr>
        <w:t xml:space="preserve">—The Company consolidates VIEs for which it is considered the primary beneficiary. As of March 31, 2026, the total assets of these consolidated VIEs were $100.4 million and total liabilities were $30.4 million. The classifications of these assets are primarily within “Net investment in sales-type leases,”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did not have any unfunded commitments related to consolidated VIEs as of March 31,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Hotel revenues and hotel expenses</w:t>
      </w:r>
      <w:r>
        <w:rPr>
          <w:rFonts w:ascii="Times New Roman;Times;serif" w:hAnsi="Times New Roman;Times;serif"/>
          <w:sz w:val="20"/>
        </w:rPr>
        <w:t>—The Company became responsible for operating two hotel properties that reverted to it on January 1, 2026 following the expiration of a master lease. Revenues and expenses from these hotel operations primarily include room reservations and food and beverage. Room revenues are derived from the occupancy of the Company’s hotel rooms and is driven by the occupancy and average daily rate charged. Food and beverage revenues consist of revenues from group functions, which may include banquet revenues and audio-visual revenues, as well as outlet revenues from the restaurants and lounges at the Company’s properties. Revenues are recognized as the services or products are provided. Room expenses include housekeeping, reservation systems, room supplies, laundry services and front desk costs. Food and beverage expenses primarily include food, beverage and the associated labor costs. The Company also incurs other costs from its hotel operations including marketing, insurance, management fees, ground rent, property taxes and other administrative costs. Revenues from the Company’s hotel operations are included in “Hotel revenues” and expenses from hotel operations are included in “Hotel expenses” in the Company’s consolidated statements of operations, and each are included in the Company’s Hotel Operations segment.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Fair Values</w:t>
      </w:r>
      <w:r>
        <w:rPr>
          <w:rFonts w:ascii="Times New Roman;Times;serif" w:hAnsi="Times New Roman;Times;serif"/>
          <w:sz w:val="20"/>
        </w:rPr>
        <w:t>—The Company is required to disclose fair value information with regard to its financial instruments, whether or not recognized in the consolidated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following fair value hierarchy prioritizes the inputs to be used in valuation techniques to measure fair value: Level 1: unadjusted quoted prices in active markets that are accessible at the measurement date for identical, unrestricted assets or liabilities; Level 2: quoted prices in markets that are not active, or inputs which are observable, either directly or indirectly, for substantially the full term of the asset or liability; and Level 3: prices or valuation techniques that require inputs that are both significant to the fair value measurement and unobservable (i.e., supported by little or no market activity).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629" w:name="Tc_aALRwhagHUGXBauWudAaRg_16_0"/>
      <w:bookmarkStart w:id="630" w:name="Tc_KyKvKicQ7EOYhAYN8SLjxQ_15_0"/>
      <w:bookmarkStart w:id="631" w:name="Tc_MRGuHZLvrEaMbbNfMSivLg_14_0"/>
      <w:bookmarkStart w:id="632" w:name="Tc_S_Zoe2c3-kOxuMl8A6igcg_13_0"/>
      <w:bookmarkStart w:id="633" w:name="Tc_f7BRfPPjeUKsMhGshFNhEA_12_0"/>
      <w:bookmarkStart w:id="634" w:name="Tc_sjIQzM5uqUKNsyMUN39-Rw_10_0"/>
      <w:bookmarkStart w:id="635" w:name="Tc_GAQbvMDCykCKVa6bBrimHg_9_0"/>
      <w:bookmarkStart w:id="636" w:name="Tc_QtBuv_1pPk2jQ3Wyk3g3zg_8_0"/>
      <w:bookmarkStart w:id="637" w:name="Tc_P47xKCcrI0-D3qshOZuusA_7_0"/>
      <w:bookmarkStart w:id="638" w:name="Tc_iDRkTD841EOW5A7RxS-NBQ_6_0"/>
      <w:bookmarkStart w:id="639" w:name="Tc_E1_LjlEEuE6vXLXMggcqJw_5_11"/>
      <w:bookmarkStart w:id="640" w:name="Tc_K5D0I5f1IUeq_SvxKNDKqg_5_8"/>
      <w:bookmarkStart w:id="641" w:name="Tc_GgAo_XhZ5kKhRXh189Wr8w_5_5"/>
      <w:bookmarkStart w:id="642" w:name="Tc_5_zZV6Ji8U69K8RXyQScAw_5_2"/>
      <w:bookmarkStart w:id="643" w:name="Tc_mdzs4EJhmkyxv-2rcRDIOQ_5_0"/>
      <w:bookmarkStart w:id="644" w:name="Tc_G2ZLm_csskiqZFCD8Vc02A_4_0"/>
      <w:bookmarkStart w:id="645" w:name="Tc_q6rg87igFkiEZ2Cpy0kKmQ_3_11"/>
      <w:bookmarkStart w:id="646" w:name="Tc_NKngBA4kVkytwOnt67rsyQ_3_8"/>
      <w:bookmarkStart w:id="647" w:name="Tc_POD0GUlHAEC7OSPiw_l9Xw_3_5"/>
      <w:bookmarkStart w:id="648" w:name="Tc_N5qRi2_OqkiDEpRwy1YDvA_3_2"/>
      <w:bookmarkStart w:id="649" w:name="Tc_652Eq-bheUe5jwW2fwIz6w_2_11"/>
      <w:bookmarkStart w:id="650" w:name="Tc_Ob1ccyGbm0O207vwUO1lqw_2_8"/>
      <w:bookmarkStart w:id="651" w:name="Tc_Xtvs4QgE10aEnLqpZrfrWA_2_5"/>
      <w:bookmarkStart w:id="652" w:name="Tc_PYOCXBzNvUye17b2Y-8COQ_2_2"/>
      <w:bookmarkStart w:id="653" w:name="Tc_HDQ6QzKWTEymu64RkIMVEA_1_8"/>
      <w:bookmarkStart w:id="654" w:name="Tc_nQoQko1tlkGhYBReOXRUyA_1_2"/>
      <w:bookmarkStart w:id="655" w:name="_0dcd32ce_8522_4439_8488_cc4ddec7d7a6"/>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sz w:val="20"/>
        </w:rPr>
        <w:t xml:space="preserve">The following table presents the carrying value and fair value for the Company’s financial instruments ($ in millions): </w:t>
      </w:r>
    </w:p>
    <w:tbl>
      <w:tblPr>
        <w:tblW w:w="7842" w:type="dxa"/>
        <w:jc w:val="left"/>
        <w:tblInd w:w="0" w:type="dxa"/>
        <w:tblLayout w:type="fixed"/>
        <w:tblCellMar>
          <w:top w:w="0" w:type="dxa"/>
          <w:left w:w="0" w:type="dxa"/>
          <w:bottom w:w="0" w:type="dxa"/>
          <w:right w:w="0" w:type="dxa"/>
        </w:tblCellMar>
      </w:tblPr>
      <w:tblGrid>
        <w:gridCol w:w="3181"/>
        <w:gridCol w:w="346"/>
        <w:gridCol w:w="211"/>
        <w:gridCol w:w="571"/>
        <w:gridCol w:w="346"/>
        <w:gridCol w:w="211"/>
        <w:gridCol w:w="571"/>
        <w:gridCol w:w="346"/>
        <w:gridCol w:w="222"/>
        <w:gridCol w:w="604"/>
        <w:gridCol w:w="346"/>
        <w:gridCol w:w="211"/>
        <w:gridCol w:w="67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19935" cy="175260"/>
                      <wp:effectExtent l="0" t="0" r="0" b="0"/>
                      <wp:wrapNone/>
                      <wp:docPr id="77" name="Frame77"/>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80" name="Frame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62585" cy="175260"/>
                      <wp:effectExtent l="0" t="0" r="0" b="0"/>
                      <wp:wrapNone/>
                      <wp:docPr id="83" name="Frame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0970" cy="175260"/>
                      <wp:effectExtent l="0" t="0" r="0" b="0"/>
                      <wp:wrapNone/>
                      <wp:docPr id="85" name="Frame8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83540" cy="175260"/>
                      <wp:effectExtent l="0" t="0" r="0" b="0"/>
                      <wp:wrapNone/>
                      <wp:docPr id="86" name="Frame86"/>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c>
          <w:tcPr>
            <w:tcW w:w="346" w:type="dxa"/>
            <w:tcBorders/>
            <w:vAlign w:val="center"/>
          </w:tcPr>
          <w:p>
            <w:pPr>
              <w:pStyle w:val="TableContents"/>
              <w:bidi w:val="0"/>
              <w:spacing w:before="0" w:after="1"/>
              <w:ind w:left="0" w:right="0" w:hanging="0"/>
              <w:jc w:val="left"/>
              <w:rPr/>
            </w:pPr>
            <w:r>
              <w:rPr/>
              <w:t>​</w:t>
            </w:r>
          </w:p>
        </w:tc>
        <w:tc>
          <w:tcPr>
            <w:tcW w:w="20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3,576</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receivables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 - related party</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4,070</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fair value of the Company’s net investment in sales-type leases, Ground Lease receivables, loans receivable, net and loans receivable, net – related party are classified as Level 3 within the fair value hierarchy</w:t>
            </w:r>
            <w:r>
              <w:rPr>
                <w:rFonts w:ascii="Times New Roman;Times;serif" w:hAnsi="Times New Roman;Times;serif"/>
                <w:b w:val="false"/>
                <w:i w:val="false"/>
                <w:caps w:val="false"/>
                <w:smallCaps w:val="false"/>
                <w:sz w:val="16"/>
              </w:rPr>
              <w:t>.</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The fair value of the Company’s debt obligations traded in secondary markets are classified as Level 1 within the fair value hierarchy and the fair value of the Company’s debt obligations not traded in secondary markets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determined the carrying values of its cash and cash equivalents and restricted cash approximated their fair values and are classified as Level 1 within the fair value hierarchy</w:t>
            </w:r>
            <w:r>
              <w:rPr>
                <w:rFonts w:ascii="Times New Roman;Times;serif" w:hAnsi="Times New Roman;Times;serif"/>
                <w:b w:val="false"/>
                <w:i w:val="false"/>
                <w:caps w:val="false"/>
                <w:smallCaps w:val="false"/>
                <w:sz w:val="16"/>
                <w:shd w:fill="FFFFFF" w:val="clear"/>
              </w:rPr>
              <w:t>.</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color w:val="212529"/>
          <w:sz w:val="20"/>
        </w:rPr>
        <w:t>New accounting pronouncements</w:t>
      </w:r>
      <w:r>
        <w:rPr>
          <w:rFonts w:ascii="Times New Roman;Times;serif" w:hAnsi="Times New Roman;Times;serif"/>
          <w:color w:val="212529"/>
          <w:sz w:val="20"/>
        </w:rPr>
        <w:t>—</w:t>
      </w:r>
      <w:r>
        <w:rPr>
          <w:rFonts w:ascii="Times New Roman;Times;serif" w:hAnsi="Times New Roman;Times;serif"/>
          <w:sz w:val="20"/>
        </w:rPr>
        <w:t xml:space="preserve">In November 2024, the Financial Accounting Standards Board issued Accounting Standards Update 2024-03, “Disaggregation of Income Statement Expenses” (“ASU 2024-03”). ASU 2024-03 requires disclosure of additional information about specific cost and expense categories in the notes to the financial statements. ASU 2024-03 is effective for annual periods beginning after December 15, 2026 and interim reporting periods beginning after December 15, 2027. </w:t>
      </w:r>
      <w:r>
        <w:rPr>
          <w:rFonts w:ascii="Times New Roman;Times;serif" w:hAnsi="Times New Roman;Times;serif"/>
          <w:color w:val="212529"/>
          <w:spacing w:val="4"/>
          <w:sz w:val="20"/>
        </w:rPr>
        <w:t>The Company is currently evaluating ASU 2024-03 but does not expect this standard to have a material impact on its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4—Net Investment in Sales-type Leases and Ground Lease Receivables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classifies certain of its Ground Leases as sales-type leases and records the leases within “Net investment in sales-type leases” on the Company’s consolidated balance sheets and records interest income in “Interest income from sales-type leases” in the Company’s consolidated statements of operations. In addition, the Company may enter into transactions whereby it acquires land and enters into Ground Leases directly with the seller. These Ground Leases qualify as sales-type leases and, as such, do not qualify for sale leaseback accounting and are accounted for as financing receivables in accordance with ASC 310 - Receivables and are included in “Ground Lease receivables” on the Company’s consolidated balance sheets. The Company records interest income from Ground Lease receivables in “Interest income from sales-type leases” in the Company’s consolidated statements of operations.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May 2023, the Company entered into a joint venture with a sovereign wealth fund, which was and is also an existing shareholder, focused on new acquisitions for certain Ground Lease investments. The Company committed approximately $275 million for a 55% controlling interest in the joint venture and the sovereign wealth fund committed approximately $225 million for a 45% noncontrolling interest in the joint venture. Each party’s commitment is discretionary. The joint venture is a voting interest entity and the Company consolidates the joint venture in its financial statements due to its controlling interest. The Company receives a management fee, measured on an asset-by-asset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bookmarkStart w:id="656" w:name="Tc_P2QPNueFGUisVEwue1Xv0Q_8_8"/>
      <w:bookmarkStart w:id="657" w:name="Tc_olDfJ0szoESpt70AH6aU1Q_8_5"/>
      <w:bookmarkStart w:id="658" w:name="Tc_nGDAQxGtp0GO3JK5flE4Ug_8_2"/>
      <w:bookmarkStart w:id="659" w:name="Tc_FlMx8SeqI0G9Lg9vXQEnNA_8_0"/>
      <w:bookmarkStart w:id="660" w:name="Tc_O4QUn8X9K0qKs4EWhLrsNQ_7_0"/>
      <w:bookmarkStart w:id="661" w:name="Tc_IC_fzk5WbE6wWsC5rYmLiA_6_0"/>
      <w:bookmarkStart w:id="662" w:name="Tc_N0iw46WHYUKaJqo-P7xEpw_5_0"/>
      <w:bookmarkStart w:id="663" w:name="Tc_wHD76vOFtE2OL5gvxL9pZw_4_8"/>
      <w:bookmarkStart w:id="664" w:name="Tc_7hEnKb1bz0exzItvlz85CA_4_5"/>
      <w:bookmarkStart w:id="665" w:name="Tc_dwieGr7EOkOOqz-97GKrvg_4_2"/>
      <w:bookmarkStart w:id="666" w:name="Tc_W4NQsDoPekOfiRQB3Qd2Fw_4_0"/>
      <w:bookmarkStart w:id="667" w:name="Tc_1oynPQtPbEyqOHKTT2Xvcw_3_0"/>
      <w:bookmarkStart w:id="668" w:name="Tc_YywVamw_pUayKgZQG3GJAA_2_8"/>
      <w:bookmarkStart w:id="669" w:name="Tc_PRo0rDSeJEuy3NNEk-tKsQ_2_5"/>
      <w:bookmarkStart w:id="670" w:name="Tc_c81iCJ2sSE6qwA-LBF1kfA_2_2"/>
      <w:bookmarkStart w:id="671" w:name="Tc_rZdr3nwJSU2vJUASkie0Xg_1_5"/>
      <w:bookmarkStart w:id="672" w:name="Tc_ZUkjmoMwf024upQh3Ad17w_1_2"/>
      <w:bookmarkStart w:id="673" w:name="_5e5cc62b_6ba5_453a_a67c_962afb4fbfc2"/>
      <w:bookmarkStart w:id="674" w:name="Tc_mJdKoILFN0ykYrPn5H-TVQ_8_8"/>
      <w:bookmarkStart w:id="675" w:name="Tc_4aI6IcNv10mraJV3h8R57A_8_5"/>
      <w:bookmarkStart w:id="676" w:name="Tc_f_QgfXk090Kl_W9cbuH88w_8_2"/>
      <w:bookmarkStart w:id="677" w:name="Tc__cW_hcz6rUC2QGln3ZXBzg_8_0"/>
      <w:bookmarkStart w:id="678" w:name="Tc_MZvwVeoO9kWsQ9G6rvZ72A_7_0"/>
      <w:bookmarkStart w:id="679" w:name="Tc_fNI0UWQzv0KlAsDx6ghw8w_6_0"/>
      <w:bookmarkStart w:id="680" w:name="Tc_V353cHYT4U-3MVG4E2HYEw_5_0"/>
      <w:bookmarkStart w:id="681" w:name="Tc_cMWNDu298kKREQZXmh3Mjg_4_8"/>
      <w:bookmarkStart w:id="682" w:name="Tc_PJ12bYF55EeQRSYCwz1-2g_4_5"/>
      <w:bookmarkStart w:id="683" w:name="Tc_SUJpieXtYk2cBCc7KRw46Q_4_2"/>
      <w:bookmarkStart w:id="684" w:name="Tc_PvZkuD55iUuLcWcO0nsk4A_4_0"/>
      <w:bookmarkStart w:id="685" w:name="Tc_Plq8TEjbAkG7afR0QTiJ_Q_3_0"/>
      <w:bookmarkStart w:id="686" w:name="Tc_sRtj5O1hU0qNyPcgVcmiMw_2_8"/>
      <w:bookmarkStart w:id="687" w:name="Tc_gyTtITB-YEWQooORGhvHMw_2_5"/>
      <w:bookmarkStart w:id="688" w:name="Tc_PJ5FjhkM50-DeNkROf0zDA_2_2"/>
      <w:bookmarkStart w:id="689" w:name="Tc_eeYAC4hEUUms1y5XeSW3ng_1_5"/>
      <w:bookmarkStart w:id="690" w:name="Tc_mLcSvnXBc0q07XW_6lL0tg_1_2"/>
      <w:bookmarkStart w:id="691" w:name="_74a0e76f_5276_4a57_96ff_f02535000264"/>
      <w:bookmarkStart w:id="692" w:name="Tc_dpxBd_1gN0moU7VndXxWdw_6_5"/>
      <w:bookmarkStart w:id="693" w:name="Tc_LO2o1w1DLEiSmhK1bH10Fw_6_2"/>
      <w:bookmarkStart w:id="694" w:name="Tc_nFprLeeKA0-XbFN1MCuPoA_6_0"/>
      <w:bookmarkStart w:id="695" w:name="Tc_0r8ag5bX-kScYXRsMp4wIg_5_0"/>
      <w:bookmarkStart w:id="696" w:name="Tc_FPfQ0lVa6ECwxsqPLvTiHw_4_0"/>
      <w:bookmarkStart w:id="697" w:name="Tc_xkmMlO6j1U24H28Z97QzBQ_3_0"/>
      <w:bookmarkStart w:id="698" w:name="Tc_C-K8QxznPU2k1KNHHXk4PQ_2_5"/>
      <w:bookmarkStart w:id="699" w:name="Tc_Hb8k7IGeOEOqbU81xdHO5w_2_2"/>
      <w:bookmarkStart w:id="700" w:name="Tc_XkI0VjaAqUSYyWwKE-XFlQ_2_0"/>
      <w:bookmarkStart w:id="701" w:name="Tc_V_RMIoZ6D0GzEzvdxvSLMw_1_5"/>
      <w:bookmarkStart w:id="702" w:name="Tc_nLpErVGW8EatWQC1DU5Cug_1_2"/>
      <w:bookmarkStart w:id="703" w:name="_d9630a6f_501d_4e8f_9ff9_d50d231246f6"/>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sz w:val="20"/>
        </w:rPr>
        <w:t>equal to 25 basis points on invested equity for such asset for the first five years following its acquisition, and 15 basis points on invested equity thereafter. The Company will also receive a promote of 15% over a 9% internal rate of return, subject to a 1.275x multiple on invested capital. Since formation through August 30, 2024, the joint venture acquired nine Ground Leases for an aggregate purchase price of $170.4 million, of which $101.2 million had been funded as of August 30, 2024. On August 30, 2024, the Company acquired its partners’ share of the outstanding commitment for all existing Ground Leases in the venture for $48.3 million. The excess of the purchase price and related transaction costs over the carrying value of $46.0 million was recorded as a reduction to additional paid-in capital in the Company’s consolidated statement of changes in equity. The venture remains in place, and the partner's participation right in certain qualifying Ground Lease investment opportunities expired on September 30, 2024.</w:t>
      </w:r>
    </w:p>
    <w:p>
      <w:pPr>
        <w:pStyle w:val="TextBody"/>
        <w:shd w:fill="FFFFFF" w:val="clear"/>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Company’s net investment in sales-type leases were comprised of the following ($ in thousands):</w:t>
      </w:r>
    </w:p>
    <w:tbl>
      <w:tblPr>
        <w:tblW w:w="7041" w:type="dxa"/>
        <w:jc w:val="left"/>
        <w:tblInd w:w="0" w:type="dxa"/>
        <w:tblLayout w:type="fixed"/>
        <w:tblCellMar>
          <w:top w:w="0" w:type="dxa"/>
          <w:left w:w="0" w:type="dxa"/>
          <w:bottom w:w="0" w:type="dxa"/>
          <w:right w:w="0" w:type="dxa"/>
        </w:tblCellMar>
      </w:tblPr>
      <w:tblGrid>
        <w:gridCol w:w="3436"/>
        <w:gridCol w:w="346"/>
        <w:gridCol w:w="211"/>
        <w:gridCol w:w="1156"/>
        <w:gridCol w:w="346"/>
        <w:gridCol w:w="241"/>
        <w:gridCol w:w="130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81860" cy="175260"/>
                      <wp:effectExtent l="0" t="0" r="0" b="0"/>
                      <wp:wrapNone/>
                      <wp:docPr id="90" name="Frame9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34060" cy="175260"/>
                      <wp:effectExtent l="0" t="0" r="0" b="0"/>
                      <wp:wrapNone/>
                      <wp:docPr id="93" name="Frame9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3035" cy="175260"/>
                      <wp:effectExtent l="0" t="0" r="0" b="0"/>
                      <wp:wrapNone/>
                      <wp:docPr id="95" name="Frame9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28675" cy="175260"/>
                      <wp:effectExtent l="0" t="0" r="0" b="0"/>
                      <wp:wrapNone/>
                      <wp:docPr id="96" name="Frame96"/>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34,675,474</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34,314,838</w:t>
            </w:r>
          </w:p>
        </w:tc>
      </w:tr>
      <w:tr>
        <w:trPr/>
        <w:tc>
          <w:tcPr>
            <w:tcW w:w="34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Unguaranteed estimated residual value</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3,120,571</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3,099,768</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(34,178,023)</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(33,840,181)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(10,946)</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3,607,076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3,563,675</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total discounted cash flows were approximately $3,584</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$34.2</w:t>
            </w:r>
            <w:r>
              <w:rPr>
                <w:caps w:val="false"/>
                <w:smallCaps w:val="false"/>
              </w:rPr>
              <w:t xml:space="preserve"> </w:t>
            </w:r>
            <w:r>
              <w:rPr>
                <w:rFonts w:ascii="Times New Roman;Times;serif" w:hAnsi="Times New Roman;Times;serif"/>
                <w:b w:val="false"/>
                <w:i w:val="false"/>
                <w:caps w:val="false"/>
                <w:smallCaps w:val="false"/>
                <w:sz w:val="16"/>
              </w:rPr>
              <w:t>million. As of December 31, 2025, total discounted cash flows were approximately $3,541</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$33.7</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a rollforward of the Company’s net investment in sales-type leases and Ground Lease receivables for the three months ended March 31, 2026 and 2025 ($ in thousands):</w:t>
      </w:r>
    </w:p>
    <w:p>
      <w:pPr>
        <w:pStyle w:val="TextBody"/>
        <w:bidi w:val="0"/>
        <w:spacing w:before="0" w:after="0"/>
        <w:ind w:left="0" w:right="0" w:hanging="0"/>
        <w:jc w:val="left"/>
        <w:rPr/>
      </w:pPr>
      <w:r>
        <w:rPr/>
        <w:t>​</w:t>
      </w:r>
    </w:p>
    <w:tbl>
      <w:tblPr>
        <w:tblW w:w="7851" w:type="dxa"/>
        <w:jc w:val="left"/>
        <w:tblInd w:w="0" w:type="dxa"/>
        <w:tblLayout w:type="fixed"/>
        <w:tblCellMar>
          <w:top w:w="0" w:type="dxa"/>
          <w:left w:w="0" w:type="dxa"/>
          <w:bottom w:w="0" w:type="dxa"/>
          <w:right w:w="0" w:type="dxa"/>
        </w:tblCellMar>
      </w:tblPr>
      <w:tblGrid>
        <w:gridCol w:w="3001"/>
        <w:gridCol w:w="346"/>
        <w:gridCol w:w="284"/>
        <w:gridCol w:w="1201"/>
        <w:gridCol w:w="346"/>
        <w:gridCol w:w="230"/>
        <w:gridCol w:w="970"/>
        <w:gridCol w:w="346"/>
        <w:gridCol w:w="196"/>
        <w:gridCol w:w="931"/>
      </w:tblGrid>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0340" cy="175260"/>
                      <wp:effectExtent l="0" t="0" r="0" b="0"/>
                      <wp:wrapNone/>
                      <wp:docPr id="98" name="Frame9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62635" cy="175260"/>
                      <wp:effectExtent l="0" t="0" r="0" b="0"/>
                      <wp:wrapNone/>
                      <wp:docPr id="99" name="Frame9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6050" cy="175260"/>
                      <wp:effectExtent l="0" t="0" r="0" b="0"/>
                      <wp:wrapNone/>
                      <wp:docPr id="101" name="Frame10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15950" cy="175260"/>
                      <wp:effectExtent l="0" t="0" r="0" b="0"/>
                      <wp:wrapNone/>
                      <wp:docPr id="102" name="Frame10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Three Months Ended March 31, 2026</w:t>
            </w:r>
          </w:p>
        </w:tc>
        <w:tc>
          <w:tcPr>
            <w:tcW w:w="3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3,563,675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2,003,931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5,567,606</w:t>
            </w:r>
          </w:p>
        </w:tc>
      </w:tr>
      <w:tr>
        <w:trPr/>
        <w:tc>
          <w:tcPr>
            <w:tcW w:w="300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26,665</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67,136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16,932</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26,565</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3,607,076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2,053,883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5,660,959</w:t>
            </w:r>
          </w:p>
        </w:tc>
      </w:tr>
    </w:tbl>
    <w:p>
      <w:pPr>
        <w:pStyle w:val="TextBody"/>
        <w:bidi w:val="0"/>
        <w:spacing w:before="0" w:after="0"/>
        <w:ind w:left="0" w:right="0" w:hanging="0"/>
        <w:jc w:val="left"/>
        <w:rPr/>
      </w:pPr>
      <w:r>
        <w:rPr/>
        <w:t>​</w:t>
      </w:r>
    </w:p>
    <w:tbl>
      <w:tblPr>
        <w:tblW w:w="7851" w:type="dxa"/>
        <w:jc w:val="left"/>
        <w:tblInd w:w="0" w:type="dxa"/>
        <w:tblLayout w:type="fixed"/>
        <w:tblCellMar>
          <w:top w:w="0" w:type="dxa"/>
          <w:left w:w="0" w:type="dxa"/>
          <w:bottom w:w="0" w:type="dxa"/>
          <w:right w:w="0" w:type="dxa"/>
        </w:tblCellMar>
      </w:tblPr>
      <w:tblGrid>
        <w:gridCol w:w="3001"/>
        <w:gridCol w:w="346"/>
        <w:gridCol w:w="284"/>
        <w:gridCol w:w="1201"/>
        <w:gridCol w:w="346"/>
        <w:gridCol w:w="230"/>
        <w:gridCol w:w="970"/>
        <w:gridCol w:w="346"/>
        <w:gridCol w:w="196"/>
        <w:gridCol w:w="931"/>
      </w:tblGrid>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0340" cy="175260"/>
                      <wp:effectExtent l="0" t="0" r="0" b="0"/>
                      <wp:wrapNone/>
                      <wp:docPr id="107" name="Frame10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62635" cy="175260"/>
                      <wp:effectExtent l="0" t="0" r="0" b="0"/>
                      <wp:wrapNone/>
                      <wp:docPr id="108" name="Frame10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6050" cy="175260"/>
                      <wp:effectExtent l="0" t="0" r="0" b="0"/>
                      <wp:wrapNone/>
                      <wp:docPr id="110" name="Frame11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15950" cy="175260"/>
                      <wp:effectExtent l="0" t="0" r="0" b="0"/>
                      <wp:wrapNone/>
                      <wp:docPr id="111" name="Frame11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4"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46" w:type="dxa"/>
            <w:tcBorders/>
            <w:vAlign w:val="center"/>
          </w:tcPr>
          <w:p>
            <w:pPr>
              <w:pStyle w:val="TableContents"/>
              <w:bidi w:val="0"/>
              <w:spacing w:before="0" w:after="1"/>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Three Months Ended March 31, 2025</w:t>
            </w:r>
          </w:p>
        </w:tc>
        <w:tc>
          <w:tcPr>
            <w:tcW w:w="346" w:type="dxa"/>
            <w:tcBorders/>
            <w:vAlign w:val="center"/>
          </w:tcPr>
          <w:p>
            <w:pPr>
              <w:pStyle w:val="TableContents"/>
              <w:bidi w:val="0"/>
              <w:spacing w:before="0" w:after="1"/>
              <w:ind w:left="0" w:right="0" w:hanging="0"/>
              <w:jc w:val="left"/>
              <w:rPr/>
            </w:pPr>
            <w:r>
              <w:rPr/>
              <w:t> </w:t>
            </w:r>
          </w:p>
        </w:tc>
        <w:tc>
          <w:tcPr>
            <w:tcW w:w="284"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3,454,953</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1,833,398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5,288,351</w:t>
            </w:r>
          </w:p>
        </w:tc>
      </w:tr>
      <w:tr>
        <w:trPr/>
        <w:tc>
          <w:tcPr>
            <w:tcW w:w="300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16,032</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15,815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24,389</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(2,424)</w:t>
            </w:r>
          </w:p>
        </w:tc>
      </w:tr>
      <w:tr>
        <w:trPr/>
        <w:tc>
          <w:tcPr>
            <w:tcW w:w="30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3,471,953</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1,854,395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5,326,348</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net investment in sales-type leases is initially measured at the present value of the fixed and determinable lease payments, including any guaranteed or unguaranteed estimated residual value of the asset at the end of the lease, discounted at the rate implicit in the lease. For newly originated or acquired Ground Leases, the Company’s estimate of residual value equals the fair value of the land at lease commencement.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and December 31, 2025, all of the Company’s net investment in sales-type leases and Ground Lease receivables were current in their payment status. As of March 31, 2026, the Company’s weighted average accrual rate for its net investment in sales-type leases and Ground Lease receivables was 5.3%</w:t>
            </w:r>
            <w:r>
              <w:rPr>
                <w:caps w:val="false"/>
                <w:smallCaps w:val="false"/>
              </w:rPr>
              <w:t xml:space="preserve"> </w:t>
            </w:r>
            <w:r>
              <w:rPr>
                <w:rFonts w:ascii="Times New Roman;Times;serif" w:hAnsi="Times New Roman;Times;serif"/>
                <w:b w:val="false"/>
                <w:i w:val="false"/>
                <w:caps w:val="false"/>
                <w:smallCaps w:val="false"/>
                <w:sz w:val="16"/>
              </w:rPr>
              <w:t>and 5.7%, respectively. As of March 31, 2026, the weighted average remaining life of the Company’s 57</w:t>
            </w:r>
            <w:r>
              <w:rPr>
                <w:caps w:val="false"/>
                <w:smallCaps w:val="false"/>
              </w:rPr>
              <w:t xml:space="preserve"> </w:t>
            </w:r>
            <w:r>
              <w:rPr>
                <w:rFonts w:ascii="Times New Roman;Times;serif" w:hAnsi="Times New Roman;Times;serif"/>
                <w:b w:val="false"/>
                <w:i w:val="false"/>
                <w:caps w:val="false"/>
                <w:smallCaps w:val="false"/>
                <w:sz w:val="16"/>
              </w:rPr>
              <w:t>Ground Lease receivables was 96.1</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704" w:name="Tc_w7miJfMyR0WpQ1TX7sXqHA_11_11"/>
      <w:bookmarkStart w:id="705" w:name="Tc_Hr-uTCvuj0ewXtPsMpcLOg_11_8"/>
      <w:bookmarkStart w:id="706" w:name="Tc_2vefVaelAkmSeKTz8X3J3Q_11_5"/>
      <w:bookmarkStart w:id="707" w:name="Tc_k17mjOygFECCFwNJKtfb_Q_11_2"/>
      <w:bookmarkStart w:id="708" w:name="Tc_zV3nrnSBbEK-7c46iVzZag_11_0"/>
      <w:bookmarkStart w:id="709" w:name="Tc_J6LorkL5DkmRYY0pR0IzKg_10_0"/>
      <w:bookmarkStart w:id="710" w:name="Tc_g3hDfYqxfUOT1l5oHjJspw_9_11"/>
      <w:bookmarkStart w:id="711" w:name="Tc_PQvB-28auki6V0RzaKtk6g_9_8"/>
      <w:bookmarkStart w:id="712" w:name="Tc_CWaW66_t-E6oeLuluKU4gg_9_5"/>
      <w:bookmarkStart w:id="713" w:name="Tc_G4xjcER4-0WN5OJSWypZWw_9_2"/>
      <w:bookmarkStart w:id="714" w:name="Tc_3QpJ1URxSk-yuQpUzLvTbg_9_0"/>
      <w:bookmarkStart w:id="715" w:name="Tc_zRuFmVPU-UmPa_VQj79tCA_8_0"/>
      <w:bookmarkStart w:id="716" w:name="Tc_zApsaKvr_Ey1uxYbCLpchQ_6_11"/>
      <w:bookmarkStart w:id="717" w:name="Tc_YfENeuZtVEyhyUZnbXaaGg_6_8"/>
      <w:bookmarkStart w:id="718" w:name="Tc_YuM-w11-AUCJhMAjZXOH-w_6_5"/>
      <w:bookmarkStart w:id="719" w:name="Tc_JrBlJmMO5kKsUfjz8sOUlg_6_2"/>
      <w:bookmarkStart w:id="720" w:name="Tc_YF6Bzfhv2UK53Cmeq1O0OQ_6_0"/>
      <w:bookmarkStart w:id="721" w:name="Tc_U4hKExKoXkWOTxY6J3C2eA_5_0"/>
      <w:bookmarkStart w:id="722" w:name="Tc_RbvPHZO3bESFrTGYxyCEGQ_4_11"/>
      <w:bookmarkStart w:id="723" w:name="Tc_2abX7UXVmEWyXUSLqm0QQQ_4_8"/>
      <w:bookmarkStart w:id="724" w:name="Tc_35g5PWg61EyWMAne4BruOg_4_5"/>
      <w:bookmarkStart w:id="725" w:name="Tc_-Rd-CdXSb0Oqb6Y06VEqCQ_4_2"/>
      <w:bookmarkStart w:id="726" w:name="Tc_OkFka89u4kqZsNmdvXzwmQ_4_0"/>
      <w:bookmarkStart w:id="727" w:name="Tc_6BJnB2AO80-YBlSBGv-7Mg_3_11"/>
      <w:bookmarkStart w:id="728" w:name="Tc__tUgf-MptEe5SPkRoLX9vg_3_8"/>
      <w:bookmarkStart w:id="729" w:name="Tc_zOrcUIjitUmyEZwr8LefHQ_3_5"/>
      <w:bookmarkStart w:id="730" w:name="Tc_vlh3XEq1AEOdhpZfhLblbQ_3_2"/>
      <w:bookmarkStart w:id="731" w:name="Tc_7ejX1XmstkKxmrAPb8vkgw_3_0"/>
      <w:bookmarkStart w:id="732" w:name="Tc_8U88azkUyEyUeM1LUe8YLw_2_8"/>
      <w:bookmarkStart w:id="733" w:name="Tc_NvVk_V9dOkSwpEhSPiMFaQ_2_5"/>
      <w:bookmarkStart w:id="734" w:name="Tc_qagrjHk920-lXlgEZYjwRQ_2_2"/>
      <w:bookmarkStart w:id="735" w:name="Tc_RmZgl-Zc60eT15buWWuwVQ_1_2"/>
      <w:bookmarkStart w:id="736" w:name="_3c272f75_5f60_4146_87de_9f62bd7005a9"/>
      <w:bookmarkStart w:id="737" w:name="Tc_KeN7e2JbdUWqsVinrUo5FA_11_11"/>
      <w:bookmarkStart w:id="738" w:name="Tc_jclVNsXzTEiRBE60zcrR8A_11_9"/>
      <w:bookmarkStart w:id="739" w:name="Tc_Q2trpSSo80it0kxRi6-_xA_11_8"/>
      <w:bookmarkStart w:id="740" w:name="Tc_eH1jL2NOsU69uGfcbvZ0Rw_11_5"/>
      <w:bookmarkStart w:id="741" w:name="Tc_8th2AVeDCkKZ6_X2HjcWag_11_2"/>
      <w:bookmarkStart w:id="742" w:name="Tc_NNO_z2vGk0G_rCQMM1h7qg_11_0"/>
      <w:bookmarkStart w:id="743" w:name="Tc_ekdC6CKZR06uGqJWsjdjzQ_10_9"/>
      <w:bookmarkStart w:id="744" w:name="Tc_x0KMx1bYGEe8En_YqKuYLw_10_0"/>
      <w:bookmarkStart w:id="745" w:name="Tc_M79uSEIv0USbzq0wu8IYgw_9_11"/>
      <w:bookmarkStart w:id="746" w:name="Tc_e7uDjuSGKEGlncb55yaOrw_9_9"/>
      <w:bookmarkStart w:id="747" w:name="Tc_WFQC7ypyLUKZRoYQ5S2OEg_9_8"/>
      <w:bookmarkStart w:id="748" w:name="Tc_I11rryU6dk6VasOVLuAC0w_9_5"/>
      <w:bookmarkStart w:id="749" w:name="Tc_QV1Mnl2v50C9blHMK42ARQ_9_2"/>
      <w:bookmarkStart w:id="750" w:name="Tc_XLQQCfRu70KQ8ltaBle1kQ_9_0"/>
      <w:bookmarkStart w:id="751" w:name="Tc_P-BUKloNfU2HYSFxc61zfw_8_0"/>
      <w:bookmarkStart w:id="752" w:name="Tc_OqE-hFJiv0W4Klhk7aWtig_6_11"/>
      <w:bookmarkStart w:id="753" w:name="Tc_bR0XJsyAK06-VLxeJCcPng_6_8"/>
      <w:bookmarkStart w:id="754" w:name="Tc_HRL5CQL4UUiF7_NknzEqEQ_6_5"/>
      <w:bookmarkStart w:id="755" w:name="Tc_qwr7-kumi0KTmvw1rrPhog_6_2"/>
      <w:bookmarkStart w:id="756" w:name="Tc_N5ztpA20S0mP6Q2g4NAtqg_6_0"/>
      <w:bookmarkStart w:id="757" w:name="Tc_Ww9HUDxp6keOkQJitztxig_5_0"/>
      <w:bookmarkStart w:id="758" w:name="Tc_KbxAyvKYZkigJhvJc7_mww_4_11"/>
      <w:bookmarkStart w:id="759" w:name="Tc_IHLxFqMkNE217njWC6NWsw_4_8"/>
      <w:bookmarkStart w:id="760" w:name="Tc_xkL5dDVdUU-653oIJX2ygw_4_5"/>
      <w:bookmarkStart w:id="761" w:name="Tc_MA-cdo4SQ0yVzg9KuM_Tcg_4_2"/>
      <w:bookmarkStart w:id="762" w:name="Tc_hcwAFpgJW0SdbewHz4QoMA_4_0"/>
      <w:bookmarkStart w:id="763" w:name="Tc_Ufq4D2L47UW7SZVmINznvw_3_11"/>
      <w:bookmarkStart w:id="764" w:name="Tc_nohsC9sF6Uq2rVUtE2FK8Q_3_8"/>
      <w:bookmarkStart w:id="765" w:name="Tc_fsDQ4BfTTEaC4ojZYdxAWw_3_5"/>
      <w:bookmarkStart w:id="766" w:name="Tc_Fk2Vn7FoaU6xR96RKITNLg_3_2"/>
      <w:bookmarkStart w:id="767" w:name="Tc_aavh6x8bBU-_xPX9cKP6bw_3_0"/>
      <w:bookmarkStart w:id="768" w:name="Tc_E-RJWaBZgUaGW5nBFmRH-w_2_8"/>
      <w:bookmarkStart w:id="769" w:name="Tc_ukRkW5qrsUSrvBB-Sqp5qw_2_5"/>
      <w:bookmarkStart w:id="770" w:name="Tc_reEnlNTUP0qYrxA0K99fCw_2_2"/>
      <w:bookmarkStart w:id="771" w:name="Tc_X59rZcCYlkyEiSrMGdLNCw_1_2"/>
      <w:bookmarkStart w:id="772" w:name="_64d1bc3f_87fd_4d34_a964_2a492f6a97e5"/>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i/>
          <w:sz w:val="20"/>
        </w:rPr>
        <w:t>Allowance for Credit Losses</w:t>
      </w:r>
      <w:r>
        <w:rPr>
          <w:rFonts w:ascii="Times New Roman;Times;serif" w:hAnsi="Times New Roman;Times;serif"/>
          <w:sz w:val="20"/>
        </w:rPr>
        <w:t>—Changes in the Company’s allowance for credit losses on net investment in sales-type leases for the three months ended March 31, 2026 and 2025 were as follows ($ in thousands):</w:t>
      </w:r>
    </w:p>
    <w:p>
      <w:pPr>
        <w:pStyle w:val="TextBody"/>
        <w:bidi w:val="0"/>
        <w:spacing w:before="0" w:after="240"/>
        <w:ind w:left="0" w:right="0" w:firstLine="720"/>
        <w:jc w:val="both"/>
        <w:rPr/>
      </w:pPr>
      <w:r>
        <w:rPr/>
        <w:t>​</w:t>
      </w:r>
    </w:p>
    <w:tbl>
      <w:tblPr>
        <w:tblW w:w="8930" w:type="dxa"/>
        <w:jc w:val="left"/>
        <w:tblInd w:w="0" w:type="dxa"/>
        <w:tblLayout w:type="fixed"/>
        <w:tblCellMar>
          <w:top w:w="0" w:type="dxa"/>
          <w:left w:w="0" w:type="dxa"/>
          <w:bottom w:w="0" w:type="dxa"/>
          <w:right w:w="0" w:type="dxa"/>
        </w:tblCellMar>
      </w:tblPr>
      <w:tblGrid>
        <w:gridCol w:w="4276"/>
        <w:gridCol w:w="346"/>
        <w:gridCol w:w="211"/>
        <w:gridCol w:w="676"/>
        <w:gridCol w:w="109"/>
        <w:gridCol w:w="350"/>
        <w:gridCol w:w="701"/>
        <w:gridCol w:w="109"/>
        <w:gridCol w:w="420"/>
        <w:gridCol w:w="691"/>
        <w:gridCol w:w="109"/>
        <w:gridCol w:w="211"/>
        <w:gridCol w:w="72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715260" cy="175260"/>
                      <wp:effectExtent l="0" t="0" r="0" b="0"/>
                      <wp:wrapNone/>
                      <wp:docPr id="115" name="Frame115"/>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9260" cy="175260"/>
                      <wp:effectExtent l="0" t="0" r="0" b="0"/>
                      <wp:wrapNone/>
                      <wp:docPr id="118"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2250" cy="175260"/>
                      <wp:effectExtent l="0" t="0" r="0" b="0"/>
                      <wp:wrapNone/>
                      <wp:docPr id="120" name="Frame12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45135" cy="175260"/>
                      <wp:effectExtent l="0" t="0" r="0" b="0"/>
                      <wp:wrapNone/>
                      <wp:docPr id="121" name="Frame121"/>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66700" cy="175260"/>
                      <wp:effectExtent l="0" t="0" r="0" b="0"/>
                      <wp:wrapNone/>
                      <wp:docPr id="123" name="Frame12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57835" cy="175260"/>
                      <wp:effectExtent l="0" t="0" r="0" b="0"/>
                      <wp:wrapNone/>
                      <wp:docPr id="127" name="Frame12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3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in sales-type leases</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2026</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10,214</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10,346</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10,977</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7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0"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2025</w:t>
            </w:r>
          </w:p>
        </w:tc>
        <w:tc>
          <w:tcPr>
            <w:tcW w:w="346"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32"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7,697</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March 31, 2026 and 2025, the Company recorded provisions for credit losses on net investment in sales-type leases of $0.2</w:t>
            </w:r>
            <w:r>
              <w:rPr>
                <w:caps w:val="false"/>
                <w:smallCaps w:val="false"/>
              </w:rPr>
              <w:t xml:space="preserve"> </w:t>
            </w:r>
            <w:r>
              <w:rPr>
                <w:rFonts w:ascii="Times New Roman;Times;serif" w:hAnsi="Times New Roman;Times;serif"/>
                <w:b w:val="false"/>
                <w:i w:val="false"/>
                <w:caps w:val="false"/>
                <w:smallCaps w:val="false"/>
                <w:sz w:val="16"/>
              </w:rPr>
              <w:t>million and $0.9</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March 31, 2026 was due primarily to growth in the carrying value of the portfolio during the period and current market conditions, </w:t>
            </w:r>
            <w:r>
              <w:rPr>
                <w:rFonts w:ascii="Times New Roman;Times;serif" w:hAnsi="Times New Roman;Times;serif"/>
                <w:b w:val="false"/>
                <w:i w:val="false"/>
                <w:caps w:val="false"/>
                <w:smallCaps w:val="false"/>
                <w:color w:val="212529"/>
                <w:sz w:val="16"/>
              </w:rPr>
              <w:t>which was partially offset by a decrease in the Ground Lease cost to value ratio on the Company’s portfolio of Ground Leases since December 31, 2025</w:t>
            </w:r>
            <w:r>
              <w:rPr>
                <w:rFonts w:ascii="Times New Roman;Times;serif" w:hAnsi="Times New Roman;Times;serif"/>
                <w:b w:val="false"/>
                <w:i w:val="false"/>
                <w:caps w:val="false"/>
                <w:smallCaps w:val="false"/>
                <w:sz w:val="16"/>
              </w:rPr>
              <w:t xml:space="preserve">. </w:t>
            </w:r>
            <w:r>
              <w:rPr>
                <w:rFonts w:ascii="Times New Roman;Times;serif" w:hAnsi="Times New Roman;Times;serif"/>
                <w:b w:val="false"/>
                <w:i w:val="false"/>
                <w:caps w:val="false"/>
                <w:smallCaps w:val="false"/>
                <w:color w:val="212529"/>
                <w:sz w:val="16"/>
              </w:rPr>
              <w:t>The provision for credit losses for the three months ended March 31, 2025 w</w:t>
            </w:r>
            <w:r>
              <w:rPr>
                <w:rFonts w:ascii="Times New Roman;Times;serif" w:hAnsi="Times New Roman;Times;serif"/>
                <w:b w:val="false"/>
                <w:i w:val="false"/>
                <w:caps w:val="false"/>
                <w:smallCaps w:val="false"/>
                <w:sz w:val="16"/>
              </w:rPr>
              <w:t>as due primarily to then current market conditions, </w:t>
            </w:r>
            <w:r>
              <w:rPr>
                <w:rFonts w:ascii="Times New Roman;Times;serif" w:hAnsi="Times New Roman;Times;serif"/>
                <w:b w:val="false"/>
                <w:i w:val="false"/>
                <w:caps w:val="false"/>
                <w:smallCaps w:val="false"/>
                <w:color w:val="212529"/>
                <w:sz w:val="16"/>
              </w:rPr>
              <w:t>including an increase in the Ground Lease cost to value ratio on the Company’s portfolio of Ground Leases since December 31, 2024, </w:t>
            </w:r>
            <w:r>
              <w:rPr>
                <w:rFonts w:ascii="Times New Roman;Times;serif" w:hAnsi="Times New Roman;Times;serif"/>
                <w:b w:val="false"/>
                <w:i w:val="false"/>
                <w:caps w:val="false"/>
                <w:smallCaps w:val="false"/>
                <w:sz w:val="16"/>
              </w:rPr>
              <w:t>and growth in the carrying value of the portfolio during the period.</w:t>
            </w:r>
            <w:r>
              <w:rPr>
                <w:caps w:val="false"/>
                <w:smallCaps w:val="false"/>
                <w:color w:val="212529"/>
              </w:rPr>
              <w:t xml:space="preserve">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the Company’s allowance for credit losses on Ground Lease receivables for the three months ended March 31, 2026 and 2025 were as follows ($ in thousands):</w:t>
      </w:r>
    </w:p>
    <w:p>
      <w:pPr>
        <w:pStyle w:val="TextBody"/>
        <w:bidi w:val="0"/>
        <w:spacing w:before="0" w:after="240"/>
        <w:ind w:left="0" w:right="0" w:hanging="0"/>
        <w:jc w:val="both"/>
        <w:rPr/>
      </w:pPr>
      <w:r>
        <w:rPr/>
        <w:t>​</w:t>
      </w:r>
    </w:p>
    <w:tbl>
      <w:tblPr>
        <w:tblW w:w="8864" w:type="dxa"/>
        <w:jc w:val="left"/>
        <w:tblInd w:w="0" w:type="dxa"/>
        <w:tblLayout w:type="fixed"/>
        <w:tblCellMar>
          <w:top w:w="0" w:type="dxa"/>
          <w:left w:w="0" w:type="dxa"/>
          <w:bottom w:w="0" w:type="dxa"/>
          <w:right w:w="0" w:type="dxa"/>
        </w:tblCellMar>
      </w:tblPr>
      <w:tblGrid>
        <w:gridCol w:w="4276"/>
        <w:gridCol w:w="346"/>
        <w:gridCol w:w="230"/>
        <w:gridCol w:w="626"/>
        <w:gridCol w:w="109"/>
        <w:gridCol w:w="283"/>
        <w:gridCol w:w="768"/>
        <w:gridCol w:w="109"/>
        <w:gridCol w:w="398"/>
        <w:gridCol w:w="713"/>
        <w:gridCol w:w="109"/>
        <w:gridCol w:w="211"/>
        <w:gridCol w:w="68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715260" cy="175260"/>
                      <wp:effectExtent l="0" t="0" r="0" b="0"/>
                      <wp:wrapNone/>
                      <wp:docPr id="128" name="Frame128"/>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6050" cy="175260"/>
                      <wp:effectExtent l="0" t="0" r="0" b="0"/>
                      <wp:wrapNone/>
                      <wp:docPr id="130" name="Frame13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7510" cy="175260"/>
                      <wp:effectExtent l="0" t="0" r="0" b="0"/>
                      <wp:wrapNone/>
                      <wp:docPr id="131" name="Frame13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9705" cy="175260"/>
                      <wp:effectExtent l="0" t="0" r="0" b="0"/>
                      <wp:wrapNone/>
                      <wp:docPr id="133" name="Frame13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87680" cy="175260"/>
                      <wp:effectExtent l="0" t="0" r="0" b="0"/>
                      <wp:wrapNone/>
                      <wp:docPr id="134" name="Frame134"/>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2730" cy="175260"/>
                      <wp:effectExtent l="0" t="0" r="0" b="0"/>
                      <wp:wrapNone/>
                      <wp:docPr id="136" name="Frame13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52755" cy="175260"/>
                      <wp:effectExtent l="0" t="0" r="0" b="0"/>
                      <wp:wrapNone/>
                      <wp:docPr id="137" name="Frame13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5610" cy="175260"/>
                      <wp:effectExtent l="0" t="0" r="0" b="0"/>
                      <wp:wrapNone/>
                      <wp:docPr id="140" name="Frame14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24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Ground Lease receivables</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2026</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3,587</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4,956</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8"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March 31, 2025</w:t>
            </w:r>
          </w:p>
        </w:tc>
        <w:tc>
          <w:tcPr>
            <w:tcW w:w="34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9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5,239</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March 31, 2026 and 2025, the Company recorded provisions for credit losses on Ground Lease receivables of $0.2</w:t>
            </w:r>
            <w:r>
              <w:rPr>
                <w:caps w:val="false"/>
                <w:smallCaps w:val="false"/>
              </w:rPr>
              <w:t xml:space="preserve"> </w:t>
            </w:r>
            <w:r>
              <w:rPr>
                <w:rFonts w:ascii="Times New Roman;Times;serif" w:hAnsi="Times New Roman;Times;serif"/>
                <w:b w:val="false"/>
                <w:i w:val="false"/>
                <w:caps w:val="false"/>
                <w:smallCaps w:val="false"/>
                <w:sz w:val="16"/>
              </w:rPr>
              <w:t>million and $1.5</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March 31, 2026 was due primarily to growth in the carrying value of the portfolio during the period and current market conditions, </w:t>
            </w:r>
            <w:r>
              <w:rPr>
                <w:rFonts w:ascii="Times New Roman;Times;serif" w:hAnsi="Times New Roman;Times;serif"/>
                <w:b w:val="false"/>
                <w:i w:val="false"/>
                <w:caps w:val="false"/>
                <w:smallCaps w:val="false"/>
                <w:color w:val="212529"/>
                <w:sz w:val="16"/>
              </w:rPr>
              <w:t>which was partially offset by a decrease in the Ground Lease cost to value ratio on the Company’s portfolio of Ground Leases since December 31, 2025</w:t>
            </w:r>
            <w:r>
              <w:rPr>
                <w:rFonts w:ascii="Times New Roman;Times;serif" w:hAnsi="Times New Roman;Times;serif"/>
                <w:b w:val="false"/>
                <w:i w:val="false"/>
                <w:caps w:val="false"/>
                <w:smallCaps w:val="false"/>
                <w:sz w:val="16"/>
              </w:rPr>
              <w:t>. The provision for credit losses for the three months ended March 31, 2025 was due primarily to then current market conditions, </w:t>
            </w:r>
            <w:r>
              <w:rPr>
                <w:rFonts w:ascii="Times New Roman;Times;serif" w:hAnsi="Times New Roman;Times;serif"/>
                <w:b w:val="false"/>
                <w:i w:val="false"/>
                <w:caps w:val="false"/>
                <w:smallCaps w:val="false"/>
                <w:color w:val="212529"/>
                <w:sz w:val="16"/>
              </w:rPr>
              <w:t>including an increase in the Ground Lease cost to value ratio on the Company’s portfolio of Ground Leases since December 31, 2024,</w:t>
            </w:r>
            <w:r>
              <w:rPr>
                <w:caps w:val="false"/>
                <w:smallCaps w:val="false"/>
              </w:rPr>
              <w:t> </w:t>
            </w:r>
            <w:r>
              <w:rPr>
                <w:rFonts w:ascii="Times New Roman;Times;serif" w:hAnsi="Times New Roman;Times;serif"/>
                <w:b w:val="false"/>
                <w:i w:val="false"/>
                <w:caps w:val="false"/>
                <w:smallCaps w:val="false"/>
                <w:sz w:val="16"/>
              </w:rPr>
              <w:t>and growth in the carrying value of the portfolio during the period.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773" w:name="Tc_xrDeP_HhNkqavXmrifvbYg_11_11"/>
      <w:bookmarkStart w:id="774" w:name="Tc_hUtPOqHhuU2zkPL74vVHCw_11_8"/>
      <w:bookmarkStart w:id="775" w:name="Tc_ERiYJl5ME0q3UO1XaZgg-A_11_5"/>
      <w:bookmarkStart w:id="776" w:name="Tc_92JEFA7rYUunwLvpvdlmoQ_11_2"/>
      <w:bookmarkStart w:id="777" w:name="Tc_ssvZnioC60OLod7sPB_toA_11_0"/>
      <w:bookmarkStart w:id="778" w:name="Tc_DjCV1_XSCU2xOF5NsiJbbw_10_0"/>
      <w:bookmarkStart w:id="779" w:name="Tc_u-yQi4JIxEyAYqM5LEDbDQ_9_0"/>
      <w:bookmarkStart w:id="780" w:name="Tc_QSsxqGMdwUKlAcJMd7PqyA_8_0"/>
      <w:bookmarkStart w:id="781" w:name="Tc_vJhAt3jmBUalDl02n13FMw_7_0"/>
      <w:bookmarkStart w:id="782" w:name="Tc_wBtzghKiyUW_ZkD-6uAYGQ_6_0"/>
      <w:bookmarkStart w:id="783" w:name="Tc_buvbPofqkkyTIdKyel2S2A_5_11"/>
      <w:bookmarkStart w:id="784" w:name="Tc_7gaDwrF25Em9d_7ZkOoNIA_5_8"/>
      <w:bookmarkStart w:id="785" w:name="Tc_iB6EjNEvI0utfA9cFF2ykg_5_5"/>
      <w:bookmarkStart w:id="786" w:name="Tc_PHCQg3lQt069HYOCMxW5iw_5_2"/>
      <w:bookmarkStart w:id="787" w:name="Tc_WTf6Y4wNR0a03P9eK5x3tg_5_0"/>
      <w:bookmarkStart w:id="788" w:name="Tc_U77DtOlEdEWXNO832WVtHQ_4_11"/>
      <w:bookmarkStart w:id="789" w:name="Tc_7rWFy5UfiES0uC27G2CeXg_4_8"/>
      <w:bookmarkStart w:id="790" w:name="Tc_1WEIrq2PV0K2yk9JxlHvuw_4_5"/>
      <w:bookmarkStart w:id="791" w:name="Tc_nXHgwKwm8ESYuBXiYUCJUw_4_2"/>
      <w:bookmarkStart w:id="792" w:name="Tc_rUJPD0E5uEWNNW4CKRnQfg_3_8"/>
      <w:bookmarkStart w:id="793" w:name="Tc_CxNVnOv3gUGK7DmfnrvCMQ_3_5"/>
      <w:bookmarkStart w:id="794" w:name="Tc_m8jWGPTzW0S5ShvFVmHW4w_3_2"/>
      <w:bookmarkStart w:id="795" w:name="Tc_2fTzHGsOYUmlHTInfkum7g_2_8"/>
      <w:bookmarkStart w:id="796" w:name="Tc_z-kMaitOnUqpUSNbQmI_rg_2_2"/>
      <w:bookmarkStart w:id="797" w:name="Tc_2P0moz7-HUWaBeSWRieVtg_1_8"/>
      <w:bookmarkStart w:id="798" w:name="_c6abb936_ba54_46e5_8e40_495c6e67ffc2"/>
      <w:bookmarkStart w:id="799" w:name="Tc_m-0GBPdmcE-z_genUjUZMg_6_20"/>
      <w:bookmarkStart w:id="800" w:name="Tc_Kuam_gV1jEqdxXQPxkfqzA_6_17"/>
      <w:bookmarkStart w:id="801" w:name="Tc_RU64xPcyCE2-XnnowvAbAA_6_14"/>
      <w:bookmarkStart w:id="802" w:name="Tc_ckF96tuV_E22RfljEhCFjQ_6_11"/>
      <w:bookmarkStart w:id="803" w:name="Tc_-AQkIMXRuU6zadb9hJ6r-Q_6_8"/>
      <w:bookmarkStart w:id="804" w:name="Tc_qof78KIPdEmb7uYVKxMTQQ_6_5"/>
      <w:bookmarkStart w:id="805" w:name="Tc_D07tjPsvh0eoCMyUT1eV8A_6_2"/>
      <w:bookmarkStart w:id="806" w:name="Tc_7YGjxHMBGkuiFkv-RqA6KQ_6_0"/>
      <w:bookmarkStart w:id="807" w:name="Tc_cLXYpUUv3EKo8WTzpxodQA_5_18"/>
      <w:bookmarkStart w:id="808" w:name="Tc_hnzzLLKKNUu47GlG93KWsQ_5_0"/>
      <w:bookmarkStart w:id="809" w:name="Tc_LmwkKjpTmUm4hzlkIMeOfQ_4_20"/>
      <w:bookmarkStart w:id="810" w:name="Tc_U6vjLMEc-0CMdpovcJJjjA_4_17"/>
      <w:bookmarkStart w:id="811" w:name="Tc_BPoicV70uEWZHiDnhyj45w_4_14"/>
      <w:bookmarkStart w:id="812" w:name="Tc_lDp6-4jCSEi7aDN6uCpE2Q_4_11"/>
      <w:bookmarkStart w:id="813" w:name="Tc_2EmDcwTBEEqo2rK9nKl_NA_4_8"/>
      <w:bookmarkStart w:id="814" w:name="Tc_29ijPFhgiUCNFs8XuXl_eA_4_6"/>
      <w:bookmarkStart w:id="815" w:name="Tc_xK0D8qqzCUWXj4OPA2FGUQ_4_5"/>
      <w:bookmarkStart w:id="816" w:name="Tc_NNUW7R9vZEWRgSnNMaUXQQ_4_2"/>
      <w:bookmarkStart w:id="817" w:name="Tc_obKdYYY66kW8Vx7TsdxHsg_4_0"/>
      <w:bookmarkStart w:id="818" w:name="Tc_wnCSJtR8G0CFLaN4Ej8eDw_3_0"/>
      <w:bookmarkStart w:id="819" w:name="Tc_xjPxypsOB0qCq5RyynwWag_2_20"/>
      <w:bookmarkStart w:id="820" w:name="Tc_C3VXMJpP4UOq0_by_-lR2w_2_17"/>
      <w:bookmarkStart w:id="821" w:name="Tc_h3b2WOQFFkuRPh-Y2MFzvA_2_14"/>
      <w:bookmarkStart w:id="822" w:name="Tc_0B0ssKc-gUynjYtO1gdLyg_2_11"/>
      <w:bookmarkStart w:id="823" w:name="Tc_3FM37xiHT0mdsHrvix4eEw_2_8"/>
      <w:bookmarkStart w:id="824" w:name="Tc_1DebvcXqvEym-PzAjMR2fg_2_5"/>
      <w:bookmarkStart w:id="825" w:name="Tc_vZN-SiMd0U-SvS-9rwuU0w_2_2"/>
      <w:bookmarkStart w:id="826" w:name="Tc__f__BCY8UkOKeh0NbmmfqA_1_2"/>
      <w:bookmarkStart w:id="827" w:name="_7f729e31_8bb6_498f_85ee_0d4fc7f26903"/>
      <w:bookmarkStart w:id="828" w:name="Tc_TOqcjfXon0uVivAD169GYQ_6_20"/>
      <w:bookmarkStart w:id="829" w:name="Tc_mKlLJQ6GjU-jrG0LELA29g_6_17"/>
      <w:bookmarkStart w:id="830" w:name="Tc_oV-3-5zY8k2eqxcwoQN9Qg_6_14"/>
      <w:bookmarkStart w:id="831" w:name="Tc_EsvRakCozkGjNmnd9LteKw_6_11"/>
      <w:bookmarkStart w:id="832" w:name="Tc_NKTy20GFSUKxl0l3-1egFQ_6_8"/>
      <w:bookmarkStart w:id="833" w:name="Tc_uHKg50twMUSouAtIQRtJhA_6_5"/>
      <w:bookmarkStart w:id="834" w:name="Tc_-xT4OR6QSEKimoyi2b0IhQ_6_2"/>
      <w:bookmarkStart w:id="835" w:name="Tc_jH2R-g9AiUWlg2IbhT9y0Q_6_0"/>
      <w:bookmarkStart w:id="836" w:name="Tc_pgkgHVq9-E6lRt51uGTp0w_5_0"/>
      <w:bookmarkStart w:id="837" w:name="Tc_k4BzthIipkmL4Hl4YJnGvw_4_20"/>
      <w:bookmarkStart w:id="838" w:name="Tc_T-YiZPAb-UyNU-QwS3cs6w_4_17"/>
      <w:bookmarkStart w:id="839" w:name="Tc_v-SO8RPQiEGHlWIYyfaBUA_4_14"/>
      <w:bookmarkStart w:id="840" w:name="Tc_Y03RK1LqhESSmx-qrh0icA_4_11"/>
      <w:bookmarkStart w:id="841" w:name="Tc_k0T12zA6aEm3qMxVNSPWVQ_4_8"/>
      <w:bookmarkStart w:id="842" w:name="Tc_UDgQQdgjAEW9l42Bq1lfRg_4_5"/>
      <w:bookmarkStart w:id="843" w:name="Tc_PxnhKLE9lk2suGz_aqPTVQ_4_2"/>
      <w:bookmarkStart w:id="844" w:name="Tc_b54nW9k-T0i1eib7Rh6PGw_4_0"/>
      <w:bookmarkStart w:id="845" w:name="Tc_pD6y2ge7z0-cQMwxYgYb3g_3_0"/>
      <w:bookmarkStart w:id="846" w:name="Tc_pY5i0skDV0KxJ_Fu-CKNIg_2_20"/>
      <w:bookmarkStart w:id="847" w:name="Tc_o8Cu_0YKn0qy65qKn7rjGw_2_17"/>
      <w:bookmarkStart w:id="848" w:name="Tc_AYcjuB4T_0KM9uSTvQ5peg_2_14"/>
      <w:bookmarkStart w:id="849" w:name="Tc_jaHlD7k5MkGQ07JF5nj9DA_2_11"/>
      <w:bookmarkStart w:id="850" w:name="Tc_JLC5rOidIU2GOzZW4YK-QA_2_8"/>
      <w:bookmarkStart w:id="851" w:name="Tc_Pd6pOHOHVk2dNZyUz23Xiw_2_5"/>
      <w:bookmarkStart w:id="852" w:name="Tc_W5PLpR-eCEq2lhctS-kcvw_2_2"/>
      <w:bookmarkStart w:id="853" w:name="Tc_EJOs4WOdAkijCE0_ZZ7Fkg_1_2"/>
      <w:bookmarkStart w:id="854" w:name="_e7cfab51_0e41_4f51_bf5d_14ed5b9f6a21"/>
      <w:bookmarkStart w:id="855" w:name="Tc_AbuqFRULE0i8y096x4slZg_6_20"/>
      <w:bookmarkStart w:id="856" w:name="Tc_0cwFNxW4o0GVyJM4t-yPsg_6_17"/>
      <w:bookmarkStart w:id="857" w:name="Tc_rkygLXcQiUGSXGIFfwot7g_6_14"/>
      <w:bookmarkStart w:id="858" w:name="Tc_pkZRNcTzQU-CQUeDFLJH0w_6_11"/>
      <w:bookmarkStart w:id="859" w:name="Tc_sIfcJM72TUSNhuDXWBI_GA_6_8"/>
      <w:bookmarkStart w:id="860" w:name="Tc_tL5XRCs4E0O4K-rjxZNIPw_6_5"/>
      <w:bookmarkStart w:id="861" w:name="Tc_SAsoD6gb50mK8u74UirPcA_6_2"/>
      <w:bookmarkStart w:id="862" w:name="Tc_Z22puMBl1Ee4FJ_rdfrj0Q_6_0"/>
      <w:bookmarkStart w:id="863" w:name="Tc_v0Q1zon2f0yij5xkobHUag_5_3"/>
      <w:bookmarkStart w:id="864" w:name="Tc_i3_rpKps7U-fo6fJy5T98Q_5_0"/>
      <w:bookmarkStart w:id="865" w:name="Tc_fe5NaQRq0k2simkMHU4uuA_4_20"/>
      <w:bookmarkStart w:id="866" w:name="Tc_hPBkZs6Q10KvQVTnM7ssoQ_4_17"/>
      <w:bookmarkStart w:id="867" w:name="Tc_etuZOsOe70GWB0L_ceYszA_4_14"/>
      <w:bookmarkStart w:id="868" w:name="Tc_0Jir8Z_Um02MG2Ins0aV_A_4_11"/>
      <w:bookmarkStart w:id="869" w:name="Tc_BCAzkA07a063TraQC_Vz2g_4_9"/>
      <w:bookmarkStart w:id="870" w:name="Tc_A7seAp8FjkKADMxdJI3jFQ_4_8"/>
      <w:bookmarkStart w:id="871" w:name="Tc_-xUB9Ea1s0KZqmn1UhvgvA_4_5"/>
      <w:bookmarkStart w:id="872" w:name="Tc_2SpHX-wK_EuvGZ0UiPH_YQ_4_2"/>
      <w:bookmarkStart w:id="873" w:name="Tc_aD68pchdrUGfevSS7jmuGg_4_0"/>
      <w:bookmarkStart w:id="874" w:name="Tc_L_jAr2uKEEuSVRRvAd9FTQ_3_0"/>
      <w:bookmarkStart w:id="875" w:name="Tc_3e7qB1JV70uOaKBGdCcunw_2_20"/>
      <w:bookmarkStart w:id="876" w:name="Tc_7kBj0Xf4D0Wzbl-IKk8s5A_2_17"/>
      <w:bookmarkStart w:id="877" w:name="Tc_run7zROn20Oct6G8wYbpdw_2_14"/>
      <w:bookmarkStart w:id="878" w:name="Tc_nR_YTKXzTU2AsEQKCc3UPA_2_11"/>
      <w:bookmarkStart w:id="879" w:name="Tc_VtXbJm3XA0akzVGYh3T-zQ_2_8"/>
      <w:bookmarkStart w:id="880" w:name="Tc_Ji4WCb85bECUVVZiFUWj7A_2_5"/>
      <w:bookmarkStart w:id="881" w:name="Tc_pGzMzlJ-c0GOLIK0EH6Yqg_2_2"/>
      <w:bookmarkStart w:id="882" w:name="Tc_ir5OkHSQvEunqg4-72wiJg_1_2"/>
      <w:bookmarkStart w:id="883" w:name="_5b842d69_3cf9_4d6c_ba00_465baa12588b"/>
      <w:bookmarkStart w:id="884" w:name="Tc_bPOH_6WFcU-woD-2NQvZfQ_6_20"/>
      <w:bookmarkStart w:id="885" w:name="Tc_Ez7tt4HJG0uIR7fR4gyJyA_6_17"/>
      <w:bookmarkStart w:id="886" w:name="Tc_n9oQgLBvSEuuE9N8aDdqZg_6_14"/>
      <w:bookmarkStart w:id="887" w:name="Tc_x85HercNEkSwetIJfsFY8w_6_11"/>
      <w:bookmarkStart w:id="888" w:name="Tc_exqX2CXvYki1KJq5SB8qQg_6_8"/>
      <w:bookmarkStart w:id="889" w:name="Tc_I5Xa2_MqcU6z_sdpcYg-mg_6_5"/>
      <w:bookmarkStart w:id="890" w:name="Tc_ESuD93gm2EuSEE010H2QDQ_6_2"/>
      <w:bookmarkStart w:id="891" w:name="Tc_ROXf865ga0Ch65fr0-B2Yw_6_0"/>
      <w:bookmarkStart w:id="892" w:name="Tc_KUJwzqHNoU6re6b09rW1UQ_5_0"/>
      <w:bookmarkStart w:id="893" w:name="Tc_0W6E_zK1FkSCN0DPqR41Uw_4_20"/>
      <w:bookmarkStart w:id="894" w:name="Tc_Ed7vCl9rikiNPh0pPxe2ug_4_17"/>
      <w:bookmarkStart w:id="895" w:name="Tc__fkxFytaokqpHY9NcT2yfg_4_14"/>
      <w:bookmarkStart w:id="896" w:name="Tc_PhDwu0QsUkaiakkUz0XVvA_4_11"/>
      <w:bookmarkStart w:id="897" w:name="Tc_T-r4i3pnvEySvKrGPEgReg_4_8"/>
      <w:bookmarkStart w:id="898" w:name="Tc_MgaRYlAAeUGI8DZ8y5MzDg_4_5"/>
      <w:bookmarkStart w:id="899" w:name="Tc_hMQEGspDPE--ikcO5ndHXw_4_3"/>
      <w:bookmarkStart w:id="900" w:name="Tc_sFK3XVmTIEO_sqbqilsDEA_4_2"/>
      <w:bookmarkStart w:id="901" w:name="Tc_KNcKj-UVrECI5VMDaswuwQ_4_0"/>
      <w:bookmarkStart w:id="902" w:name="Tc_28RugD6sOkqA-6yjvBoULQ_3_0"/>
      <w:bookmarkStart w:id="903" w:name="Tc_a2N56Y0JIUG5prcwqiWtCA_2_20"/>
      <w:bookmarkStart w:id="904" w:name="Tc_vH1MI_h1rEa2DPu4hU5AUQ_2_17"/>
      <w:bookmarkStart w:id="905" w:name="Tc_T4jFknMqz0Swj8eLWZRZUA_2_14"/>
      <w:bookmarkStart w:id="906" w:name="Tc_M7pwd52_nEiqGYMybFC8IA_2_11"/>
      <w:bookmarkStart w:id="907" w:name="Tc_pPn5K15uKE2R9i1j5AI8Ug_2_8"/>
      <w:bookmarkStart w:id="908" w:name="Tc_QhK7nh-CH0u8oBegzVUgKw_2_5"/>
      <w:bookmarkStart w:id="909" w:name="Tc__3qfhJR3qUiwmjMoI5wmlA_2_2"/>
      <w:bookmarkStart w:id="910" w:name="Tc_fUsZVUp9u0CrV9ldYyUYiA_1_2"/>
      <w:bookmarkStart w:id="911" w:name="_8aeab8a7_50e2_4e0a_8bc7_b02ed19c14da"/>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March 31, 2026 ($ in thousands): </w:t>
      </w:r>
    </w:p>
    <w:tbl>
      <w:tblPr>
        <w:tblW w:w="10205" w:type="dxa"/>
        <w:jc w:val="left"/>
        <w:tblInd w:w="0" w:type="dxa"/>
        <w:tblLayout w:type="fixed"/>
        <w:tblCellMar>
          <w:top w:w="0" w:type="dxa"/>
          <w:left w:w="0" w:type="dxa"/>
          <w:bottom w:w="0" w:type="dxa"/>
          <w:right w:w="0" w:type="dxa"/>
        </w:tblCellMar>
      </w:tblPr>
      <w:tblGrid>
        <w:gridCol w:w="1255"/>
        <w:gridCol w:w="346"/>
        <w:gridCol w:w="196"/>
        <w:gridCol w:w="601"/>
        <w:gridCol w:w="346"/>
        <w:gridCol w:w="196"/>
        <w:gridCol w:w="601"/>
        <w:gridCol w:w="346"/>
        <w:gridCol w:w="196"/>
        <w:gridCol w:w="691"/>
        <w:gridCol w:w="346"/>
        <w:gridCol w:w="196"/>
        <w:gridCol w:w="601"/>
        <w:gridCol w:w="346"/>
        <w:gridCol w:w="196"/>
        <w:gridCol w:w="691"/>
        <w:gridCol w:w="346"/>
        <w:gridCol w:w="210"/>
        <w:gridCol w:w="886"/>
        <w:gridCol w:w="346"/>
        <w:gridCol w:w="346"/>
        <w:gridCol w:w="921"/>
      </w:tblGrid>
      <w:tr>
        <w:trPr/>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96925" cy="175260"/>
                      <wp:effectExtent l="0" t="0" r="0" b="0"/>
                      <wp:wrapNone/>
                      <wp:docPr id="141" name="Frame141"/>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81635" cy="175260"/>
                      <wp:effectExtent l="0" t="0" r="0" b="0"/>
                      <wp:wrapNone/>
                      <wp:docPr id="144" name="Frame14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1635" cy="175260"/>
                      <wp:effectExtent l="0" t="0" r="0" b="0"/>
                      <wp:wrapNone/>
                      <wp:docPr id="147" name="Frame1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49"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8785" cy="175260"/>
                      <wp:effectExtent l="0" t="0" r="0" b="0"/>
                      <wp:wrapNone/>
                      <wp:docPr id="150" name="Frame1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81635" cy="175260"/>
                      <wp:effectExtent l="0" t="0" r="0" b="0"/>
                      <wp:wrapNone/>
                      <wp:docPr id="153" name="Frame1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56" name="Frame1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350" cy="175260"/>
                      <wp:effectExtent l="0" t="0" r="0" b="0"/>
                      <wp:wrapNone/>
                      <wp:docPr id="158" name="Frame158"/>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62610" cy="175260"/>
                      <wp:effectExtent l="0" t="0" r="0" b="0"/>
                      <wp:wrapNone/>
                      <wp:docPr id="159" name="Frame1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84835" cy="175260"/>
                      <wp:effectExtent l="0" t="0" r="0" b="0"/>
                      <wp:wrapNone/>
                      <wp:docPr id="162" name="Frame16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9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21" w:type="dxa"/>
            <w:tcBorders/>
            <w:vAlign w:val="center"/>
          </w:tcPr>
          <w:p>
            <w:pPr>
              <w:pStyle w:val="TableContents"/>
              <w:bidi w:val="0"/>
              <w:spacing w:before="0" w:after="1"/>
              <w:ind w:left="0" w:right="0" w:hanging="0"/>
              <w:jc w:val="center"/>
              <w:rPr/>
            </w:pPr>
            <w:r>
              <w:rPr/>
              <w:t>​</w:t>
            </w:r>
          </w:p>
        </w:tc>
      </w:tr>
      <w:tr>
        <w:trPr/>
        <w:tc>
          <w:tcPr>
            <w:tcW w:w="12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2022</w:t>
            </w:r>
          </w:p>
        </w:tc>
        <w:tc>
          <w:tcPr>
            <w:tcW w:w="346" w:type="dxa"/>
            <w:tcBorders/>
            <w:vAlign w:val="center"/>
          </w:tcPr>
          <w:p>
            <w:pPr>
              <w:pStyle w:val="TableContents"/>
              <w:bidi w:val="0"/>
              <w:spacing w:before="0" w:after="1"/>
              <w:ind w:left="0" w:right="0" w:hanging="0"/>
              <w:jc w:val="center"/>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667,994</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2,460,145</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3,239,420</w:t>
            </w:r>
          </w:p>
        </w:tc>
      </w:tr>
      <w:tr>
        <w:trPr/>
        <w:tc>
          <w:tcPr>
            <w:tcW w:w="1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115,244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39,371</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152,890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378,602</w:t>
            </w:r>
          </w:p>
        </w:tc>
      </w:tr>
      <w:tr>
        <w:trPr/>
        <w:tc>
          <w:tcPr>
            <w:tcW w:w="12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50,731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151,923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74,127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707,365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2,613,035</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3,618,022</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165"/>
        <w:gridCol w:w="346"/>
        <w:gridCol w:w="196"/>
        <w:gridCol w:w="601"/>
        <w:gridCol w:w="346"/>
        <w:gridCol w:w="196"/>
        <w:gridCol w:w="691"/>
        <w:gridCol w:w="346"/>
        <w:gridCol w:w="196"/>
        <w:gridCol w:w="691"/>
        <w:gridCol w:w="346"/>
        <w:gridCol w:w="196"/>
        <w:gridCol w:w="601"/>
        <w:gridCol w:w="346"/>
        <w:gridCol w:w="196"/>
        <w:gridCol w:w="691"/>
        <w:gridCol w:w="346"/>
        <w:gridCol w:w="242"/>
        <w:gridCol w:w="854"/>
        <w:gridCol w:w="346"/>
        <w:gridCol w:w="346"/>
        <w:gridCol w:w="921"/>
      </w:tblGrid>
      <w:tr>
        <w:trPr/>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39775" cy="175260"/>
                      <wp:effectExtent l="0" t="0" r="0" b="0"/>
                      <wp:wrapNone/>
                      <wp:docPr id="163" name="Frame163"/>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81635" cy="175260"/>
                      <wp:effectExtent l="0" t="0" r="0" b="0"/>
                      <wp:wrapNone/>
                      <wp:docPr id="166" name="Frame1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8" name="Frame1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8785" cy="175260"/>
                      <wp:effectExtent l="0" t="0" r="0" b="0"/>
                      <wp:wrapNone/>
                      <wp:docPr id="169" name="Frame1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72" name="Frame1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81635" cy="175260"/>
                      <wp:effectExtent l="0" t="0" r="0" b="0"/>
                      <wp:wrapNone/>
                      <wp:docPr id="175" name="Frame17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3670" cy="175260"/>
                      <wp:effectExtent l="0" t="0" r="0" b="0"/>
                      <wp:wrapNone/>
                      <wp:docPr id="180" name="Frame18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42290" cy="175260"/>
                      <wp:effectExtent l="0" t="0" r="0" b="0"/>
                      <wp:wrapNone/>
                      <wp:docPr id="181" name="Frame18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84835" cy="175260"/>
                      <wp:effectExtent l="0" t="0" r="0" b="0"/>
                      <wp:wrapNone/>
                      <wp:docPr id="184" name="Frame18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21" w:type="dxa"/>
            <w:tcBorders/>
            <w:vAlign w:val="center"/>
          </w:tcPr>
          <w:p>
            <w:pPr>
              <w:pStyle w:val="TableContents"/>
              <w:bidi w:val="0"/>
              <w:spacing w:before="0" w:after="1"/>
              <w:ind w:left="0" w:right="0" w:hanging="0"/>
              <w:jc w:val="center"/>
              <w:rPr/>
            </w:pPr>
            <w:r>
              <w:rPr/>
              <w:t>​</w:t>
            </w:r>
          </w:p>
        </w:tc>
      </w:tr>
      <w:tr>
        <w:trPr/>
        <w:tc>
          <w:tcPr>
            <w:tcW w:w="1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2022</w:t>
            </w:r>
          </w:p>
        </w:tc>
        <w:tc>
          <w:tcPr>
            <w:tcW w:w="346" w:type="dxa"/>
            <w:tcBorders/>
            <w:vAlign w:val="center"/>
          </w:tcPr>
          <w:p>
            <w:pPr>
              <w:pStyle w:val="TableContents"/>
              <w:bidi w:val="0"/>
              <w:spacing w:before="0" w:after="1"/>
              <w:ind w:left="0" w:right="0" w:hanging="0"/>
              <w:jc w:val="center"/>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1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159,694</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872,338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1,119,674</w:t>
            </w:r>
          </w:p>
        </w:tc>
      </w:tr>
      <w:tr>
        <w:trPr/>
        <w:tc>
          <w:tcPr>
            <w:tcW w:w="11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129,354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642,452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80,473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939,233</w:t>
            </w:r>
          </w:p>
        </w:tc>
      </w:tr>
      <w:tr>
        <w:trPr/>
        <w:tc>
          <w:tcPr>
            <w:tcW w:w="116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29,320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100,207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129,354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45,069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802,146</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952,811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2,058,907</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December 31, 2025 ($ in thousands): </w:t>
      </w:r>
    </w:p>
    <w:tbl>
      <w:tblPr>
        <w:tblW w:w="10236" w:type="dxa"/>
        <w:jc w:val="left"/>
        <w:tblInd w:w="0" w:type="dxa"/>
        <w:tblLayout w:type="fixed"/>
        <w:tblCellMar>
          <w:top w:w="0" w:type="dxa"/>
          <w:left w:w="0" w:type="dxa"/>
          <w:bottom w:w="0" w:type="dxa"/>
          <w:right w:w="0" w:type="dxa"/>
        </w:tblCellMar>
      </w:tblPr>
      <w:tblGrid>
        <w:gridCol w:w="1051"/>
        <w:gridCol w:w="346"/>
        <w:gridCol w:w="196"/>
        <w:gridCol w:w="601"/>
        <w:gridCol w:w="346"/>
        <w:gridCol w:w="196"/>
        <w:gridCol w:w="691"/>
        <w:gridCol w:w="346"/>
        <w:gridCol w:w="196"/>
        <w:gridCol w:w="601"/>
        <w:gridCol w:w="346"/>
        <w:gridCol w:w="196"/>
        <w:gridCol w:w="691"/>
        <w:gridCol w:w="346"/>
        <w:gridCol w:w="196"/>
        <w:gridCol w:w="826"/>
        <w:gridCol w:w="346"/>
        <w:gridCol w:w="210"/>
        <w:gridCol w:w="886"/>
        <w:gridCol w:w="346"/>
        <w:gridCol w:w="346"/>
        <w:gridCol w:w="93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67385" cy="175260"/>
                      <wp:effectExtent l="0" t="0" r="0" b="0"/>
                      <wp:wrapNone/>
                      <wp:docPr id="185" name="Frame18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81635" cy="175260"/>
                      <wp:effectExtent l="0" t="0" r="0" b="0"/>
                      <wp:wrapNone/>
                      <wp:docPr id="188" name="Frame1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90" name="Frame1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91"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81635" cy="175260"/>
                      <wp:effectExtent l="0" t="0" r="0" b="0"/>
                      <wp:wrapNone/>
                      <wp:docPr id="194" name="Frame19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96"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460" cy="175260"/>
                      <wp:effectExtent l="0" t="0" r="0" b="0"/>
                      <wp:wrapNone/>
                      <wp:docPr id="199"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24510" cy="175260"/>
                      <wp:effectExtent l="0" t="0" r="0" b="0"/>
                      <wp:wrapNone/>
                      <wp:docPr id="200" name="Frame2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350" cy="175260"/>
                      <wp:effectExtent l="0" t="0" r="0" b="0"/>
                      <wp:wrapNone/>
                      <wp:docPr id="202" name="Frame202"/>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2610" cy="175260"/>
                      <wp:effectExtent l="0" t="0" r="0" b="0"/>
                      <wp:wrapNone/>
                      <wp:docPr id="203" name="Frame2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91185" cy="175260"/>
                      <wp:effectExtent l="0" t="0" r="0" b="0"/>
                      <wp:wrapNone/>
                      <wp:docPr id="206" name="Frame2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1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1,119,446</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1,329,290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3,224,537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123,669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28,520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349,888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44,561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150,889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73,751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704,299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1,243,115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1,357,810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3,574,425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55"/>
        <w:gridCol w:w="346"/>
        <w:gridCol w:w="196"/>
        <w:gridCol w:w="601"/>
        <w:gridCol w:w="346"/>
        <w:gridCol w:w="196"/>
        <w:gridCol w:w="691"/>
        <w:gridCol w:w="346"/>
        <w:gridCol w:w="196"/>
        <w:gridCol w:w="601"/>
        <w:gridCol w:w="346"/>
        <w:gridCol w:w="196"/>
        <w:gridCol w:w="691"/>
        <w:gridCol w:w="346"/>
        <w:gridCol w:w="196"/>
        <w:gridCol w:w="691"/>
        <w:gridCol w:w="346"/>
        <w:gridCol w:w="242"/>
        <w:gridCol w:w="854"/>
        <w:gridCol w:w="346"/>
        <w:gridCol w:w="346"/>
        <w:gridCol w:w="931"/>
      </w:tblGrid>
      <w:tr>
        <w:trPr/>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33425" cy="175260"/>
                      <wp:effectExtent l="0" t="0" r="0" b="0"/>
                      <wp:wrapNone/>
                      <wp:docPr id="207" name="Frame207"/>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81635" cy="175260"/>
                      <wp:effectExtent l="0" t="0" r="0" b="0"/>
                      <wp:wrapNone/>
                      <wp:docPr id="210" name="Frame2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212" name="Frame2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38785" cy="175260"/>
                      <wp:effectExtent l="0" t="0" r="0" b="0"/>
                      <wp:wrapNone/>
                      <wp:docPr id="213"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4460" cy="175260"/>
                      <wp:effectExtent l="0" t="0" r="0" b="0"/>
                      <wp:wrapNone/>
                      <wp:docPr id="215" name="Frame2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81635" cy="175260"/>
                      <wp:effectExtent l="0" t="0" r="0" b="0"/>
                      <wp:wrapNone/>
                      <wp:docPr id="216" name="Frame21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8785" cy="175260"/>
                      <wp:effectExtent l="0" t="0" r="0" b="0"/>
                      <wp:wrapNone/>
                      <wp:docPr id="219" name="Frame2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21" name="Frame2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222" name="Frame2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3670" cy="175260"/>
                      <wp:effectExtent l="0" t="0" r="0" b="0"/>
                      <wp:wrapNone/>
                      <wp:docPr id="224" name="Frame22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42290" cy="175260"/>
                      <wp:effectExtent l="0" t="0" r="0" b="0"/>
                      <wp:wrapNone/>
                      <wp:docPr id="225" name="Frame225"/>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8" name="Frame2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204,531</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1,076,938</w:t>
            </w:r>
          </w:p>
        </w:tc>
      </w:tr>
      <w:tr>
        <w:trPr/>
        <w:tc>
          <w:tcPr>
            <w:tcW w:w="11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80,103</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931,865</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96,937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128,497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44,840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798,444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284,634</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2,008,803</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Future Minimum Lease Payments under Sales-type Leases</w:t>
      </w:r>
      <w:r>
        <w:rPr>
          <w:rFonts w:ascii="Times New Roman;Times;serif" w:hAnsi="Times New Roman;Times;serif"/>
          <w:sz w:val="20"/>
        </w:rPr>
        <w:t>—Future minimum lease payments to be collected under sales-type leases accounted for under ASC 842 - Leases, excluding lease payments that are not fixed and determinable, in effect as of March 31, 2026, are as follows by year ($ in thousands):</w:t>
      </w:r>
    </w:p>
    <w:p>
      <w:pPr>
        <w:pStyle w:val="TextBody"/>
        <w:bidi w:val="0"/>
        <w:spacing w:before="0" w:after="240"/>
        <w:ind w:left="0" w:right="0" w:firstLine="720"/>
        <w:jc w:val="both"/>
        <w:rPr/>
      </w:pPr>
      <w:r>
        <w:rPr/>
        <w:t>​</w:t>
      </w:r>
    </w:p>
    <w:tbl>
      <w:tblPr>
        <w:tblW w:w="8812" w:type="dxa"/>
        <w:jc w:val="left"/>
        <w:tblInd w:w="0" w:type="dxa"/>
        <w:tblLayout w:type="fixed"/>
        <w:tblCellMar>
          <w:top w:w="0" w:type="dxa"/>
          <w:left w:w="0" w:type="dxa"/>
          <w:bottom w:w="0" w:type="dxa"/>
          <w:right w:w="0" w:type="dxa"/>
        </w:tblCellMar>
      </w:tblPr>
      <w:tblGrid>
        <w:gridCol w:w="2596"/>
        <w:gridCol w:w="346"/>
        <w:gridCol w:w="211"/>
        <w:gridCol w:w="1036"/>
        <w:gridCol w:w="346"/>
        <w:gridCol w:w="211"/>
        <w:gridCol w:w="931"/>
        <w:gridCol w:w="346"/>
        <w:gridCol w:w="229"/>
        <w:gridCol w:w="852"/>
        <w:gridCol w:w="346"/>
        <w:gridCol w:w="211"/>
        <w:gridCol w:w="115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648460" cy="175260"/>
                      <wp:effectExtent l="0" t="0" r="0" b="0"/>
                      <wp:wrapNone/>
                      <wp:docPr id="229" name="Frame22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57860" cy="175260"/>
                      <wp:effectExtent l="0" t="0" r="0" b="0"/>
                      <wp:wrapNone/>
                      <wp:docPr id="232" name="Frame2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260"/>
                      <wp:effectExtent l="0" t="0" r="0" b="0"/>
                      <wp:wrapNone/>
                      <wp:docPr id="235"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5415" cy="175260"/>
                      <wp:effectExtent l="0" t="0" r="0" b="0"/>
                      <wp:wrapNone/>
                      <wp:docPr id="237" name="Frame23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41020" cy="175260"/>
                      <wp:effectExtent l="0" t="0" r="0" b="0"/>
                      <wp:wrapNone/>
                      <wp:docPr id="238" name="Frame238"/>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30885" cy="175260"/>
                      <wp:effectExtent l="0" t="0" r="0" b="0"/>
                      <wp:wrapNone/>
                      <wp:docPr id="241" name="Frame24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Inflation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w:t>
            </w:r>
          </w:p>
        </w:tc>
        <w:tc>
          <w:tcPr>
            <w:tcW w:w="346" w:type="dxa"/>
            <w:tcBorders/>
            <w:vAlign w:val="center"/>
          </w:tcPr>
          <w:p>
            <w:pPr>
              <w:pStyle w:val="TableContents"/>
              <w:bidi w:val="0"/>
              <w:spacing w:before="0" w:after="1"/>
              <w:ind w:left="0" w:right="0" w:hanging="0"/>
              <w:jc w:val="center"/>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6,543</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92,115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9,320</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125,672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128,328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9,785</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131,135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135,548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30,264,759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3,513,757</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34,062,676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30,823,166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3,560,005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34,675,474</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912" w:name="Tc__dAt4_whiUaY1tkc7FctWQ_6_8"/>
      <w:bookmarkStart w:id="913" w:name="Tc_QdwXT9tlW0iVWtFdVpl5yg_6_5"/>
      <w:bookmarkStart w:id="914" w:name="Tc_myP1oSyqi0SDmJAtZQEw4w_6_2"/>
      <w:bookmarkStart w:id="915" w:name="Tc_gDh6GvquX0C6R0y3fmSy1g_6_0"/>
      <w:bookmarkStart w:id="916" w:name="Tc_68Z5gVAKoEWJJETwMAuf3A_5_0"/>
      <w:bookmarkStart w:id="917" w:name="Tc_kxdYVf4UeUadQGjyPSDE_w_4_8"/>
      <w:bookmarkStart w:id="918" w:name="Tc_0k0Y99jGE0aATiHYQE99sA_4_5"/>
      <w:bookmarkStart w:id="919" w:name="Tc_TU4d0m7QHUOPq_QWDdcaPw_4_2"/>
      <w:bookmarkStart w:id="920" w:name="Tc_tojIXYQ9C0S_q-QMPb923Q_4_0"/>
      <w:bookmarkStart w:id="921" w:name="Tc_L_sr5F9uy0Om4aK1hqs1Jw_3_8"/>
      <w:bookmarkStart w:id="922" w:name="Tc_2301Z4BL1ESnBxQ270-eow_3_5"/>
      <w:bookmarkStart w:id="923" w:name="Tc_PTWipX9F3EegbccX-mOnyw_3_2"/>
      <w:bookmarkStart w:id="924" w:name="Tc_VRmEgClW6ES1LaNiAcQsxA_3_0"/>
      <w:bookmarkStart w:id="925" w:name="Tc_8hk4YiziFUOZBkd-F3D-Jw_2_5"/>
      <w:bookmarkStart w:id="926" w:name="Tc_cdTbYMVxgUW2dDmTjM7_UQ_2_2"/>
      <w:bookmarkStart w:id="927" w:name="Tc_vUcEdtcPqUGHPI3mXPy7QA_1_5"/>
      <w:bookmarkStart w:id="928" w:name="Tc_1TXu8d8oBkCAtdYD7WEcZg_1_2"/>
      <w:bookmarkStart w:id="929" w:name="_0d964c48_8012_4c2f_b655_f9ed4b705b8c"/>
      <w:bookmarkStart w:id="930" w:name="Tc_cG63Mm9AS0i6oCqfJWeKtg_6_8"/>
      <w:bookmarkStart w:id="931" w:name="Tc_8m_utdwbRE2Aa7bxyPZ_mA_6_5"/>
      <w:bookmarkStart w:id="932" w:name="Tc_Wz22bQ4tJUWMVg7G9PdgXA_6_2"/>
      <w:bookmarkStart w:id="933" w:name="Tc_AmRsebPhbEud4XqGqs8gmQ_6_0"/>
      <w:bookmarkStart w:id="934" w:name="Tc_NCjMw06t0EayILOTtSSWHA_5_0"/>
      <w:bookmarkStart w:id="935" w:name="Tc_zkvlOvpL9kid7UI3cJ_Iqg_4_8"/>
      <w:bookmarkStart w:id="936" w:name="Tc_mVp3yRk55kS_0qCJ7F3Ehg_4_5"/>
      <w:bookmarkStart w:id="937" w:name="Tc_4bwskSCyhEi-gl2tFZVT9w_4_2"/>
      <w:bookmarkStart w:id="938" w:name="Tc_Cm91GdnY7ESzfImz4jnYEQ_4_0"/>
      <w:bookmarkStart w:id="939" w:name="Tc_WuD_J-f6YE-plUQAn_5Xfg_3_8"/>
      <w:bookmarkStart w:id="940" w:name="Tc_0MCtRNCDk0a0j-ZKZGi8WQ_3_5"/>
      <w:bookmarkStart w:id="941" w:name="Tc__LOJWVj69U2cJdn2_CY5rg_3_2"/>
      <w:bookmarkStart w:id="942" w:name="Tc_Cs-s5lPsmUGF-_BEiAsvBw_3_0"/>
      <w:bookmarkStart w:id="943" w:name="Tc_5haL_WtMikuT9X4AnYcGLQ_2_5"/>
      <w:bookmarkStart w:id="944" w:name="Tc_pzkBXL7brEqeM_iV08Yz7g_2_2"/>
      <w:bookmarkStart w:id="945" w:name="Tc_ySLNbTkni0SpsnC04hHTZw_1_5"/>
      <w:bookmarkStart w:id="946" w:name="Tc_30-Gc2RVPkq8kWf9AL6TtQ_1_2"/>
      <w:bookmarkStart w:id="947" w:name="_e60667c5_45a2_4f67_9535_6dfcc9b3c928"/>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sz w:val="20"/>
        </w:rPr>
        <w:t>During the three months ended March 31, 2026 and 2025, the Company recognized interest income from sales-type leases in its consolidated statements of operations as follows ($ in thousands):</w:t>
      </w:r>
    </w:p>
    <w:p>
      <w:pPr>
        <w:pStyle w:val="TextBody"/>
        <w:bidi w:val="0"/>
        <w:spacing w:before="0" w:after="0"/>
        <w:ind w:left="0" w:right="0" w:hanging="0"/>
        <w:jc w:val="left"/>
        <w:rPr/>
      </w:pPr>
      <w:r>
        <w:rPr/>
        <w:t>​</w:t>
      </w:r>
    </w:p>
    <w:tbl>
      <w:tblPr>
        <w:tblW w:w="7832"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791"/>
      </w:tblGrid>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0975" cy="175260"/>
                      <wp:effectExtent l="0" t="0" r="0" b="0"/>
                      <wp:wrapNone/>
                      <wp:docPr id="243" name="Frame24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81025" cy="175260"/>
                      <wp:effectExtent l="0" t="0" r="0" b="0"/>
                      <wp:wrapNone/>
                      <wp:docPr id="244" name="Frame24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2875" cy="175260"/>
                      <wp:effectExtent l="0" t="0" r="0" b="0"/>
                      <wp:wrapNone/>
                      <wp:docPr id="246" name="Frame24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57835" cy="175260"/>
                      <wp:effectExtent l="0" t="0" r="0" b="0"/>
                      <wp:wrapNone/>
                      <wp:docPr id="247" name="Frame2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02285" cy="175260"/>
                      <wp:effectExtent l="0" t="0" r="0" b="0"/>
                      <wp:wrapNone/>
                      <wp:docPr id="250" name="Frame25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2026</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16,932</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75,034</w:t>
            </w:r>
          </w:p>
        </w:tc>
      </w:tr>
    </w:tbl>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78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315210" cy="175260"/>
                      <wp:effectExtent l="0" t="0" r="0" b="0"/>
                      <wp:wrapNone/>
                      <wp:docPr id="251" name="Frame251"/>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0975" cy="175260"/>
                      <wp:effectExtent l="0" t="0" r="0" b="0"/>
                      <wp:wrapNone/>
                      <wp:docPr id="253" name="Frame25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81025" cy="175260"/>
                      <wp:effectExtent l="0" t="0" r="0" b="0"/>
                      <wp:wrapNone/>
                      <wp:docPr id="254" name="Frame25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2875" cy="175260"/>
                      <wp:effectExtent l="0" t="0" r="0" b="0"/>
                      <wp:wrapNone/>
                      <wp:docPr id="256" name="Frame25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7835" cy="175260"/>
                      <wp:effectExtent l="0" t="0" r="0" b="0"/>
                      <wp:wrapNone/>
                      <wp:docPr id="257" name="Frame2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2025</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15,815</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 ​</w:t>
      </w:r>
    </w:p>
    <w:p>
      <w:pPr>
        <w:pStyle w:val="TextBody"/>
        <w:bidi w:val="0"/>
        <w:spacing w:before="0" w:after="120"/>
        <w:ind w:left="0" w:right="0" w:hanging="0"/>
        <w:jc w:val="left"/>
        <w:rPr>
          <w:rFonts w:ascii="Times New Roman;Times;serif" w:hAnsi="Times New Roman;Times;serif"/>
          <w:b/>
          <w:sz w:val="20"/>
        </w:rPr>
      </w:pPr>
      <w:bookmarkStart w:id="948" w:name="Tc_Is2kVdPuZUGpM8hF8T838g_9_5"/>
      <w:bookmarkStart w:id="949" w:name="Tc_h2Y3B4kNRkynhfoVMpCTGA_9_2"/>
      <w:bookmarkStart w:id="950" w:name="Tc_S4AM2LyKqkyCi9xDl0q_-A_9_0"/>
      <w:bookmarkStart w:id="951" w:name="Tc_Vzi0SOuYFECZgzh8If0V9A_8_0"/>
      <w:bookmarkStart w:id="952" w:name="Tc_v1U1XEFsUESH64om_XgNzA_7_0"/>
      <w:bookmarkStart w:id="953" w:name="Tc_sYg4d7BA8kWoiG_-aT0WgA_6_5"/>
      <w:bookmarkStart w:id="954" w:name="Tc_QrfjWg9NMkCrKIR_MyXo5g_6_2"/>
      <w:bookmarkStart w:id="955" w:name="Tc_6DH9RCbSkU6XFjgQWD03Rg_6_0"/>
      <w:bookmarkStart w:id="956" w:name="Tc_42xxd1sP3kC5hrtddzghyg_5_0"/>
      <w:bookmarkStart w:id="957" w:name="Tc_DFX_zjzttUK0fsq4TYWCzA_4_0"/>
      <w:bookmarkStart w:id="958" w:name="Tc_JjvYKyA7u0GjNPn1sSZAJA_3_5"/>
      <w:bookmarkStart w:id="959" w:name="Tc_JyM6scz8KE-p3xXwRJOJEQ_3_2"/>
      <w:bookmarkStart w:id="960" w:name="Tc_gMMPJU_S5Ue_cOc_dbkShA_3_0"/>
      <w:bookmarkStart w:id="961" w:name="Tc_R590jT8Ky0W-qan-PgAdKg_2_5"/>
      <w:bookmarkStart w:id="962" w:name="Tc_w9mxFClXxUOrcIgVzEOT8A_2_2"/>
      <w:bookmarkStart w:id="963" w:name="Tc_fLKo3QgxrUqdVVg2WxQ43Q_1_2"/>
      <w:bookmarkStart w:id="964" w:name="_3a938e74_fb65_4b66_9956_7fa78a1c87a6"/>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b/>
          <w:sz w:val="20"/>
        </w:rPr>
        <w:t>Note 5—Real Estate, Real Estate-Related Intangibles and Real Estate Available and Held for Sale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real estate assets consist of the following ($ in thousands): </w:t>
      </w:r>
    </w:p>
    <w:tbl>
      <w:tblPr>
        <w:tblW w:w="10205" w:type="dxa"/>
        <w:jc w:val="left"/>
        <w:tblInd w:w="0" w:type="dxa"/>
        <w:tblLayout w:type="fixed"/>
        <w:tblCellMar>
          <w:top w:w="0" w:type="dxa"/>
          <w:left w:w="0" w:type="dxa"/>
          <w:bottom w:w="0" w:type="dxa"/>
          <w:right w:w="0" w:type="dxa"/>
        </w:tblCellMar>
      </w:tblPr>
      <w:tblGrid>
        <w:gridCol w:w="6706"/>
        <w:gridCol w:w="346"/>
        <w:gridCol w:w="268"/>
        <w:gridCol w:w="993"/>
        <w:gridCol w:w="346"/>
        <w:gridCol w:w="294"/>
        <w:gridCol w:w="1252"/>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58310" cy="175260"/>
                      <wp:effectExtent l="0" t="0" r="0" b="0"/>
                      <wp:wrapNone/>
                      <wp:docPr id="261" name="Frame261"/>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70180" cy="175260"/>
                      <wp:effectExtent l="0" t="0" r="0" b="0"/>
                      <wp:wrapNone/>
                      <wp:docPr id="263" name="Frame26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30555" cy="175260"/>
                      <wp:effectExtent l="0" t="0" r="0" b="0"/>
                      <wp:wrapNone/>
                      <wp:docPr id="264" name="Frame264"/>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6690" cy="175260"/>
                      <wp:effectExtent l="0" t="0" r="0" b="0"/>
                      <wp:wrapNone/>
                      <wp:docPr id="266" name="Frame26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95020" cy="175260"/>
                      <wp:effectExtent l="0" t="0" r="0" b="0"/>
                      <wp:wrapNone/>
                      <wp:docPr id="267" name="Frame267"/>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195,989</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(53,771)</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(52,222)</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689,957</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688,749</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estate-related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203,131</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204,016</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available and held for sale</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 and real estate-related intangible assets, net and real estate available and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893,924</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894,793</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965" w:name="Tc_ZiaF5UJgO0u70c3735pnRQ_4_8"/>
      <w:bookmarkStart w:id="966" w:name="Tc_S5KmbQ8trkS4C5sl1rWdCg_4_5"/>
      <w:bookmarkStart w:id="967" w:name="Tc_SnckCXrJbEqgtxQ0QHqYQA_4_2"/>
      <w:bookmarkStart w:id="968" w:name="Tc_o9-BJU5YJ02i47G4HRlPiQ_4_0"/>
      <w:bookmarkStart w:id="969" w:name="Tc_QvgcDnwH5EOdWCYKHPrTBQ_3_8"/>
      <w:bookmarkStart w:id="970" w:name="Tc_XlSverLkOE6bikN5XtMp4g_3_5"/>
      <w:bookmarkStart w:id="971" w:name="Tc_4wOLjKsS1UC8RMWsX2Du0w_3_2"/>
      <w:bookmarkStart w:id="972" w:name="Tc_1kB7O2TYNkmLDororPtNlg_2_8"/>
      <w:bookmarkStart w:id="973" w:name="Tc_8V0WUre1nUqfTR4Il44dBw_2_5"/>
      <w:bookmarkStart w:id="974" w:name="Tc_xMRHHvkwFk2wpZfH-jxepg_2_2"/>
      <w:bookmarkStart w:id="975" w:name="Tc_19IBSz8HPEmbqtZmZQuAhA_1_2"/>
      <w:bookmarkStart w:id="976" w:name="_42f0d453_122e_4174_a2fb_2cbcc249e7f3"/>
      <w:bookmarkStart w:id="977" w:name="Tc_HVosO0UsXUeWGUZuIvtpsw_4_8"/>
      <w:bookmarkStart w:id="978" w:name="Tc_Ab704oRN3kG_VrxTafLwWw_4_5"/>
      <w:bookmarkStart w:id="979" w:name="Tc_JdsxJXBAWkaCXZAxj68DvQ_4_2"/>
      <w:bookmarkStart w:id="980" w:name="Tc_BHfUzzJM6UmlqR5ye9bWyg_4_0"/>
      <w:bookmarkStart w:id="981" w:name="Tc_WyydjJw35kWPBiJs4EupnA_3_8"/>
      <w:bookmarkStart w:id="982" w:name="Tc_W5fMRzRARUGA0SJhYIzoig_3_5"/>
      <w:bookmarkStart w:id="983" w:name="Tc_PjvD46K-NUGOA9q_FWzIBg_3_2"/>
      <w:bookmarkStart w:id="984" w:name="Tc_k71kW-ZNxEOSEc1s7GhTiQ_2_8"/>
      <w:bookmarkStart w:id="985" w:name="Tc_3o9Lklfb50KjlpFYjtPKRw_2_5"/>
      <w:bookmarkStart w:id="986" w:name="Tc_0hLNj04NRE25ITdFof3yTQ_2_2"/>
      <w:bookmarkStart w:id="987" w:name="Tc_v-ESl6S_nEqvV67Jop-S_g_1_2"/>
      <w:bookmarkStart w:id="988" w:name="_83ad898f_0b68_4d8e_95c3_558e2780d0e4"/>
      <w:bookmarkStart w:id="989" w:name="Tc_Ae5TcMilckunGqVT74bu2w_7_8"/>
      <w:bookmarkStart w:id="990" w:name="Tc_FebK3_6rLkuK4sZ2BpxiIA_7_5"/>
      <w:bookmarkStart w:id="991" w:name="Tc_Mr4qVUsZh0-A5yviJhDbMw_7_2"/>
      <w:bookmarkStart w:id="992" w:name="Tc_UzMm5JfitE-Bz3LISojnqA_7_0"/>
      <w:bookmarkStart w:id="993" w:name="Tc_Q_2-fS6IvEWZrKNpJT8JTA_6_0"/>
      <w:bookmarkStart w:id="994" w:name="Tc_Hn2mLzKbi0ah6xFMcmgYtA_5_0"/>
      <w:bookmarkStart w:id="995" w:name="Tc_yV0k8mu6c0a5Or8G4m6wbw_4_8"/>
      <w:bookmarkStart w:id="996" w:name="Tc_6M1htTVuPU22bSWvOPA_LA_4_5"/>
      <w:bookmarkStart w:id="997" w:name="Tc_O1hSChaAZkyNhGi7iA3nEw_4_2"/>
      <w:bookmarkStart w:id="998" w:name="Tc_PVoz6lnMq0W0KXiLVdBWJA_4_0"/>
      <w:bookmarkStart w:id="999" w:name="Tc_Ezb4wiP5fU6_3h_JR4-JFQ_3_8"/>
      <w:bookmarkStart w:id="1000" w:name="Tc_ZEhbOS610EKtil8Amvsbpw_3_5"/>
      <w:bookmarkStart w:id="1001" w:name="Tc_nRcDHoNIN0a42rbPtPpzqw_3_2"/>
      <w:bookmarkStart w:id="1002" w:name="Tc_c-DI4ZXmK0mXvfc__ouTaQ_2_8"/>
      <w:bookmarkStart w:id="1003" w:name="Tc_xjJAn55vMUaSoQcoLp_dWA_2_5"/>
      <w:bookmarkStart w:id="1004" w:name="Tc_e3JG5qaiM0-w1njJ9zxy-A_2_2"/>
      <w:bookmarkStart w:id="1005" w:name="Tc_2JFf93-C8k2jN89U9m8oKg_1_2"/>
      <w:bookmarkStart w:id="1006" w:name="_d886e38b_8782_4a11_a54d_67830d7454bb"/>
      <w:bookmarkStart w:id="1007" w:name="Tc_w1Prv4F-2U6jIGvFiELNVA_7_8"/>
      <w:bookmarkStart w:id="1008" w:name="Tc_xKMEHRuPWEiq6mNwoIENTA_7_5"/>
      <w:bookmarkStart w:id="1009" w:name="Tc_Cn_q0S1YVECcGecnwKKQ7Q_7_2"/>
      <w:bookmarkStart w:id="1010" w:name="Tc_l4wp7rH-wUG-lueGdxWhMg_7_0"/>
      <w:bookmarkStart w:id="1011" w:name="Tc_lTwQYGn-ZEanCI-9VAYZgw_6_0"/>
      <w:bookmarkStart w:id="1012" w:name="Tc_zMonqpl5OEOLxRyxBn4Fvg_5_0"/>
      <w:bookmarkStart w:id="1013" w:name="Tc_7RFete7gOUq6A2XfksbzTw_4_8"/>
      <w:bookmarkStart w:id="1014" w:name="Tc_gpavowQtpEebujSyyuxphw_4_5"/>
      <w:bookmarkStart w:id="1015" w:name="Tc_5yCm-QIGak6rLTQAUzY-tg_4_2"/>
      <w:bookmarkStart w:id="1016" w:name="Tc_5bKfxXEc4ky08bPzgPBNig_4_0"/>
      <w:bookmarkStart w:id="1017" w:name="Tc_zCWpvPKwG0uR2TuwWhPoPg_3_8"/>
      <w:bookmarkStart w:id="1018" w:name="Tc_JhcAHL9QQEik0H6N94B-bA_3_5"/>
      <w:bookmarkStart w:id="1019" w:name="Tc_PYNL4Y1ZmUq-N0nCK8uzUw_3_2"/>
      <w:bookmarkStart w:id="1020" w:name="Tc_YjBD1lwhnEq5yJdZwmbsoQ_2_8"/>
      <w:bookmarkStart w:id="1021" w:name="Tc_sPageZpHe02drqHrCmdfnA_2_5"/>
      <w:bookmarkStart w:id="1022" w:name="Tc_ckInCy_cP0-PjEj_AO4NMw_2_2"/>
      <w:bookmarkStart w:id="1023" w:name="Tc_evqc1-sR-kaIGjhZcgYx3A_1_2"/>
      <w:bookmarkStart w:id="1024" w:name="_fdfccfb5_08eb_42e2_9e86_3c14e5bc4b3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sz w:val="20"/>
        </w:rPr>
        <w:t xml:space="preserve">Real estate-related intangible assets, net consist of the following items ($ in thousands): </w:t>
      </w:r>
    </w:p>
    <w:tbl>
      <w:tblPr>
        <w:tblW w:w="6505" w:type="dxa"/>
        <w:jc w:val="left"/>
        <w:tblInd w:w="0" w:type="dxa"/>
        <w:tblLayout w:type="fixed"/>
        <w:tblCellMar>
          <w:top w:w="0" w:type="dxa"/>
          <w:left w:w="0" w:type="dxa"/>
          <w:bottom w:w="0" w:type="dxa"/>
          <w:right w:w="0" w:type="dxa"/>
        </w:tblCellMar>
      </w:tblPr>
      <w:tblGrid>
        <w:gridCol w:w="2746"/>
        <w:gridCol w:w="346"/>
        <w:gridCol w:w="211"/>
        <w:gridCol w:w="781"/>
        <w:gridCol w:w="109"/>
        <w:gridCol w:w="244"/>
        <w:gridCol w:w="852"/>
        <w:gridCol w:w="109"/>
        <w:gridCol w:w="211"/>
        <w:gridCol w:w="89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43710" cy="175260"/>
                      <wp:effectExtent l="0" t="0" r="0" b="0"/>
                      <wp:wrapNone/>
                      <wp:docPr id="268" name="Frame26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71" name="Frame2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54940" cy="175260"/>
                      <wp:effectExtent l="0" t="0" r="0" b="0"/>
                      <wp:wrapNone/>
                      <wp:docPr id="273" name="Frame27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41020" cy="175260"/>
                      <wp:effectExtent l="0" t="0" r="0" b="0"/>
                      <wp:wrapNone/>
                      <wp:docPr id="274" name="Frame27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68960" cy="175260"/>
                      <wp:effectExtent l="0" t="0" r="0" b="0"/>
                      <wp:wrapNone/>
                      <wp:docPr id="277" name="Frame27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186,002</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160,673</w:t>
            </w:r>
          </w:p>
        </w:tc>
      </w:tr>
      <w:tr>
        <w:trPr/>
        <w:tc>
          <w:tcPr>
            <w:tcW w:w="27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70,445</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257,197</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203,131</w:t>
            </w:r>
          </w:p>
        </w:tc>
      </w:tr>
    </w:tbl>
    <w:p>
      <w:pPr>
        <w:pStyle w:val="TextBody"/>
        <w:bidi w:val="0"/>
        <w:spacing w:before="0" w:after="0"/>
        <w:ind w:left="0" w:right="0" w:hanging="0"/>
        <w:jc w:val="left"/>
        <w:rPr/>
      </w:pPr>
      <w:r>
        <w:rPr/>
        <w:t>​</w:t>
      </w:r>
    </w:p>
    <w:tbl>
      <w:tblPr>
        <w:tblW w:w="6969" w:type="dxa"/>
        <w:jc w:val="left"/>
        <w:tblInd w:w="0" w:type="dxa"/>
        <w:tblLayout w:type="fixed"/>
        <w:tblCellMar>
          <w:top w:w="0" w:type="dxa"/>
          <w:left w:w="0" w:type="dxa"/>
          <w:bottom w:w="0" w:type="dxa"/>
          <w:right w:w="0" w:type="dxa"/>
        </w:tblCellMar>
      </w:tblPr>
      <w:tblGrid>
        <w:gridCol w:w="2746"/>
        <w:gridCol w:w="346"/>
        <w:gridCol w:w="211"/>
        <w:gridCol w:w="781"/>
        <w:gridCol w:w="346"/>
        <w:gridCol w:w="244"/>
        <w:gridCol w:w="852"/>
        <w:gridCol w:w="346"/>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743710" cy="175260"/>
                      <wp:effectExtent l="0" t="0" r="0" b="0"/>
                      <wp:wrapNone/>
                      <wp:docPr id="278" name="Frame27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95935" cy="175260"/>
                      <wp:effectExtent l="0" t="0" r="0" b="0"/>
                      <wp:wrapNone/>
                      <wp:docPr id="281" name="Frame2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4940" cy="175260"/>
                      <wp:effectExtent l="0" t="0" r="0" b="0"/>
                      <wp:wrapNone/>
                      <wp:docPr id="283" name="Frame28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41020" cy="175260"/>
                      <wp:effectExtent l="0" t="0" r="0" b="0"/>
                      <wp:wrapNone/>
                      <wp:docPr id="284" name="Frame28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62610" cy="175260"/>
                      <wp:effectExtent l="0" t="0" r="0" b="0"/>
                      <wp:wrapNone/>
                      <wp:docPr id="287" name="Frame2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7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186,002</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161,344</w:t>
            </w:r>
          </w:p>
        </w:tc>
      </w:tr>
      <w:tr>
        <w:trPr/>
        <w:tc>
          <w:tcPr>
            <w:tcW w:w="27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70,445</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41,982</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257,197</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204,016</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Above-market lease assets are recognized during asset acquisitions when the present value of market rate rental cash flows over the term of a lease is less than the present value of the contractual in-place rental cash flows. Above-market lease assets are amortized over the non-cancelable term of the leases.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In-place lease assets are recognized during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non-cancelable term of the leases.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Real estate-related intangible liabilities, net consist of the following items ($ in thousands):</w:t>
      </w:r>
    </w:p>
    <w:tbl>
      <w:tblPr>
        <w:tblW w:w="625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9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715135" cy="175260"/>
                      <wp:effectExtent l="0" t="0" r="0" b="0"/>
                      <wp:wrapNone/>
                      <wp:docPr id="288" name="Frame28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9260" cy="175260"/>
                      <wp:effectExtent l="0" t="0" r="0" b="0"/>
                      <wp:wrapNone/>
                      <wp:docPr id="291" name="Frame2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73990" cy="175260"/>
                      <wp:effectExtent l="0" t="0" r="0" b="0"/>
                      <wp:wrapNone/>
                      <wp:docPr id="293" name="Frame29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1970" cy="175260"/>
                      <wp:effectExtent l="0" t="0" r="0" b="0"/>
                      <wp:wrapNone/>
                      <wp:docPr id="294" name="Frame29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02285" cy="175260"/>
                      <wp:effectExtent l="0" t="0" r="0" b="0"/>
                      <wp:wrapNone/>
                      <wp:docPr id="297" name="Frame29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2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61,881</w:t>
            </w:r>
          </w:p>
        </w:tc>
      </w:tr>
    </w:tbl>
    <w:p>
      <w:pPr>
        <w:pStyle w:val="TextBody"/>
        <w:bidi w:val="0"/>
        <w:spacing w:before="0" w:after="0"/>
        <w:ind w:left="0" w:right="0" w:hanging="0"/>
        <w:jc w:val="left"/>
        <w:rPr/>
      </w:pPr>
      <w:r>
        <w:rPr/>
        <w:t>​</w:t>
      </w:r>
    </w:p>
    <w:tbl>
      <w:tblPr>
        <w:tblW w:w="624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715135" cy="175260"/>
                      <wp:effectExtent l="0" t="0" r="0" b="0"/>
                      <wp:wrapNone/>
                      <wp:docPr id="298" name="Frame29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3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73990" cy="175260"/>
                      <wp:effectExtent l="0" t="0" r="0" b="0"/>
                      <wp:wrapNone/>
                      <wp:docPr id="303" name="Frame30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21970" cy="175260"/>
                      <wp:effectExtent l="0" t="0" r="0" b="0"/>
                      <wp:wrapNone/>
                      <wp:docPr id="304" name="Frame30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95935" cy="175260"/>
                      <wp:effectExtent l="0" t="0" r="0" b="0"/>
                      <wp:wrapNone/>
                      <wp:docPr id="307"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62,089</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Below-market lease liabilities are recognized during asset acquisitions when the present value of market rate rental cash flows over the term of a lease exceeds the present value of the contractual in-place rental cash flows. Below-market lease liabilities are amortized over the non-cancelable term of the leases.</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025" w:name="Tc_Qn8wnKJMIEW4qrOmFlPfyw_10_15"/>
      <w:bookmarkStart w:id="1026" w:name="Tc_-NNKJZQi90yPm3Uhsr8NHw_10_0"/>
      <w:bookmarkStart w:id="1027" w:name="Tc_7hO5Y09D0kSSM5OYbC-Ecw_9_15"/>
      <w:bookmarkStart w:id="1028" w:name="Tc_izHspi-XqkmRwKITD6Y0Fg_9_0"/>
      <w:bookmarkStart w:id="1029" w:name="Tc_2ICEdaVZOEqq_JD4oXD1SQ_8_15"/>
      <w:bookmarkStart w:id="1030" w:name="Tc_3kOOdJbidkexVNDN9SUKAw_8_0"/>
      <w:bookmarkStart w:id="1031" w:name="Tc_gqzfWdU8EUuiR8A69VcQDQ_7_0"/>
      <w:bookmarkStart w:id="1032" w:name="Tc_O4hszRYCG0q6X7bme_KtyA_6_0"/>
      <w:bookmarkStart w:id="1033" w:name="Tc_toQE7WswqE255fFPlsNQcA_5_17"/>
      <w:bookmarkStart w:id="1034" w:name="Tc_46A8toaTM0O9sEXABINO2w_5_14"/>
      <w:bookmarkStart w:id="1035" w:name="Tc_9WWXWuOMO0uZgSOrixj6rA_5_11"/>
      <w:bookmarkStart w:id="1036" w:name="Tc_YcMnh7qZEkqLyHMeVT33Gw_5_8"/>
      <w:bookmarkStart w:id="1037" w:name="Tc_LSsYRTLE5EixALY202QSPA_5_5"/>
      <w:bookmarkStart w:id="1038" w:name="Tc_axatt6SyoUmHBM5ZkikfLg_5_2"/>
      <w:bookmarkStart w:id="1039" w:name="Tc_qW27Ni2LiEqf_2qUG5-cWQ_5_0"/>
      <w:bookmarkStart w:id="1040" w:name="Tc_arwwSGUkZU24tS892BmKBQ_4_17"/>
      <w:bookmarkStart w:id="1041" w:name="Tc_YA_An94AfUmcjnuirfIDpg_4_14"/>
      <w:bookmarkStart w:id="1042" w:name="Tc_-mc8kwniLEGP_EloRFGQyg_4_11"/>
      <w:bookmarkStart w:id="1043" w:name="Tc_FVL6P9m7pESl01xYjdBCRw_4_8"/>
      <w:bookmarkStart w:id="1044" w:name="Tc_xvHuMrwcrUGkiNSdR9rtxA_4_5"/>
      <w:bookmarkStart w:id="1045" w:name="Tc_kRW_4NZ2-UuxARMYCwhOJw_4_2"/>
      <w:bookmarkStart w:id="1046" w:name="Tc_sOmEqxGD9EOwfAdVuFtSXQ_4_0"/>
      <w:bookmarkStart w:id="1047" w:name="Tc_Yf0bDcb9ckCWz0oKhLmgKA_3_14"/>
      <w:bookmarkStart w:id="1048" w:name="Tc_5EdAPxbAD0yOsg8gUmrmFg_3_11"/>
      <w:bookmarkStart w:id="1049" w:name="Tc_V4JYTMTfCEWPsoesM6A2xA_3_8"/>
      <w:bookmarkStart w:id="1050" w:name="Tc_QoYmoBdQUkGQXfwAOCCYTw_3_5"/>
      <w:bookmarkStart w:id="1051" w:name="Tc_vfgNEK99vUGSGWBW6s_ARw_3_2"/>
      <w:bookmarkStart w:id="1052" w:name="Tc_eWSrxGswbkWBTfWrYahgPg_2_14"/>
      <w:bookmarkStart w:id="1053" w:name="Tc_dy2I5-nNZ0qkpeX9Bp9VeA_2_5"/>
      <w:bookmarkStart w:id="1054" w:name="Tc_fM5M2Dg1DEWzA2zBT-LRKA_1_14"/>
      <w:bookmarkStart w:id="1055" w:name="Tc_2Q3c3AHsbEm16eHZaKFWKw_1_5"/>
      <w:bookmarkStart w:id="1056" w:name="_3b10acdf_397e_45bb_b62b_99b70c340e3b"/>
      <w:bookmarkStart w:id="1057" w:name="Tc_OmWkdGORT0--w6gdYm4Knw_3_7"/>
      <w:bookmarkStart w:id="1058" w:name="Tc_7JCJkqJpqUuQMSyTNEZzHQ_3_4"/>
      <w:bookmarkStart w:id="1059" w:name="Tc_v9EO8SlglECi0iK1J6gkIg_3_2"/>
      <w:bookmarkStart w:id="1060" w:name="Tc_Ct1m9ldjlEe5dMVP-KNCYA_3_0"/>
      <w:bookmarkStart w:id="1061" w:name="Tc_XQijTwXy2UK182s93kCLpQ_2_7"/>
      <w:bookmarkStart w:id="1062" w:name="Tc_WRgurEPzU0OJ9IaIN8cmaA_2_4"/>
      <w:bookmarkStart w:id="1063" w:name="Tc_nSp3krVVlkOHrkHjMF9JmQ_2_2"/>
      <w:bookmarkStart w:id="1064" w:name="Tc_Uv1Gw1hmSEKSdae5UpY9_Q_2_0"/>
      <w:bookmarkStart w:id="1065" w:name="Tc_4exDuzCcMUumJbiUM6YDRQ_1_4"/>
      <w:bookmarkStart w:id="1066" w:name="Tc_NMhyun-YSEawmT3BsBRlDQ_1_2"/>
      <w:bookmarkStart w:id="1067" w:name="_ee3892ce_d7b1_4bac_9437_aabe15723cf7"/>
      <w:bookmarkStart w:id="1068" w:name="Tc_FfSl-YPsJESgT-FhpZZoeg_6_0"/>
      <w:bookmarkStart w:id="1069" w:name="Tc_r_giQdb2PUCfslC_U1Z0Pg_5_0"/>
      <w:bookmarkStart w:id="1070" w:name="Tc_fgeIRfgaT0SO_NjkQy7x4w_4_0"/>
      <w:bookmarkStart w:id="1071" w:name="Tc_voWIVkkHLUaQQzX-ohww5g_3_0"/>
      <w:bookmarkStart w:id="1072" w:name="Tc_lep_EENaA0WcW7lF5QTuoA_2_2"/>
      <w:bookmarkStart w:id="1073" w:name="Tc_BAbC82pEx0-pdyssFIvt9g_2_0"/>
      <w:bookmarkStart w:id="1074" w:name="Tc_9WJl7b9h3ESULoNy4-vX1Q_1_2"/>
      <w:bookmarkStart w:id="1075" w:name="Tc_ER-NHuxLEUeWbAWpdcNXqw_1_0"/>
      <w:bookmarkStart w:id="1076" w:name="_0eaff58f_7a51_47ce_843c_05667c7aada1"/>
      <w:bookmarkStart w:id="1077" w:name="Tc_UvaS13WcxEic0BkGHgTjCQ_5_2"/>
      <w:bookmarkStart w:id="1078" w:name="Tc_YmN94x_xZUyncX-yUv639w_5_0"/>
      <w:bookmarkStart w:id="1079" w:name="Tc_vh37XsEkxUW2bLEIHgR9_Q_4_2"/>
      <w:bookmarkStart w:id="1080" w:name="Tc_hUShHl6-MUe3hC8HLdsk0A_4_0"/>
      <w:bookmarkStart w:id="1081" w:name="Tc_d2I-8ONCDkObnFV7Ci159w_3_7"/>
      <w:bookmarkStart w:id="1082" w:name="Tc_zUhiy4UY9EO-8d-LDoU0Pw_3_4"/>
      <w:bookmarkStart w:id="1083" w:name="Tc_aJA_C8-ZBEOh2cEHTX2dVA_3_2"/>
      <w:bookmarkStart w:id="1084" w:name="Tc_iM_ANSvO_02Slt6Ld8mZ_g_3_0"/>
      <w:bookmarkStart w:id="1085" w:name="Tc_hSlyTeK1n02JHhlcPmPEFw_2_7"/>
      <w:bookmarkStart w:id="1086" w:name="Tc_Fgd29KHEs0Smje2lbexxzA_2_4"/>
      <w:bookmarkStart w:id="1087" w:name="Tc_sPnXjoMpvUiPXIKE4o92fw_2_2"/>
      <w:bookmarkStart w:id="1088" w:name="Tc_BQ3W0slZyE24I5sgba8DOg_2_0"/>
      <w:bookmarkStart w:id="1089" w:name="Tc_wxdTKsupbUG5cR4WEoO85w_1_4"/>
      <w:bookmarkStart w:id="1090" w:name="Tc_8Wtgv8zu3kmfCvKrjj2-wg_1_2"/>
      <w:bookmarkStart w:id="1091" w:name="_23f7eec0_9f6c_42c2_8afd_149c3da80e41"/>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Pr>
          <w:rFonts w:ascii="Times New Roman;Times;serif" w:hAnsi="Times New Roman;Times;serif"/>
          <w:sz w:val="20"/>
        </w:rPr>
        <w:t xml:space="preserve">The amortization of real estate-related intangible assets had the following impact on the Company’s consolidated statements of operations for the three months ended March 31, 2026 and 2025 ($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45"/>
        <w:gridCol w:w="346"/>
        <w:gridCol w:w="2537"/>
        <w:gridCol w:w="346"/>
        <w:gridCol w:w="390"/>
        <w:gridCol w:w="778"/>
        <w:gridCol w:w="639"/>
        <w:gridCol w:w="390"/>
        <w:gridCol w:w="778"/>
        <w:gridCol w:w="156"/>
      </w:tblGrid>
      <w:tr>
        <w:trPr/>
        <w:tc>
          <w:tcPr>
            <w:tcW w:w="3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441575" cy="175260"/>
                      <wp:effectExtent l="0" t="0" r="0" b="0"/>
                      <wp:wrapNone/>
                      <wp:docPr id="308" name="Frame308"/>
                      <a:graphic xmlns:a="http://schemas.openxmlformats.org/drawingml/2006/main">
                        <a:graphicData uri="http://schemas.microsoft.com/office/word/2010/wordprocessingShape">
                          <wps:wsp>
                            <wps:cNvSpPr txBox="1"/>
                            <wps:spPr>
                              <a:xfrm>
                                <a:off x="0" y="0"/>
                                <a:ext cx="2441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10995" cy="175260"/>
                      <wp:effectExtent l="0" t="0" r="0" b="0"/>
                      <wp:wrapNone/>
                      <wp:docPr id="310" name="Frame310"/>
                      <a:graphic xmlns:a="http://schemas.openxmlformats.org/drawingml/2006/main">
                        <a:graphicData uri="http://schemas.microsoft.com/office/word/2010/wordprocessingShape">
                          <wps:wsp>
                            <wps:cNvSpPr txBox="1"/>
                            <wps:spPr>
                              <a:xfrm>
                                <a:off x="0" y="0"/>
                                <a:ext cx="1610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7650" cy="175260"/>
                      <wp:effectExtent l="0" t="0" r="0" b="0"/>
                      <wp:wrapNone/>
                      <wp:docPr id="312" name="Frame312"/>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94030" cy="175260"/>
                      <wp:effectExtent l="0" t="0" r="0" b="0"/>
                      <wp:wrapNone/>
                      <wp:docPr id="313" name="Frame31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05765" cy="175260"/>
                      <wp:effectExtent l="0" t="0" r="0" b="0"/>
                      <wp:wrapNone/>
                      <wp:docPr id="314" name="Frame314"/>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47650" cy="175260"/>
                      <wp:effectExtent l="0" t="0" r="0" b="0"/>
                      <wp:wrapNone/>
                      <wp:docPr id="315" name="Frame315"/>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4030" cy="175260"/>
                      <wp:effectExtent l="0" t="0" r="0" b="0"/>
                      <wp:wrapNone/>
                      <wp:docPr id="316" name="Frame316"/>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9060" cy="175260"/>
                      <wp:effectExtent l="0" t="0" r="0" b="0"/>
                      <wp:wrapNone/>
                      <wp:docPr id="317" name="Frame317"/>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w:t>
            </w:r>
          </w:p>
        </w:tc>
        <w:tc>
          <w:tcPr>
            <w:tcW w:w="29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156" w:type="dxa"/>
            <w:tcBorders/>
            <w:vAlign w:val="center"/>
          </w:tcPr>
          <w:p>
            <w:pPr>
              <w:pStyle w:val="TableContents"/>
              <w:bidi w:val="0"/>
              <w:spacing w:before="0" w:after="1"/>
              <w:ind w:left="0" w:right="0" w:hanging="0"/>
              <w:jc w:val="center"/>
              <w:rPr/>
            </w:pPr>
            <w:r>
              <w:rPr/>
              <w:t>​</w:t>
            </w:r>
          </w:p>
        </w:tc>
      </w:tr>
      <w:tr>
        <w:trPr/>
        <w:tc>
          <w:tcPr>
            <w:tcW w:w="38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46" w:type="dxa"/>
            <w:tcBorders/>
            <w:vAlign w:val="center"/>
          </w:tcPr>
          <w:p>
            <w:pPr>
              <w:pStyle w:val="TableContents"/>
              <w:bidi w:val="0"/>
              <w:spacing w:before="0" w:after="1"/>
              <w:ind w:left="0" w:right="0" w:hanging="0"/>
              <w:jc w:val="center"/>
              <w:rPr/>
            </w:pPr>
            <w:r>
              <w:rPr/>
              <w:t>  ​ ​ ​</w:t>
            </w:r>
          </w:p>
        </w:tc>
        <w:tc>
          <w:tcPr>
            <w:tcW w:w="25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39" w:type="dxa"/>
            <w:tcBorders/>
            <w:vAlign w:val="center"/>
          </w:tcPr>
          <w:p>
            <w:pPr>
              <w:pStyle w:val="TableContents"/>
              <w:bidi w:val="0"/>
              <w:spacing w:before="0" w:after="1"/>
              <w:ind w:left="0" w:right="0" w:hanging="0"/>
              <w:jc w:val="center"/>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1"/>
              <w:ind w:left="0" w:right="0" w:hanging="0"/>
              <w:jc w:val="center"/>
              <w:rPr/>
            </w:pPr>
            <w:r>
              <w:rPr/>
              <w:t>​</w:t>
            </w:r>
          </w:p>
        </w:tc>
      </w:tr>
      <w:tr>
        <w:trPr/>
        <w:tc>
          <w:tcPr>
            <w:tcW w:w="38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3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c>
          <w:tcPr>
            <w:tcW w:w="63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38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46" w:type="dxa"/>
            <w:tcBorders/>
            <w:vAlign w:val="center"/>
          </w:tcPr>
          <w:p>
            <w:pPr>
              <w:pStyle w:val="TableContents"/>
              <w:bidi w:val="0"/>
              <w:spacing w:before="0" w:after="1"/>
              <w:ind w:left="0" w:right="0" w:hanging="0"/>
              <w:jc w:val="left"/>
              <w:rPr/>
            </w:pPr>
            <w:r>
              <w:rPr/>
              <w:t> </w:t>
            </w:r>
          </w:p>
        </w:tc>
        <w:tc>
          <w:tcPr>
            <w:tcW w:w="253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639"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156" w:type="dxa"/>
            <w:tcBorders/>
            <w:vAlign w:val="center"/>
          </w:tcPr>
          <w:p>
            <w:pPr>
              <w:pStyle w:val="TableContents"/>
              <w:bidi w:val="0"/>
              <w:spacing w:before="0" w:after="1"/>
              <w:ind w:left="0" w:right="0" w:hanging="0"/>
              <w:jc w:val="left"/>
              <w:rPr/>
            </w:pPr>
            <w:r>
              <w:rPr/>
              <w:t>​</w:t>
            </w:r>
          </w:p>
        </w:tc>
      </w:tr>
      <w:tr>
        <w:trPr/>
        <w:tc>
          <w:tcPr>
            <w:tcW w:w="38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3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3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estimated amortization of real estate-related intangible assets for each of the five succeeding fiscal years is as follows ($ in thousands):</w:t>
      </w:r>
      <w:r>
        <w:rPr>
          <w:rFonts w:ascii="Times New Roman;Times;serif" w:hAnsi="Times New Roman;Times;serif"/>
          <w:sz w:val="15"/>
        </w:rPr>
        <w:t xml:space="preserve">(1) </w:t>
      </w:r>
    </w:p>
    <w:tbl>
      <w:tblPr>
        <w:tblW w:w="3824" w:type="dxa"/>
        <w:jc w:val="left"/>
        <w:tblInd w:w="0" w:type="dxa"/>
        <w:tblLayout w:type="fixed"/>
        <w:tblCellMar>
          <w:top w:w="0" w:type="dxa"/>
          <w:left w:w="0" w:type="dxa"/>
          <w:bottom w:w="0" w:type="dxa"/>
          <w:right w:w="0" w:type="dxa"/>
        </w:tblCellMar>
      </w:tblPr>
      <w:tblGrid>
        <w:gridCol w:w="2581"/>
        <w:gridCol w:w="346"/>
        <w:gridCol w:w="211"/>
        <w:gridCol w:w="68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38935" cy="175260"/>
                      <wp:effectExtent l="0" t="0" r="0" b="0"/>
                      <wp:wrapNone/>
                      <wp:docPr id="318" name="Frame318"/>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5610" cy="175260"/>
                      <wp:effectExtent l="0" t="0" r="0" b="0"/>
                      <wp:wrapNone/>
                      <wp:docPr id="321" name="Frame32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3,530</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the weighted average amortization period for the Company’s real estate-related intangible assets was approximately 81.5</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liabilities had the following impact on the Company’s consolidated statements of operations for the three months ended March 31, 2026 and 2025 ($ in thousands): </w:t>
      </w:r>
    </w:p>
    <w:tbl>
      <w:tblPr>
        <w:tblW w:w="9993" w:type="dxa"/>
        <w:jc w:val="left"/>
        <w:tblInd w:w="0" w:type="dxa"/>
        <w:tblLayout w:type="fixed"/>
        <w:tblCellMar>
          <w:top w:w="0" w:type="dxa"/>
          <w:left w:w="0" w:type="dxa"/>
          <w:bottom w:w="0" w:type="dxa"/>
          <w:right w:w="0" w:type="dxa"/>
        </w:tblCellMar>
      </w:tblPr>
      <w:tblGrid>
        <w:gridCol w:w="4216"/>
        <w:gridCol w:w="346"/>
        <w:gridCol w:w="2011"/>
        <w:gridCol w:w="346"/>
        <w:gridCol w:w="378"/>
        <w:gridCol w:w="755"/>
        <w:gridCol w:w="620"/>
        <w:gridCol w:w="378"/>
        <w:gridCol w:w="943"/>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677160" cy="175260"/>
                      <wp:effectExtent l="0" t="0" r="0" b="0"/>
                      <wp:wrapNone/>
                      <wp:docPr id="322" name="Frame322"/>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76985" cy="175260"/>
                      <wp:effectExtent l="0" t="0" r="0" b="0"/>
                      <wp:wrapNone/>
                      <wp:docPr id="324" name="Frame32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40030" cy="175260"/>
                      <wp:effectExtent l="0" t="0" r="0" b="0"/>
                      <wp:wrapNone/>
                      <wp:docPr id="326" name="Frame326"/>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79425" cy="175260"/>
                      <wp:effectExtent l="0" t="0" r="0" b="0"/>
                      <wp:wrapNone/>
                      <wp:docPr id="327" name="Frame327"/>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93700" cy="175260"/>
                      <wp:effectExtent l="0" t="0" r="0" b="0"/>
                      <wp:wrapNone/>
                      <wp:docPr id="328" name="Frame32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40030" cy="175260"/>
                      <wp:effectExtent l="0" t="0" r="0" b="0"/>
                      <wp:wrapNone/>
                      <wp:docPr id="329" name="Frame329"/>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8805" cy="175260"/>
                      <wp:effectExtent l="0" t="0" r="0" b="0"/>
                      <wp:wrapNone/>
                      <wp:docPr id="330" name="Frame330"/>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  ​ ​ ​</w:t>
            </w:r>
          </w:p>
        </w:tc>
        <w:tc>
          <w:tcPr>
            <w:tcW w:w="30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46" w:type="dxa"/>
            <w:tcBorders/>
            <w:vAlign w:val="center"/>
          </w:tcPr>
          <w:p>
            <w:pPr>
              <w:pStyle w:val="TableContents"/>
              <w:bidi w:val="0"/>
              <w:spacing w:before="0" w:after="1"/>
              <w:ind w:left="0" w:right="0" w:hanging="0"/>
              <w:jc w:val="center"/>
              <w:rPr/>
            </w:pPr>
            <w:r>
              <w:rPr/>
              <w:t>  ​ ​ ​</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20" w:type="dxa"/>
            <w:tcBorders/>
            <w:vAlign w:val="center"/>
          </w:tcPr>
          <w:p>
            <w:pPr>
              <w:pStyle w:val="TableContents"/>
              <w:bidi w:val="0"/>
              <w:spacing w:before="0" w:after="1"/>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0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620"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Future Minimum Operating Lease Payments</w:t>
      </w:r>
      <w:r>
        <w:rPr>
          <w:rFonts w:ascii="Times New Roman;Times;serif" w:hAnsi="Times New Roman;Times;serif"/>
          <w:sz w:val="20"/>
        </w:rPr>
        <w:t xml:space="preserve">—Future minimum lease payments to be collected under non-cancelable operating leases, excluding lease payments that are not fixed and determinable, in effect as of March 31, 2026, are as follows by year ($ in thousands): </w:t>
      </w:r>
    </w:p>
    <w:tbl>
      <w:tblPr>
        <w:tblW w:w="10205" w:type="dxa"/>
        <w:jc w:val="left"/>
        <w:tblInd w:w="0" w:type="dxa"/>
        <w:tblLayout w:type="fixed"/>
        <w:tblCellMar>
          <w:top w:w="0" w:type="dxa"/>
          <w:left w:w="0" w:type="dxa"/>
          <w:bottom w:w="0" w:type="dxa"/>
          <w:right w:w="0" w:type="dxa"/>
        </w:tblCellMar>
      </w:tblPr>
      <w:tblGrid>
        <w:gridCol w:w="1804"/>
        <w:gridCol w:w="346"/>
        <w:gridCol w:w="211"/>
        <w:gridCol w:w="781"/>
        <w:gridCol w:w="346"/>
        <w:gridCol w:w="211"/>
        <w:gridCol w:w="931"/>
        <w:gridCol w:w="346"/>
        <w:gridCol w:w="211"/>
        <w:gridCol w:w="781"/>
        <w:gridCol w:w="346"/>
        <w:gridCol w:w="228"/>
        <w:gridCol w:w="733"/>
        <w:gridCol w:w="346"/>
        <w:gridCol w:w="330"/>
        <w:gridCol w:w="661"/>
        <w:gridCol w:w="346"/>
        <w:gridCol w:w="211"/>
        <w:gridCol w:w="1036"/>
      </w:tblGrid>
      <w:tr>
        <w:trPr/>
        <w:tc>
          <w:tcPr>
            <w:tcW w:w="1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145540" cy="175260"/>
                      <wp:effectExtent l="0" t="0" r="0" b="0"/>
                      <wp:wrapNone/>
                      <wp:docPr id="331" name="Frame331"/>
                      <a:graphic xmlns:a="http://schemas.openxmlformats.org/drawingml/2006/main">
                        <a:graphicData uri="http://schemas.microsoft.com/office/word/2010/wordprocessingShape">
                          <wps:wsp>
                            <wps:cNvSpPr txBox="1"/>
                            <wps:spPr>
                              <a:xfrm>
                                <a:off x="0" y="0"/>
                                <a:ext cx="1145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34"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1185" cy="175260"/>
                      <wp:effectExtent l="0" t="0" r="0" b="0"/>
                      <wp:wrapNone/>
                      <wp:docPr id="337" name="Frame3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340"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4780" cy="175260"/>
                      <wp:effectExtent l="0" t="0" r="0" b="0"/>
                      <wp:wrapNone/>
                      <wp:docPr id="342" name="Frame34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65455" cy="175260"/>
                      <wp:effectExtent l="0" t="0" r="0" b="0"/>
                      <wp:wrapNone/>
                      <wp:docPr id="343" name="Frame343"/>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9550" cy="175260"/>
                      <wp:effectExtent l="0" t="0" r="0" b="0"/>
                      <wp:wrapNone/>
                      <wp:docPr id="345" name="Frame34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19735" cy="175260"/>
                      <wp:effectExtent l="0" t="0" r="0" b="0"/>
                      <wp:wrapNone/>
                      <wp:docPr id="346" name="Frame3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57860" cy="175260"/>
                      <wp:effectExtent l="0" t="0" r="0" b="0"/>
                      <wp:wrapNone/>
                      <wp:docPr id="349" name="Frame3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 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Inflation-</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Inflation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8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Linked</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Rent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Rent </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26,195</w:t>
            </w:r>
          </w:p>
        </w:tc>
      </w:tr>
      <w:tr>
        <w:trPr/>
        <w:tc>
          <w:tcPr>
            <w:tcW w:w="1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35,321</w:t>
            </w:r>
          </w:p>
        </w:tc>
      </w:tr>
      <w:tr>
        <w:trPr/>
        <w:tc>
          <w:tcPr>
            <w:tcW w:w="1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35,585</w:t>
            </w:r>
          </w:p>
        </w:tc>
      </w:tr>
      <w:tr>
        <w:trPr/>
        <w:tc>
          <w:tcPr>
            <w:tcW w:w="1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35,667</w:t>
            </w:r>
          </w:p>
        </w:tc>
      </w:tr>
      <w:tr>
        <w:trPr/>
        <w:tc>
          <w:tcPr>
            <w:tcW w:w="1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36,065</w:t>
            </w:r>
          </w:p>
        </w:tc>
      </w:tr>
      <w:tr>
        <w:trPr/>
        <w:tc>
          <w:tcPr>
            <w:tcW w:w="1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442,143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4,270,824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425,745</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13,643</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5,152,355</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March 31, 2026 and 2025, the Company recognized $4.5</w:t>
            </w:r>
            <w:r>
              <w:rPr>
                <w:caps w:val="false"/>
                <w:smallCaps w:val="false"/>
              </w:rPr>
              <w:t> </w:t>
            </w:r>
            <w:r>
              <w:rPr>
                <w:rFonts w:ascii="Times New Roman;Times;serif" w:hAnsi="Times New Roman;Times;serif"/>
                <w:b w:val="false"/>
                <w:i w:val="false"/>
                <w:caps w:val="false"/>
                <w:smallCaps w:val="false"/>
                <w:sz w:val="16"/>
              </w:rPr>
              <w:t>million and $4.9</w:t>
            </w:r>
            <w:r>
              <w:rPr>
                <w:caps w:val="false"/>
                <w:smallCaps w:val="false"/>
              </w:rPr>
              <w:t xml:space="preserve"> </w:t>
            </w:r>
            <w:r>
              <w:rPr>
                <w:rFonts w:ascii="Times New Roman;Times;serif" w:hAnsi="Times New Roman;Times;serif"/>
                <w:b w:val="false"/>
                <w:i w:val="false"/>
                <w:caps w:val="false"/>
                <w:smallCaps w:val="false"/>
                <w:sz w:val="16"/>
              </w:rPr>
              <w:t>million, respectively, of percentage rent in “Operating lease income” in the Company’s consolidated statements of operations. On October 22, 2025, the Company sent the tenant under the Park Hotels master lease a termination notice for all five</w:t>
            </w:r>
            <w:r>
              <w:rPr>
                <w:caps w:val="false"/>
                <w:smallCaps w:val="false"/>
              </w:rPr>
              <w:t xml:space="preserve"> </w:t>
            </w:r>
            <w:r>
              <w:rPr>
                <w:rFonts w:ascii="Times New Roman;Times;serif" w:hAnsi="Times New Roman;Times;serif"/>
                <w:b w:val="false"/>
                <w:i w:val="false"/>
                <w:caps w:val="false"/>
                <w:smallCaps w:val="false"/>
                <w:sz w:val="16"/>
              </w:rPr>
              <w:t>hotels and commenced litigation against its tenant and Park Intermediate Holdings LLC, guarantor under the master lease, for certain breaches, among other things, related to the maintenance and operations of the hotels. There are no assurances that the Company will be able to terminate the master lease or prevail in its litigation. The Company became responsible for operating two</w:t>
            </w:r>
            <w:r>
              <w:rPr>
                <w:caps w:val="false"/>
                <w:smallCaps w:val="false"/>
              </w:rPr>
              <w:t xml:space="preserve"> </w:t>
            </w:r>
            <w:r>
              <w:rPr>
                <w:rFonts w:ascii="Times New Roman;Times;serif" w:hAnsi="Times New Roman;Times;serif"/>
                <w:b w:val="false"/>
                <w:i w:val="false"/>
                <w:caps w:val="false"/>
                <w:smallCaps w:val="false"/>
                <w:sz w:val="16"/>
              </w:rPr>
              <w:t>of the hotel properties that reverted to it on January 1, 2026.</w:t>
            </w:r>
          </w:p>
        </w:tc>
      </w:tr>
    </w:tbl>
    <w:p>
      <w:pPr>
        <w:pStyle w:val="TextBody"/>
        <w:bidi w:val="0"/>
        <w:spacing w:before="0" w:after="12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bidi w:val="0"/>
        <w:spacing w:before="0" w:after="120"/>
        <w:ind w:left="0" w:right="0" w:hanging="360"/>
        <w:jc w:val="both"/>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w:t>
      </w:r>
      <w:r>
        <w:rPr>
          <w:rFonts w:ascii="Times New Roman;Times;serif" w:hAnsi="Times New Roman;Times;serif"/>
          <w:b/>
          <w:sz w:val="20"/>
        </w:rPr>
        <w:t>Loans Receivable,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second quarter of 2025, the Company began originating leasehold loans in conjunction with certain of its Ground Leases. These leasehold loans allow the Company’s Ground Lease tenants to receive their full capital structure needs from one source. As of March 31, 2026, the Company had five senior mortgages with an aggregate outstanding principal balance of $62.1 million and an aggregate carrying value of $62.1 million. </w:t>
      </w:r>
      <w:r>
        <w:rPr>
          <w:rFonts w:ascii="Times New Roman;Times;serif" w:hAnsi="Times New Roman;Times;serif"/>
          <w:sz w:val="20"/>
          <w:shd w:fill="FFFFFF" w:val="clear"/>
        </w:rPr>
        <w:t>As of December 31, 2025, the Company had </w:t>
      </w:r>
      <w:r>
        <w:rPr>
          <w:rFonts w:ascii="Times New Roman;Times;serif" w:hAnsi="Times New Roman;Times;serif"/>
          <w:sz w:val="20"/>
        </w:rPr>
        <w:t>four</w:t>
      </w:r>
      <w:r>
        <w:rPr>
          <w:rFonts w:ascii="Times New Roman;Times;serif" w:hAnsi="Times New Roman;Times;serif"/>
          <w:sz w:val="20"/>
          <w:shd w:fill="FFFFFF" w:val="clear"/>
        </w:rPr>
        <w:t> senior mortgages with an aggregate outstanding principal balance of $</w:t>
      </w:r>
      <w:r>
        <w:rPr>
          <w:rFonts w:ascii="Times New Roman;Times;serif" w:hAnsi="Times New Roman;Times;serif"/>
          <w:sz w:val="20"/>
        </w:rPr>
        <w:t>46.0</w:t>
      </w:r>
      <w:r>
        <w:rPr>
          <w:rFonts w:ascii="Times New Roman;Times;serif" w:hAnsi="Times New Roman;Times;serif"/>
          <w:sz w:val="20"/>
          <w:shd w:fill="FFFFFF" w:val="clear"/>
        </w:rPr>
        <w:t> million and an aggregate carrying value of $</w:t>
      </w:r>
      <w:r>
        <w:rPr>
          <w:rFonts w:ascii="Times New Roman;Times;serif" w:hAnsi="Times New Roman;Times;serif"/>
          <w:sz w:val="20"/>
        </w:rPr>
        <w:t>46.1</w:t>
      </w:r>
      <w:r>
        <w:rPr>
          <w:rFonts w:ascii="Times New Roman;Times;serif" w:hAnsi="Times New Roman;Times;serif"/>
          <w:sz w:val="20"/>
          <w:shd w:fill="FFFFFF" w:val="clear"/>
        </w:rPr>
        <w:t xml:space="preserve"> million. </w:t>
      </w:r>
      <w:r>
        <w:rPr>
          <w:rFonts w:ascii="Times New Roman;Times;serif" w:hAnsi="Times New Roman;Times;serif"/>
          <w:sz w:val="20"/>
        </w:rPr>
        <w:t xml:space="preserve">The Company’s five leasehold loans have initial maturities that range from May 2028 to December 2029, excluding all extension options that can be exercised by the borrower subject to certain conditions, and accrue interest at a weighted average rate of 5.99%, assuming a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rate of 3.66% as of March 31, 2026 for the Company’s four floating rate loans.</w:t>
      </w:r>
    </w:p>
    <w:p>
      <w:pPr>
        <w:pStyle w:val="TextBody"/>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Credit Characteristics—</w:t>
      </w:r>
      <w:r>
        <w:rPr>
          <w:rFonts w:ascii="Times New Roman;Times;serif" w:hAnsi="Times New Roman;Times;serif"/>
          <w:sz w:val="20"/>
        </w:rPr>
        <w:t>As part of the Company’s process for monitoring the credit quality of its leasehold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expectations.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if any, are placed on non-accrual status and income is only recognized in certain cases upon actual cash receipt. As of March 31, 2026 and December 31, 2025, all of the Company’s leasehold loans were current in their payment status and had a risk rating of 3.</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Allowance for Credit Losses</w:t>
      </w:r>
      <w:r>
        <w:rPr>
          <w:rFonts w:ascii="Times New Roman;Times;serif" w:hAnsi="Times New Roman;Times;serif"/>
          <w:sz w:val="20"/>
        </w:rPr>
        <w:t>—As of March 31, 2026 and December 31, 2025, the Company’s allowance for credit losses was $0.5 million and $0.3 million, respectively. During the three months ended March 31, 2026, the Company recorded a provision for credit losses of $0.2 million on its leasehold loans. The provision for credit losses during the three months ended March 31, 2026 was due primarily to the origination of a new loan during the period. Allowances on unfunded commitments are recorded in “Accounts payable and accrued expenses” on the Company’s consolidated balance sheets.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Unfunded Commitments</w:t>
      </w:r>
      <w:r>
        <w:rPr>
          <w:rFonts w:ascii="Times New Roman;Times;serif" w:hAnsi="Times New Roman;Times;serif"/>
          <w:sz w:val="20"/>
        </w:rPr>
        <w:t>—The Company has commitments to fund construction and development loans over a period of time if and when its borrowers meet established milestones and other performance criteria. The Company refers to these arrangements as performance-based commitments. As of March 31, 2026, the Company had $135.0 million of such commitments.</w:t>
      </w:r>
    </w:p>
    <w:p>
      <w:pPr>
        <w:pStyle w:val="TextBody"/>
        <w:bidi w:val="0"/>
        <w:spacing w:before="0" w:after="240"/>
        <w:ind w:left="0" w:right="0" w:firstLine="72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b/>
          <w:sz w:val="20"/>
        </w:rPr>
        <w:t>Note 7</w:t>
      </w:r>
      <w:r>
        <w:rPr>
          <w:rFonts w:ascii="Times New Roman;Times;serif" w:hAnsi="Times New Roman;Times;serif"/>
          <w:sz w:val="20"/>
        </w:rPr>
        <w:t>—</w:t>
      </w:r>
      <w:r>
        <w:rPr>
          <w:rFonts w:ascii="Times New Roman;Times;serif" w:hAnsi="Times New Roman;Times;serif"/>
          <w:b/>
          <w:sz w:val="20"/>
        </w:rPr>
        <w:t>Loan Receivable, net – Related Party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31, 2023, the Company, as lender and as administrative agent, and Star Holdings, as borrower, entered into a senior secured term loan facility, which was amended on October 4, 2023 and March 28, 2025, in an aggregate principal amount of $115.0 million (the “Secured Term Loan Facility”) and an additional commitment amount of up to $25.0 million at Star Holding’s election (the “Incremental Term Loan Facility”, together with the Secured Term Loan Facility, as amended, the “Star Holdings Term Loan Facility”). During the three months ended March 31, 2026 and 2025, the Company recorded $2.3 million and $2.3 million, respectively, of interest income on the Star Holdings Term Loan Facility, which is recorded in “Interest income” in the Company’s consolidated statements of operations. As of each of March 31, 2026 and December 31, 2025, the Star Holdings Term Loan Facility had a principal balance of $115.0 million.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Star Holdings Term Loan Facility is a secured credit facility. Borrowings under the Star Holdings Term Loan Facility bear interest at a fixed rate of 8.00% per annum, which may increase to 10.00% per annum if any loans remain outstanding under the Incremental Term Loan Facility. On March 28, 2025, the Company and Star Holdings entered into an amendment to the Star Holdings Term Loan Facility that extended the maturity date by one year to March 31, 2028, provides that Star Holdings may re-borrow amounts that have been repaid on the Incremental Term Loan Facility and permits Star Holdings to repurchase up to $10.0 million in shares of its common stock, subject to certain conditions.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Star Holdings Term Loan Facility is secured by a first-priority perfected security pledge of all the equity interests in Star Holding’s primary real estate subsidiary. Since the first quarter of 2024,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Star Holdings has delivered its unaudited quarterly financial statements, Star Holdings has been required to apply any unrestricted cash on its balance sheet in excess of the aggregate of (i) an operating reserve; and (ii) $50 million, to prepay the Star Holdings Term Loan Facility or alternatively, with the consent of the Company, Star Holdings may apply such cash to prepay its margin loan facility with Morgan Stanley Bank, N.A., which is secured by Star Holdings’ shares of the Company’s common stock, in lieu of any prepayment of the Star Holdings Term Loan Facility. The operating reserve is calculated on a quarterly basis and is equal to the aggregate of projected operating expenses (including payments to the Star Holdings local property consultants but excluding management fees and public company costs), projected land carry costs, projected capital expenditure and projected interest expense on the margin loan facility and the Star Holdings Term Loan Facility for the next twelve months; less the projected operating revenues for the next twelve months consistent with the operating budget approved by the Company.</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certain customary covenants, including affirmative covenants on reporting, maintenance of property, continued ownership of interests in the Company as well as negative covenants relating to investments, indebtedness and liens, fundamental changes, asset dispositions, repayments, distributions and affiliate transactions. Furthermore, 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customary events of default, including payment defaults, failure to perform covenants, cross-default and cross acceleration to other indebtedness, including the margin loan facility, impairment of security interests and change of control.</w:t>
      </w:r>
    </w:p>
    <w:p>
      <w:pPr>
        <w:pStyle w:val="TextBody"/>
        <w:bidi w:val="0"/>
        <w:spacing w:before="0" w:after="240"/>
        <w:ind w:left="0" w:right="0" w:firstLine="720"/>
        <w:jc w:val="both"/>
        <w:rPr>
          <w:shd w:fill="FFFFFF" w:val="clear"/>
        </w:rPr>
      </w:pPr>
      <w:r>
        <w:rPr>
          <w:shd w:fill="FFFFFF" w:val="clea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and 2025, the Company recorded a provision for (recovery of) credit losses of $43 thousand and ($0.1) million, respectively, on the Star Holdings Term Loan Facility, including amounts on the Incremental Term Loan Facility, which was undrawn as of each of March 31, 2026 and December 31, 2025. The Company did not have any accrued interest receivable from the Star Holdings Term Loan Facility as of each of March 31, 2026 and December 31, 2025. The Company did not reverse any accrued interest on the Star Holdings Term Loan Facility during the three months ended March 31, 2026 and 2025.</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92" w:name="Tc_XX6FtPNbtkCJbuBiXOCa3A_11_11"/>
      <w:bookmarkStart w:id="1093" w:name="Tc_b9eOfK5nCk6hCHWBxsd60Q_11_8"/>
      <w:bookmarkStart w:id="1094" w:name="Tc_mmgsXTapJUGv83RrHQdU0w_11_5"/>
      <w:bookmarkStart w:id="1095" w:name="Tc_ibdgxOn7pUCCq9rwReZj7Q_11_2"/>
      <w:bookmarkStart w:id="1096" w:name="Tc_bZ6Z1LeefEWh56htGA-VCA_11_0"/>
      <w:bookmarkStart w:id="1097" w:name="Tc_k1C-k8-SZkqlRCCmpD6g7w_10_0"/>
      <w:bookmarkStart w:id="1098" w:name="Tc_kTwiSc7NFkmmoi97zg_24w_9_0"/>
      <w:bookmarkStart w:id="1099" w:name="Tc_NUdwuJ1zXE2OFouoACdWnA_8_0"/>
      <w:bookmarkStart w:id="1100" w:name="Tc_iPGgOr_1U0K1IONx7Wc_Zg_7_11"/>
      <w:bookmarkStart w:id="1101" w:name="Tc_8KoSkrhcSEilt-kEBdkVhw_7_8"/>
      <w:bookmarkStart w:id="1102" w:name="Tc_TEmss8t5IES9jNvlXJe2sA_7_5"/>
      <w:bookmarkStart w:id="1103" w:name="Tc_z7Ly5m_qGUqei1vzkN0EIQ_7_2"/>
      <w:bookmarkStart w:id="1104" w:name="Tc_XhtAYVPt00arUWgIn8TMpw_7_0"/>
      <w:bookmarkStart w:id="1105" w:name="Tc_XodHAkR6X0aF81-gpIp5Qg_6_0"/>
      <w:bookmarkStart w:id="1106" w:name="Tc_GccAxP7C80mcusJe3ijldg_5_11"/>
      <w:bookmarkStart w:id="1107" w:name="Tc_YJ6BDyH-KEumm0P9sT7y8Q_5_8"/>
      <w:bookmarkStart w:id="1108" w:name="Tc_Bk8GD9igkEew_lwbNKZFaA_5_5"/>
      <w:bookmarkStart w:id="1109" w:name="Tc_yRm8iaL6kEqbiS0i19nPTQ_5_2"/>
      <w:bookmarkStart w:id="1110" w:name="Tc_EUs-Jj0QQkegPn5Gy7ZWNg_4_8"/>
      <w:bookmarkStart w:id="1111" w:name="Tc_XUKGqMlCP0GK271Vf8_m2Q_4_5"/>
      <w:bookmarkStart w:id="1112" w:name="Tc_tGp44d8Hr0Krydo_hndZmg_4_2"/>
      <w:bookmarkStart w:id="1113" w:name="Tc_Pj61ZQBL10SsqWnFIHAC1w_3_8"/>
      <w:bookmarkStart w:id="1114" w:name="Tc_VMad85Mhz0GYuV2oEy5GMg_3_2"/>
      <w:bookmarkStart w:id="1115" w:name="Tc_zf_UpO07A0-Nq2fDOnhXEw_2_8"/>
      <w:bookmarkStart w:id="1116" w:name="Tc_q2VclShnVkCgawJXI1gzGw_2_2"/>
      <w:bookmarkStart w:id="1117" w:name="Tc_xw6gyDQmG0q9ZE3ke_uwqg_1_8"/>
      <w:bookmarkStart w:id="1118" w:name="_d0384ecf_f5b7_4e85_bb74_3b4448cead19"/>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b/>
          <w:sz w:val="20"/>
        </w:rPr>
        <w:t>Note 8—Equity Investments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equity investments and its proportionate share of earnings (losses) from equity investments were as follows ($ in thousands): </w:t>
      </w:r>
    </w:p>
    <w:tbl>
      <w:tblPr>
        <w:tblW w:w="7522" w:type="dxa"/>
        <w:jc w:val="left"/>
        <w:tblInd w:w="0" w:type="dxa"/>
        <w:tblLayout w:type="fixed"/>
        <w:tblCellMar>
          <w:top w:w="0" w:type="dxa"/>
          <w:left w:w="0" w:type="dxa"/>
          <w:bottom w:w="0" w:type="dxa"/>
          <w:right w:w="0" w:type="dxa"/>
        </w:tblCellMar>
      </w:tblPr>
      <w:tblGrid>
        <w:gridCol w:w="2266"/>
        <w:gridCol w:w="109"/>
        <w:gridCol w:w="211"/>
        <w:gridCol w:w="781"/>
        <w:gridCol w:w="346"/>
        <w:gridCol w:w="242"/>
        <w:gridCol w:w="898"/>
        <w:gridCol w:w="346"/>
        <w:gridCol w:w="241"/>
        <w:gridCol w:w="656"/>
        <w:gridCol w:w="397"/>
        <w:gridCol w:w="241"/>
        <w:gridCol w:w="788"/>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38910" cy="175260"/>
                      <wp:effectExtent l="0" t="0" r="0" b="0"/>
                      <wp:wrapNone/>
                      <wp:docPr id="350" name="Frame35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53670" cy="175260"/>
                      <wp:effectExtent l="0" t="0" r="0" b="0"/>
                      <wp:wrapNone/>
                      <wp:docPr id="355" name="Frame35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70230" cy="175260"/>
                      <wp:effectExtent l="0" t="0" r="0" b="0"/>
                      <wp:wrapNone/>
                      <wp:docPr id="356" name="Frame3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53035" cy="175260"/>
                      <wp:effectExtent l="0" t="0" r="0" b="0"/>
                      <wp:wrapNone/>
                      <wp:docPr id="358" name="Frame3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16560" cy="175260"/>
                      <wp:effectExtent l="0" t="0" r="0" b="0"/>
                      <wp:wrapNone/>
                      <wp:docPr id="359" name="Frame359"/>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2095" cy="175260"/>
                      <wp:effectExtent l="0" t="0" r="0" b="0"/>
                      <wp:wrapNone/>
                      <wp:docPr id="360" name="Frame360"/>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53035" cy="175260"/>
                      <wp:effectExtent l="0" t="0" r="0" b="0"/>
                      <wp:wrapNone/>
                      <wp:docPr id="361" name="Frame36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0380" cy="175260"/>
                      <wp:effectExtent l="0" t="0" r="0" b="0"/>
                      <wp:wrapNone/>
                      <wp:docPr id="362" name="Frame362"/>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2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1"/>
              <w:ind w:left="0" w:right="0" w:hanging="0"/>
              <w:jc w:val="center"/>
              <w:rPr/>
            </w:pPr>
            <w:r>
              <w:rPr/>
              <w:t>​</w:t>
            </w:r>
          </w:p>
        </w:tc>
        <w:tc>
          <w:tcPr>
            <w:tcW w:w="2323" w:type="dxa"/>
            <w:gridSpan w:val="5"/>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Equity Method Investments</w:t>
            </w:r>
            <w:r>
              <w:rPr>
                <w:rFonts w:ascii="Times New Roman;Times;serif" w:hAnsi="Times New Roman;Times;serif"/>
                <w:b/>
                <w:sz w:val="12"/>
              </w:rPr>
              <w:t>(1)</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w:t>
            </w:r>
          </w:p>
        </w:tc>
        <w:tc>
          <w:tcPr>
            <w:tcW w:w="232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23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7" w:type="dxa"/>
            <w:tcBorders/>
            <w:vAlign w:val="center"/>
          </w:tcPr>
          <w:p>
            <w:pPr>
              <w:pStyle w:val="TableContents"/>
              <w:bidi w:val="0"/>
              <w:spacing w:before="0" w:after="1"/>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investment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  ​</w:t>
            </w:r>
          </w:p>
        </w:tc>
        <w:tc>
          <w:tcPr>
            <w:tcW w:w="397"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425 Park Avenue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139,996</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139,592</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c>
          <w:tcPr>
            <w:tcW w:w="397"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 Old Slip</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68,878</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67,865</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97"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r>
      <w:tr>
        <w:trPr/>
        <w:tc>
          <w:tcPr>
            <w:tcW w:w="22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Plus Fund</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31,188</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30,787</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97"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22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Loan Fund</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45,857</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42,606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w:t>
            </w:r>
          </w:p>
        </w:tc>
        <w:tc>
          <w:tcPr>
            <w:tcW w:w="397"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285,919</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280,850</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4,035</w:t>
            </w:r>
          </w:p>
        </w:tc>
        <w:tc>
          <w:tcPr>
            <w:tcW w:w="397"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4,992</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the Company has a basis difference of $12.4</w:t>
            </w:r>
            <w:r>
              <w:rPr>
                <w:caps w:val="false"/>
                <w:smallCaps w:val="false"/>
              </w:rPr>
              <w:t xml:space="preserve"> </w:t>
            </w:r>
            <w:r>
              <w:rPr>
                <w:rFonts w:ascii="Times New Roman;Times;serif" w:hAnsi="Times New Roman;Times;serif"/>
                <w:b w:val="false"/>
                <w:i w:val="false"/>
                <w:caps w:val="false"/>
                <w:smallCaps w:val="false"/>
                <w:sz w:val="16"/>
              </w:rPr>
              <w:t>million in the Ground Lease Plus Fund. During the three months ended March 31, 2025, $0.1</w:t>
            </w:r>
            <w:r>
              <w:rPr>
                <w:caps w:val="false"/>
                <w:smallCaps w:val="false"/>
              </w:rPr>
              <w:t xml:space="preserve"> </w:t>
            </w:r>
            <w:r>
              <w:rPr>
                <w:rFonts w:ascii="Times New Roman;Times;serif" w:hAnsi="Times New Roman;Times;serif"/>
                <w:b w:val="false"/>
                <w:i w:val="false"/>
                <w:caps w:val="false"/>
                <w:smallCaps w:val="false"/>
                <w:sz w:val="16"/>
              </w:rPr>
              <w:t xml:space="preserve">million of the basis difference was amortized as a decrease to earnings from equity method investments.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the Company has a basis difference of $1.4</w:t>
            </w:r>
            <w:r>
              <w:rPr>
                <w:caps w:val="false"/>
                <w:smallCaps w:val="false"/>
              </w:rPr>
              <w:t xml:space="preserve"> </w:t>
            </w:r>
            <w:r>
              <w:rPr>
                <w:rFonts w:ascii="Times New Roman;Times;serif" w:hAnsi="Times New Roman;Times;serif"/>
                <w:b w:val="false"/>
                <w:i w:val="false"/>
                <w:caps w:val="false"/>
                <w:smallCaps w:val="false"/>
                <w:sz w:val="16"/>
              </w:rPr>
              <w:t>million in the Leasehold Loan Fund that will be amortized over a weighted average remaining term of 0.3</w:t>
            </w:r>
            <w:r>
              <w:rPr>
                <w:caps w:val="false"/>
                <w:smallCaps w:val="false"/>
              </w:rPr>
              <w:t xml:space="preserve"> </w:t>
            </w:r>
            <w:r>
              <w:rPr>
                <w:rFonts w:ascii="Times New Roman;Times;serif" w:hAnsi="Times New Roman;Times;serif"/>
                <w:b w:val="false"/>
                <w:i w:val="false"/>
                <w:caps w:val="false"/>
                <w:smallCaps w:val="false"/>
                <w:sz w:val="16"/>
              </w:rPr>
              <w:t>years using the effective interest method. During the three months ended March 31, 2026 and 2025, $1.4</w:t>
            </w:r>
            <w:r>
              <w:rPr>
                <w:caps w:val="false"/>
                <w:smallCaps w:val="false"/>
              </w:rPr>
              <w:t xml:space="preserve"> </w:t>
            </w:r>
            <w:r>
              <w:rPr>
                <w:rFonts w:ascii="Times New Roman;Times;serif" w:hAnsi="Times New Roman;Times;serif"/>
                <w:b w:val="false"/>
                <w:i w:val="false"/>
                <w:caps w:val="false"/>
                <w:smallCaps w:val="false"/>
                <w:sz w:val="16"/>
              </w:rPr>
              <w:t>million and $0.7</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the basis difference was amortized as an increase to earnings from equity method investments. </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425 Park Avenue</w:t>
      </w:r>
      <w:r>
        <w:rPr>
          <w:rFonts w:ascii="Times New Roman;Times;serif" w:hAnsi="Times New Roman;Times;serif"/>
          <w:sz w:val="20"/>
        </w:rPr>
        <w:t xml:space="preserve">—In August 2019, the Company formed a venture with a sovereign wealth fund that was and is an existing shareholder of the Company to acquire the existing Ground Lease at 425 Park Avenue in New York City. The venture acquired the Ground Lease in November 2019. The Company has a 54.8% noncontrolling equity interest in the venture and is the manager of the venture.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32 Old Slip</w:t>
      </w:r>
      <w:r>
        <w:rPr>
          <w:rFonts w:ascii="Times New Roman;Times;serif" w:hAnsi="Times New Roman;Times;serif"/>
          <w:sz w:val="20"/>
        </w:rPr>
        <w:t xml:space="preserve">—In June 2021, the Company acquired a 29.2% noncontrolling equity interest in a Ground Lease at an office property in New York City.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Ground Lease Plus Fund</w:t>
      </w:r>
      <w:r>
        <w:rPr>
          <w:rFonts w:ascii="Times New Roman;Times;serif" w:hAnsi="Times New Roman;Times;serif"/>
          <w:sz w:val="20"/>
        </w:rPr>
        <w:t xml:space="preserve">—The Company manages a fund that targets the origination and acquisition of Ground Leases for commercial real estate projects that are in a pre-development phase (the “Ground Lease Plus Fund”). The Company owns a 53.2% noncontrolling equity interest in the Ground Lease Plus Fund. The Company does not have a controlling interest in the Ground Lease Plus Fund due to the substantive participating rights of its partner and accounts for this investment as an equity method investment. The Company receives a fee from its partner in exchange for managing the entity and is also entitled to a promote payment on investments in the Ground Lease Plus Fund.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Leasehold Loan Fund</w:t>
      </w:r>
      <w:r>
        <w:rPr>
          <w:rFonts w:ascii="Times New Roman;Times;serif" w:hAnsi="Times New Roman;Times;serif"/>
          <w:sz w:val="20"/>
        </w:rPr>
        <w:t>—The Company manages a fund that targets customers that may require a mortgage leasehold loan as well as a Ground Lease (the “Leasehold Loan Fund”). The Company owns a 53.2% noncontrolling equity interest in the Leasehold Loan Fund. The Company does not have a controlling interest in the Leasehold Loan Fund due to the substantive participating rights of its partner. The Company accounts for this investment as an equity method investment and receives a fixed annual administrative fee and an asset management fee from its partner in exchange for managing the entity. The Company is also entitled to a promote payment on certain investments in the Leasehold Loan Fund.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the Leasehold Loan Fund committed to provide a $130.0 million loan to the ground lessee of a Ground Lease originated by the Company. The loan was for the Ground Lease tenant’s recapitalization of a life science property. In August 2025, the loan commitment was reduced to $30.0 million. As of March 31, 2026, the Leasehold Loan Fund funded $22.9 million of the commitment.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2022, the Leasehold Loan Fund committed to provide a $105.0 million loan to the ground lessee of a Ground Lease originated by the Company. The loan was for the Ground Lease tenant’s recapitalization of a mixed-use property. In July 2025, the loan commitment was reduced to $55.5 million. As of March 31, 2026, the Leasehold Loan Fund funded $44.9 million of the commitment.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2024, the Leasehold Loan Fund committed to provide a $31.5 million loan to the ground lessee of a Ground Lease originated by the Company. The loan was for the Ground Lease tenant’s construction of a student housing property. As of March 31, 2026, the Leasehold Loan Fund funded $20.4 million of the commitment.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119" w:name="Tc_FebGEI8Nj02Uu_KU9ar47w_8_5"/>
      <w:bookmarkStart w:id="1120" w:name="Tc_7-WLks0Kl0W67XhK0992wQ_8_2"/>
      <w:bookmarkStart w:id="1121" w:name="Tc_pPAFtbB9LE6V8kPC9C8gwQ_8_0"/>
      <w:bookmarkStart w:id="1122" w:name="Tc_0PnglBGaGUW8FguFkWTz6g_7_0"/>
      <w:bookmarkStart w:id="1123" w:name="Tc_9oE3Bb-okUuJF7TQr9c3pg_5_0"/>
      <w:bookmarkStart w:id="1124" w:name="Tc_2wcHj64d9U2_EbKgW4Jlvg_4_0"/>
      <w:bookmarkStart w:id="1125" w:name="Tc__YjXQ_1Nl0KKjKfamS4o8w_3_5"/>
      <w:bookmarkStart w:id="1126" w:name="Tc_3FLp1qdf-0yGm5SPqwlpgA_3_2"/>
      <w:bookmarkStart w:id="1127" w:name="Tc_eZvrC-JBK0Sj_cmQheqw5Q_3_0"/>
      <w:bookmarkStart w:id="1128" w:name="Tc_24UPHXZLPUmL6qVeheYvgQ_2_5"/>
      <w:bookmarkStart w:id="1129" w:name="Tc_UOKpDq0R7kWOrRz5exxlPQ_2_2"/>
      <w:bookmarkStart w:id="1130" w:name="Tc_sNSShinr4k--ZSm4UFGgEA_1_2"/>
      <w:bookmarkStart w:id="1131" w:name="_9c54ed87_8916_4c5c_9a6a_e9f1f9cae4fb"/>
      <w:bookmarkStart w:id="1132" w:name="Tc_6gHFumrilUmUvaXVfJPZOg_9_5"/>
      <w:bookmarkStart w:id="1133" w:name="Tc_M2H4H6N1PE62zyrby3aKgw_9_2"/>
      <w:bookmarkStart w:id="1134" w:name="Tc__CT208CwIEy613nSt6pZZg_9_0"/>
      <w:bookmarkStart w:id="1135" w:name="Tc_RaujkjK7dk2wsoGaBq4QBA_8_0"/>
      <w:bookmarkStart w:id="1136" w:name="Tc_3U0AvRoEGU-WScSsaTGS8g_7_0"/>
      <w:bookmarkStart w:id="1137" w:name="Tc_3-3pexL8xkutIUWg6HyvtQ_6_0"/>
      <w:bookmarkStart w:id="1138" w:name="Tc_pWWMZ5C4iUSu2dCQL-uZfw_5_0"/>
      <w:bookmarkStart w:id="1139" w:name="Tc__NdsiAljpUKAbnkEwO9yaQ_4_0"/>
      <w:bookmarkStart w:id="1140" w:name="Tc_PpO2z2XF1EezGNWnJKL0Ig_3_5"/>
      <w:bookmarkStart w:id="1141" w:name="Tc_474wsJt55EmutTxzb0E4LA_3_2"/>
      <w:bookmarkStart w:id="1142" w:name="Tc_HUQY9aqJikWZYUJaEw92sg_2_5"/>
      <w:bookmarkStart w:id="1143" w:name="Tc_GdWmP5zb7k-FP_Mv18o99g_2_2"/>
      <w:bookmarkStart w:id="1144" w:name="Tc_W_7DW6B9-kWn6yt6IQknJQ_1_2"/>
      <w:bookmarkStart w:id="1145" w:name="_8a73288b_37d0_4896_8e56_e0e0fa6c1dba"/>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r>
        <w:rPr>
          <w:rFonts w:ascii="Times New Roman;Times;serif" w:hAnsi="Times New Roman;Times;serif"/>
          <w:b/>
          <w:sz w:val="20"/>
        </w:rPr>
        <w:t>Note 9—Deferred Expenses and Other Assets, Net and Accounts Payable, Accrued Expenses and Other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Deferred expenses and other assets, net, consist of the following items ($ in thousands):</w:t>
      </w:r>
    </w:p>
    <w:p>
      <w:pPr>
        <w:pStyle w:val="TextBody"/>
        <w:bidi w:val="0"/>
        <w:spacing w:before="0" w:after="0"/>
        <w:ind w:left="0" w:right="0" w:hanging="0"/>
        <w:jc w:val="left"/>
        <w:rPr/>
      </w:pPr>
      <w:r>
        <w:rPr/>
        <w:t>​</w:t>
      </w:r>
    </w:p>
    <w:tbl>
      <w:tblPr>
        <w:tblW w:w="7490" w:type="dxa"/>
        <w:jc w:val="left"/>
        <w:tblInd w:w="0" w:type="dxa"/>
        <w:tblLayout w:type="fixed"/>
        <w:tblCellMar>
          <w:top w:w="0" w:type="dxa"/>
          <w:left w:w="0" w:type="dxa"/>
          <w:bottom w:w="0" w:type="dxa"/>
          <w:right w:w="0" w:type="dxa"/>
        </w:tblCellMar>
      </w:tblPr>
      <w:tblGrid>
        <w:gridCol w:w="3991"/>
        <w:gridCol w:w="346"/>
        <w:gridCol w:w="299"/>
        <w:gridCol w:w="962"/>
        <w:gridCol w:w="346"/>
        <w:gridCol w:w="328"/>
        <w:gridCol w:w="1218"/>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534285" cy="175260"/>
                      <wp:effectExtent l="0" t="0" r="0" b="0"/>
                      <wp:wrapNone/>
                      <wp:docPr id="363" name="Frame36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89865" cy="175260"/>
                      <wp:effectExtent l="0" t="0" r="0" b="0"/>
                      <wp:wrapNone/>
                      <wp:docPr id="365" name="Frame36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10870" cy="175260"/>
                      <wp:effectExtent l="0" t="0" r="0" b="0"/>
                      <wp:wrapNone/>
                      <wp:docPr id="366" name="Frame36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8280" cy="175260"/>
                      <wp:effectExtent l="0" t="0" r="0" b="0"/>
                      <wp:wrapNone/>
                      <wp:docPr id="368" name="Frame36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73430" cy="175260"/>
                      <wp:effectExtent l="0" t="0" r="0" b="0"/>
                      <wp:wrapNone/>
                      <wp:docPr id="369" name="Frame36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24,913</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26,085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hedge assets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25,022</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Deferred finance costs, net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10,345</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11,536</w:t>
            </w:r>
          </w:p>
        </w:tc>
      </w:tr>
      <w:tr>
        <w:trPr/>
        <w:tc>
          <w:tcPr>
            <w:tcW w:w="39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24,679</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furniture, fixtures and equipment, net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86,216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72,030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Operating lease right-of-use asset (and operating lease liability below) relates primarily to a property that is majority-owned by a third party and is ground leased to the Company. The Company is obligated to pay the owner of the property $0.5</w:t>
            </w:r>
            <w:r>
              <w:rPr>
                <w:caps w:val="false"/>
                <w:smallCaps w:val="false"/>
              </w:rPr>
              <w:t xml:space="preserve"> </w:t>
            </w:r>
            <w:r>
              <w:rPr>
                <w:rFonts w:ascii="Times New Roman;Times;serif" w:hAnsi="Times New Roman;Times;serif"/>
                <w:b w:val="false"/>
                <w:i w:val="false"/>
                <w:caps w:val="false"/>
                <w:smallCaps w:val="false"/>
                <w:sz w:val="16"/>
              </w:rPr>
              <w:t>million, subject to adjustment for changes in the CPI, per year through 2044. Amortization of this operating lease right-of-use asset, beginning January 1, 2026, is recorded in “Hotel expenses” in the Company’s consolidated statements of operations. Prior to January 1, 2026 this expense was recorded in “Real estate expense” in the Company’s consolidated statements of operations. During the three months ended March 31, 2025, the Company recognized $0.1</w:t>
            </w:r>
            <w:r>
              <w:rPr>
                <w:caps w:val="false"/>
                <w:smallCaps w:val="false"/>
              </w:rPr>
              <w:t xml:space="preserve"> </w:t>
            </w:r>
            <w:r>
              <w:rPr>
                <w:rFonts w:ascii="Times New Roman;Times;serif" w:hAnsi="Times New Roman;Times;serif"/>
                <w:b w:val="false"/>
                <w:i w:val="false"/>
                <w:caps w:val="false"/>
                <w:smallCaps w:val="false"/>
                <w:sz w:val="16"/>
              </w:rPr>
              <w:t>million in both “Real estate expense” and “Other income</w:t>
            </w:r>
            <w:r>
              <w:rPr>
                <w:caps w:val="false"/>
                <w:smallCaps w:val="false"/>
              </w:rPr>
              <w:t xml:space="preserve">” </w:t>
            </w:r>
            <w:r>
              <w:rPr>
                <w:rFonts w:ascii="Times New Roman;Times;serif" w:hAnsi="Times New Roman;Times;serif"/>
                <w:b w:val="false"/>
                <w:i w:val="false"/>
                <w:caps w:val="false"/>
                <w:smallCaps w:val="false"/>
                <w:sz w:val="16"/>
              </w:rPr>
              <w:t>from its operating lease right-of-use asset. The related operating lease liability (see table below) equals the present value of the minimum rental payments due under the lease discounted at the Company’s incremental secured borrowing rate for a similar asset estimated to be 5.5%. The Company also has operating leases for office space.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Accumulated amortization of deferred finance costs was $9.7</w:t>
            </w:r>
            <w:r>
              <w:rPr>
                <w:caps w:val="false"/>
                <w:smallCaps w:val="false"/>
              </w:rPr>
              <w:t xml:space="preserve"> </w:t>
            </w:r>
            <w:r>
              <w:rPr>
                <w:rFonts w:ascii="Times New Roman;Times;serif" w:hAnsi="Times New Roman;Times;serif"/>
                <w:b w:val="false"/>
                <w:i w:val="false"/>
                <w:caps w:val="false"/>
                <w:smallCaps w:val="false"/>
                <w:sz w:val="16"/>
              </w:rPr>
              <w:t>million and $8.4</w:t>
            </w:r>
            <w:r>
              <w:rPr>
                <w:caps w:val="false"/>
                <w:smallCaps w:val="false"/>
              </w:rPr>
              <w:t> </w:t>
            </w:r>
            <w:r>
              <w:rPr>
                <w:rFonts w:ascii="Times New Roman;Times;serif" w:hAnsi="Times New Roman;Times;serif"/>
                <w:b w:val="false"/>
                <w:i w:val="false"/>
                <w:caps w:val="false"/>
                <w:smallCaps w:val="false"/>
                <w:sz w:val="16"/>
              </w:rPr>
              <w:t>million as of March 31,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and December 31, 2025, includes $2.5</w:t>
            </w:r>
            <w:r>
              <w:rPr>
                <w:caps w:val="false"/>
                <w:smallCaps w:val="false"/>
              </w:rPr>
              <w:t xml:space="preserve"> </w:t>
            </w:r>
            <w:r>
              <w:rPr>
                <w:rFonts w:ascii="Times New Roman;Times;serif" w:hAnsi="Times New Roman;Times;serif"/>
                <w:b w:val="false"/>
                <w:i w:val="false"/>
                <w:caps w:val="false"/>
                <w:smallCaps w:val="false"/>
                <w:sz w:val="16"/>
              </w:rPr>
              <w:t>million and $2.9</w:t>
            </w:r>
            <w:r>
              <w:rPr>
                <w:caps w:val="false"/>
                <w:smallCaps w:val="false"/>
              </w:rPr>
              <w:t xml:space="preserve"> </w:t>
            </w:r>
            <w:r>
              <w:rPr>
                <w:rFonts w:ascii="Times New Roman;Times;serif" w:hAnsi="Times New Roman;Times;serif"/>
                <w:b w:val="false"/>
                <w:i w:val="false"/>
                <w:caps w:val="false"/>
                <w:smallCaps w:val="false"/>
                <w:sz w:val="16"/>
              </w:rPr>
              <w:t>million, respectively, of management fees due from Star Holdings. Through March 31, 2026, the Company has earned $50.0</w:t>
            </w:r>
            <w:r>
              <w:rPr>
                <w:caps w:val="false"/>
                <w:smallCaps w:val="false"/>
              </w:rPr>
              <w:t xml:space="preserve"> </w:t>
            </w:r>
            <w:r>
              <w:rPr>
                <w:rFonts w:ascii="Times New Roman;Times;serif" w:hAnsi="Times New Roman;Times;serif"/>
                <w:b w:val="false"/>
                <w:i w:val="false"/>
                <w:caps w:val="false"/>
                <w:smallCaps w:val="false"/>
                <w:sz w:val="16"/>
              </w:rPr>
              <w:t>million of management fees from Star Holdings and as of March 31, 2026 all</w:t>
            </w:r>
            <w:r>
              <w:rPr>
                <w:caps w:val="false"/>
                <w:smallCaps w:val="false"/>
              </w:rPr>
              <w:t xml:space="preserve"> </w:t>
            </w:r>
            <w:r>
              <w:rPr>
                <w:rFonts w:ascii="Times New Roman;Times;serif" w:hAnsi="Times New Roman;Times;serif"/>
                <w:b w:val="false"/>
                <w:i w:val="false"/>
                <w:caps w:val="false"/>
                <w:smallCaps w:val="false"/>
                <w:sz w:val="16"/>
              </w:rPr>
              <w:t>performance obligations have been satisfied.</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Accounts payable, accrued expenses and other liabilities consist of the following items ($ in thousands): </w:t>
      </w:r>
    </w:p>
    <w:p>
      <w:pPr>
        <w:pStyle w:val="TextBody"/>
        <w:bidi w:val="0"/>
        <w:spacing w:before="0" w:after="0"/>
        <w:ind w:left="0" w:right="0" w:hanging="0"/>
        <w:jc w:val="left"/>
        <w:rPr/>
      </w:pPr>
      <w:r>
        <w:rPr/>
        <w:t>​</w:t>
      </w:r>
    </w:p>
    <w:tbl>
      <w:tblPr>
        <w:tblW w:w="8210" w:type="dxa"/>
        <w:jc w:val="left"/>
        <w:tblInd w:w="0" w:type="dxa"/>
        <w:tblLayout w:type="fixed"/>
        <w:tblCellMar>
          <w:top w:w="0" w:type="dxa"/>
          <w:left w:w="0" w:type="dxa"/>
          <w:bottom w:w="0" w:type="dxa"/>
          <w:right w:w="0" w:type="dxa"/>
        </w:tblCellMar>
      </w:tblPr>
      <w:tblGrid>
        <w:gridCol w:w="4711"/>
        <w:gridCol w:w="346"/>
        <w:gridCol w:w="268"/>
        <w:gridCol w:w="993"/>
        <w:gridCol w:w="346"/>
        <w:gridCol w:w="297"/>
        <w:gridCol w:w="1249"/>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991485" cy="175260"/>
                      <wp:effectExtent l="0" t="0" r="0" b="0"/>
                      <wp:wrapNone/>
                      <wp:docPr id="370" name="Frame370"/>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0180" cy="175260"/>
                      <wp:effectExtent l="0" t="0" r="0" b="0"/>
                      <wp:wrapNone/>
                      <wp:docPr id="372" name="Frame37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30555" cy="175260"/>
                      <wp:effectExtent l="0" t="0" r="0" b="0"/>
                      <wp:wrapNone/>
                      <wp:docPr id="373" name="Frame37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88595" cy="175260"/>
                      <wp:effectExtent l="0" t="0" r="0" b="0"/>
                      <wp:wrapNone/>
                      <wp:docPr id="375" name="Frame37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93115" cy="175260"/>
                      <wp:effectExtent l="0" t="0" r="0" b="0"/>
                      <wp:wrapNone/>
                      <wp:docPr id="376" name="Frame37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103,157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103,656</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22,847</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declared and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13,559</w:t>
            </w:r>
          </w:p>
        </w:tc>
      </w:tr>
      <w:tr>
        <w:trPr/>
        <w:tc>
          <w:tcPr>
            <w:tcW w:w="47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liabilities</w:t>
            </w:r>
            <w:r>
              <w:rPr>
                <w:rFonts w:ascii="Times New Roman;Times;serif" w:hAnsi="Times New Roman;Times;serif"/>
                <w:b w:val="false"/>
                <w:i w:val="false"/>
                <w:caps w:val="false"/>
                <w:smallCaps w:val="false"/>
                <w:sz w:val="15"/>
              </w:rPr>
              <w:t>(1)</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5,589</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161,616</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161,420</w:t>
            </w:r>
          </w:p>
        </w:tc>
      </w:tr>
    </w:tbl>
    <w:tbl>
      <w:tblPr>
        <w:tblW w:w="1682" w:type="dxa"/>
        <w:jc w:val="left"/>
        <w:tblInd w:w="0" w:type="dxa"/>
        <w:tblLayout w:type="fixed"/>
        <w:tblCellMar>
          <w:top w:w="0" w:type="dxa"/>
          <w:left w:w="0" w:type="dxa"/>
          <w:bottom w:w="0" w:type="dxa"/>
          <w:right w:w="0" w:type="dxa"/>
        </w:tblCellMar>
      </w:tblPr>
      <w:tblGrid>
        <w:gridCol w:w="331"/>
        <w:gridCol w:w="13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11.</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and December 31, 2025, accrued expenses primarily includes accrued compensation, legal, audit and property expenses.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6" w:name="Tc_GpD0ZAJoGU6Rm5fRzKOujw_19_5"/>
      <w:bookmarkStart w:id="1147" w:name="Tc_lsUD24G3uUCDODANbux56Q_19_2"/>
      <w:bookmarkStart w:id="1148" w:name="Tc_mGL5QvOwwkGMt-ScW2uW3g_19_0"/>
      <w:bookmarkStart w:id="1149" w:name="Tc_G2h8RccttUmTxyBpqfhzkA_18_0"/>
      <w:bookmarkStart w:id="1150" w:name="Tc_Df0oFnrgd0a4MFoXiejN8Q_17_0"/>
      <w:bookmarkStart w:id="1151" w:name="Tc_pm-MLMfXp0ytstIsFWvYag_16_0"/>
      <w:bookmarkStart w:id="1152" w:name="Tc_1ytPKSULWky8j3ettP1BMw_15_10"/>
      <w:bookmarkStart w:id="1153" w:name="Tc_Gdjcig-e60O3XLBsVwtl_g_15_9"/>
      <w:bookmarkStart w:id="1154" w:name="Tc_xOGk7EpCB0u0NsUoGPMkAQ_15_8"/>
      <w:bookmarkStart w:id="1155" w:name="Tc_FJwyPxZFqka1ahkTr97BzQ_15_0"/>
      <w:bookmarkStart w:id="1156" w:name="Tc__jYO1Rq9T0WZFmdRacSwHA_14_10"/>
      <w:bookmarkStart w:id="1157" w:name="Tc_-2xzKdoEx0-6_QyWo_5K0A_14_9"/>
      <w:bookmarkStart w:id="1158" w:name="Tc_lJN-6b1PSEuPSoQdXMV7lg_14_8"/>
      <w:bookmarkStart w:id="1159" w:name="Tc_bpOc2_jREEmLvwaQ3RhGYQ_14_0"/>
      <w:bookmarkStart w:id="1160" w:name="Tc_jjmpO7VoUEeIMf6sOxX34g_13_10"/>
      <w:bookmarkStart w:id="1161" w:name="Tc_jkO3UJnXpkeabQKthVfkcg_13_9"/>
      <w:bookmarkStart w:id="1162" w:name="Tc_RMBBVjQqjUSwGT5qxOp_VQ_13_8"/>
      <w:bookmarkStart w:id="1163" w:name="Tc_jaxPzWJrzU2IgPgyBM78cA_13_0"/>
      <w:bookmarkStart w:id="1164" w:name="Tc_jSVYHcs5NkGE5A3LRl2dGw_12_10"/>
      <w:bookmarkStart w:id="1165" w:name="Tc_0j81Luq95EOT2hnCEyG16g_12_9"/>
      <w:bookmarkStart w:id="1166" w:name="Tc_SjZHvzF5QECg8opgBfKx-w_12_0"/>
      <w:bookmarkStart w:id="1167" w:name="Tc_ZcjR-nOVeEKubZ_Rigo6uw_11_10"/>
      <w:bookmarkStart w:id="1168" w:name="Tc_PbTREF7QskSk57JVuTjCuw_11_9"/>
      <w:bookmarkStart w:id="1169" w:name="Tc_5kpxASvCjkCKH_LN9M-W1Q_11_0"/>
      <w:bookmarkStart w:id="1170" w:name="Tc_PbjmAkATOkOS10SG48WuGQ_10_10"/>
      <w:bookmarkStart w:id="1171" w:name="Tc_lYxd1g5-XkuKrSC9XKGMgQ_10_9"/>
      <w:bookmarkStart w:id="1172" w:name="Tc_UQQJhtlXsUOQSmMKR3vzqA_10_0"/>
      <w:bookmarkStart w:id="1173" w:name="Tc_k4Nb_c9MOkWUbhfbBRWC6w_9_10"/>
      <w:bookmarkStart w:id="1174" w:name="Tc_R2npSeuoVE2tQCPaUJdEWg_9_9"/>
      <w:bookmarkStart w:id="1175" w:name="Tc_mu55ax5PC0ugyQ9FMGJOqw_9_0"/>
      <w:bookmarkStart w:id="1176" w:name="Tc_O0O6y7evbE23zG6cmDg75w_8_10"/>
      <w:bookmarkStart w:id="1177" w:name="Tc_zMAKWhJNr0yNAxrmF544oA_8_9"/>
      <w:bookmarkStart w:id="1178" w:name="Tc_wuJzX-bPwEWbsDAtJFzKUQ_8_0"/>
      <w:bookmarkStart w:id="1179" w:name="Tc_ys6RkJBgsESjQ5dbQ64fIg_7_10"/>
      <w:bookmarkStart w:id="1180" w:name="Tc_K2iPwMJ0HUWOJ5zBe8N2Dw_7_9"/>
      <w:bookmarkStart w:id="1181" w:name="Tc_yEnLD8WuBUqZT6fSg1c2Xw_7_0"/>
      <w:bookmarkStart w:id="1182" w:name="Tc_A0fUwJPp4EeX4-xXY3Ia9w_6_0"/>
      <w:bookmarkStart w:id="1183" w:name="Tc_wDy5QJWR702fP1fR_mFp9g_5_0"/>
      <w:bookmarkStart w:id="1184" w:name="Tc_nfZXbPb6dUuDiV4z0CvDcg_4_10"/>
      <w:bookmarkStart w:id="1185" w:name="Tc_ctTZ8E9hy0aVjMP-REs0xQ_4_9"/>
      <w:bookmarkStart w:id="1186" w:name="Tc_SgZ8oFhdEUKg8XB6TmPEJQ_4_5"/>
      <w:bookmarkStart w:id="1187" w:name="Tc_xy9FZR0Rwkq6rp7-6ETJOQ_4_2"/>
      <w:bookmarkStart w:id="1188" w:name="Tc_QLZAd5CRa0elDW82QtBsbQ_4_0"/>
      <w:bookmarkStart w:id="1189" w:name="Tc_t_u4fBTISEy-WQ4w9LHlVQ_3_0"/>
      <w:bookmarkStart w:id="1190" w:name="Tc_8ygiczXUok-TEGSZAGfnTw_2_10"/>
      <w:bookmarkStart w:id="1191" w:name="Tc_OfdkLbrffU6aLSVCY9CTfw_2_8"/>
      <w:bookmarkStart w:id="1192" w:name="Tc_KxPRdq-Kq0arqLCJidK6ow_2_5"/>
      <w:bookmarkStart w:id="1193" w:name="Tc_4rKoMkrHPkmlzAQhhOLmUw_2_2"/>
      <w:bookmarkStart w:id="1194" w:name="Tc_msqzF-dpcESbbhaAYBsKEw_1_10"/>
      <w:bookmarkStart w:id="1195" w:name="Tc_ogYIuloGS0uICX_u-KYMKQ_1_8"/>
      <w:bookmarkStart w:id="1196" w:name="Tc_BrV6ZPQ8Ikmld_J506fgXQ_1_2"/>
      <w:bookmarkStart w:id="1197" w:name="_d5a696c1_6bce_4493_b43a_43918cc92f5f"/>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Pr>
          <w:rFonts w:ascii="Times New Roman;Times;serif" w:hAnsi="Times New Roman;Times;serif"/>
          <w:b/>
          <w:sz w:val="20"/>
        </w:rPr>
        <w:t>Note 10—Debt Obligations,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outstanding debt obligations consist of the following ($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09"/>
        <w:gridCol w:w="346"/>
        <w:gridCol w:w="241"/>
        <w:gridCol w:w="1020"/>
        <w:gridCol w:w="346"/>
        <w:gridCol w:w="287"/>
        <w:gridCol w:w="1214"/>
        <w:gridCol w:w="346"/>
        <w:gridCol w:w="1042"/>
        <w:gridCol w:w="346"/>
        <w:gridCol w:w="2008"/>
      </w:tblGrid>
      <w:tr>
        <w:trPr/>
        <w:tc>
          <w:tcPr>
            <w:tcW w:w="3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910715" cy="175260"/>
                      <wp:effectExtent l="0" t="0" r="0" b="0"/>
                      <wp:wrapNone/>
                      <wp:docPr id="377" name="Frame377"/>
                      <a:graphic xmlns:a="http://schemas.openxmlformats.org/drawingml/2006/main">
                        <a:graphicData uri="http://schemas.microsoft.com/office/word/2010/wordprocessingShape">
                          <wps:wsp>
                            <wps:cNvSpPr txBox="1"/>
                            <wps:spPr>
                              <a:xfrm>
                                <a:off x="0" y="0"/>
                                <a:ext cx="191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3035" cy="175260"/>
                      <wp:effectExtent l="0" t="0" r="0" b="0"/>
                      <wp:wrapNone/>
                      <wp:docPr id="379" name="Frame37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7700" cy="175260"/>
                      <wp:effectExtent l="0" t="0" r="0" b="0"/>
                      <wp:wrapNone/>
                      <wp:docPr id="380" name="Frame380"/>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82245" cy="175260"/>
                      <wp:effectExtent l="0" t="0" r="0" b="0"/>
                      <wp:wrapNone/>
                      <wp:docPr id="382" name="Frame38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70890" cy="175260"/>
                      <wp:effectExtent l="0" t="0" r="0" b="0"/>
                      <wp:wrapNone/>
                      <wp:docPr id="383" name="Frame383"/>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61670" cy="175260"/>
                      <wp:effectExtent l="0" t="0" r="0" b="0"/>
                      <wp:wrapNone/>
                      <wp:docPr id="385" name="Frame38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75080" cy="175260"/>
                      <wp:effectExtent l="0" t="0" r="0" b="0"/>
                      <wp:wrapNone/>
                      <wp:docPr id="387" name="Frame387"/>
                      <a:graphic xmlns:a="http://schemas.openxmlformats.org/drawingml/2006/main">
                        <a:graphicData uri="http://schemas.microsoft.com/office/word/2010/wordprocessingShape">
                          <wps:wsp>
                            <wps:cNvSpPr txBox="1"/>
                            <wps:spPr>
                              <a:xfrm>
                                <a:off x="0" y="0"/>
                                <a:ext cx="1275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10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20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30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042"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200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(2)</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Secured credit financing:</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08" w:type="dxa"/>
            <w:tcBorders/>
            <w:shd w:fill="CCEEFF" w:val="clear"/>
            <w:vAlign w:val="center"/>
          </w:tcPr>
          <w:p>
            <w:pPr>
              <w:pStyle w:val="TableContents"/>
              <w:bidi w:val="0"/>
              <w:spacing w:before="0" w:after="1"/>
              <w:ind w:left="0" w:right="0" w:hanging="0"/>
              <w:jc w:val="right"/>
              <w:rPr/>
            </w:pPr>
            <w:r>
              <w:rPr/>
              <w:t>  ​</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Mortgages</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200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August 2027 to November 2069</w:t>
            </w:r>
          </w:p>
        </w:tc>
      </w:tr>
      <w:tr>
        <w:trPr/>
        <w:tc>
          <w:tcPr>
            <w:tcW w:w="30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secured credit financing</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08" w:type="dxa"/>
            <w:tcBorders/>
            <w:shd w:fill="CCEEFF" w:val="clear"/>
            <w:vAlign w:val="center"/>
          </w:tcPr>
          <w:p>
            <w:pPr>
              <w:pStyle w:val="TableContents"/>
              <w:bidi w:val="0"/>
              <w:spacing w:before="0" w:after="1"/>
              <w:ind w:left="0" w:right="0" w:hanging="0"/>
              <w:jc w:val="right"/>
              <w:rPr/>
            </w:pPr>
            <w:r>
              <w:rPr/>
              <w:t>  ​</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Unsecured financing:</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8" w:type="dxa"/>
            <w:tcBorders/>
            <w:vAlign w:val="center"/>
          </w:tcPr>
          <w:p>
            <w:pPr>
              <w:pStyle w:val="TableContents"/>
              <w:bidi w:val="0"/>
              <w:spacing w:before="0" w:after="1"/>
              <w:ind w:left="0" w:right="0" w:hanging="0"/>
              <w:jc w:val="right"/>
              <w:rPr/>
            </w:pPr>
            <w:r>
              <w:rPr/>
              <w:t>​</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2.80%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2031</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2.85% senior notes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2032</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6.10%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2034</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5.65% senior notes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2035</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3.98%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February 2052</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5.15% senior notes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164,478</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164,478</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2052</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Unsecured Revolver</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780,000</w:t>
            </w:r>
          </w:p>
        </w:tc>
        <w:tc>
          <w:tcPr>
            <w:tcW w:w="346"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2029</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2025 Unsecured Term Loan</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200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November 2030</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Trust preferred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Adjusted SOFR </w:t>
              <w:br/>
              <w:t>plus 1.50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0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2035</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unsecured financing</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3,479,478</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3,369,478</w:t>
            </w:r>
          </w:p>
        </w:tc>
        <w:tc>
          <w:tcPr>
            <w:tcW w:w="346"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8" w:type="dxa"/>
            <w:tcBorders/>
            <w:vAlign w:val="center"/>
          </w:tcPr>
          <w:p>
            <w:pPr>
              <w:pStyle w:val="TableContents"/>
              <w:bidi w:val="0"/>
              <w:spacing w:before="0" w:after="1"/>
              <w:ind w:left="0" w:right="0" w:hanging="0"/>
              <w:jc w:val="center"/>
              <w:rPr/>
            </w:pPr>
            <w:r>
              <w:rPr/>
              <w:t>​</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4,750,591</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4,640,591</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08" w:type="dxa"/>
            <w:tcBorders/>
            <w:shd w:fill="CCEEFF" w:val="clear"/>
            <w:vAlign w:val="center"/>
          </w:tcPr>
          <w:p>
            <w:pPr>
              <w:pStyle w:val="TableContents"/>
              <w:bidi w:val="0"/>
              <w:spacing w:before="0" w:after="1"/>
              <w:ind w:left="0" w:right="0" w:hanging="0"/>
              <w:jc w:val="right"/>
              <w:rPr/>
            </w:pPr>
            <w:r>
              <w:rPr/>
              <w:t>  ​</w:t>
            </w:r>
          </w:p>
        </w:tc>
      </w:tr>
      <w:tr>
        <w:trPr/>
        <w:tc>
          <w:tcPr>
            <w:tcW w:w="30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premium, discount and deferred financing costs, net</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(53,725)</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(54,704)</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08" w:type="dxa"/>
            <w:tcBorders/>
            <w:vAlign w:val="center"/>
          </w:tcPr>
          <w:p>
            <w:pPr>
              <w:pStyle w:val="TableContents"/>
              <w:bidi w:val="0"/>
              <w:spacing w:before="0" w:after="1"/>
              <w:ind w:left="0" w:right="0" w:hanging="0"/>
              <w:jc w:val="right"/>
              <w:rPr/>
            </w:pPr>
            <w:r>
              <w:rPr/>
              <w:t>  ​</w:t>
            </w:r>
          </w:p>
        </w:tc>
      </w:tr>
      <w:tr>
        <w:trPr/>
        <w:tc>
          <w:tcPr>
            <w:tcW w:w="300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4,696,866</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08" w:type="dxa"/>
            <w:tcBorders/>
            <w:shd w:fill="CCEEFF" w:val="clear"/>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mortgages, represents the weighted average stated interest rate over the term of the debt from funding through maturity based on the contractual payments owed excluding the effect of debt premium, discount and deferred financing costs. As of March 31, 2026, the weighted average cash interest rate for the Company’s consolidated mortgage debt, based on interest rates in effect at that date, was 3.40%. The difference between the weighted average interest rate and the weighted average cash interest rate is recorded to interest payable within “Accounts payable, accrued expenses, and other liabilities” on the Company’s consolidated balance sheets. As of March 31, 2026, the Company’s combined weighted average stated interest rate and combined weighted average cash interest rate of the Company’s consolidated mortgage debt, the mortgage debt of the Company’s unconsolidated ventures (applying the Company’s percentage interest in the ventures - refer to Note 8), unsecured senior notes, 2025 Unsecured Term Loan and trust preferred securities were 4.24%</w:t>
            </w:r>
            <w:r>
              <w:rPr>
                <w:caps w:val="false"/>
                <w:smallCaps w:val="false"/>
              </w:rPr>
              <w:t xml:space="preserve"> </w:t>
            </w:r>
            <w:r>
              <w:rPr>
                <w:rFonts w:ascii="Times New Roman;Times;serif" w:hAnsi="Times New Roman;Times;serif"/>
                <w:b w:val="false"/>
                <w:i w:val="false"/>
                <w:caps w:val="false"/>
                <w:smallCaps w:val="false"/>
                <w:sz w:val="16"/>
              </w:rPr>
              <w:t xml:space="preserve">and 3.90%, respectively. </w:t>
            </w:r>
          </w:p>
        </w:tc>
      </w:tr>
    </w:tbl>
    <w:tbl>
      <w:tblPr>
        <w:tblW w:w="4772" w:type="dxa"/>
        <w:jc w:val="left"/>
        <w:tblInd w:w="0" w:type="dxa"/>
        <w:tblLayout w:type="fixed"/>
        <w:tblCellMar>
          <w:top w:w="0" w:type="dxa"/>
          <w:left w:w="0" w:type="dxa"/>
          <w:bottom w:w="0" w:type="dxa"/>
          <w:right w:w="0" w:type="dxa"/>
        </w:tblCellMar>
      </w:tblPr>
      <w:tblGrid>
        <w:gridCol w:w="331"/>
        <w:gridCol w:w="44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extended maturity date for all debt obligations.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$1.8</w:t>
            </w:r>
            <w:r>
              <w:rPr>
                <w:caps w:val="false"/>
                <w:smallCaps w:val="false"/>
              </w:rPr>
              <w:t> </w:t>
            </w:r>
            <w:r>
              <w:rPr>
                <w:rFonts w:ascii="Times New Roman;Times;serif" w:hAnsi="Times New Roman;Times;serif"/>
                <w:b w:val="false"/>
                <w:i w:val="false"/>
                <w:caps w:val="false"/>
                <w:smallCaps w:val="false"/>
                <w:sz w:val="16"/>
              </w:rPr>
              <w:t>billion of real estate, at cost, net investment in sales-type leases and Ground Lease receivables served as collateral for the Company’s debt obligations.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Mortgages</w:t>
      </w:r>
      <w:r>
        <w:rPr>
          <w:rFonts w:ascii="Times New Roman;Times;serif" w:hAnsi="Times New Roman;Times;serif"/>
          <w:sz w:val="20"/>
        </w:rPr>
        <w:t xml:space="preserve">—Mortgages consist of asset specific non-recourse borrowings that are secured by the Company’s real estate and Ground Leases. As of March 31, 2026, the Company’s mortgages are full term interest only, bear interest at a weighted average interest rate of 4.03% and have maturities between August 2027 and November 2069.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Unsecured Notes</w:t>
      </w:r>
      <w:r>
        <w:rPr>
          <w:rFonts w:ascii="Times New Roman;Times;serif" w:hAnsi="Times New Roman;Times;serif"/>
          <w:sz w:val="20"/>
        </w:rPr>
        <w:t xml:space="preserve">—In May 2021, Portfolio Holdings, then known as Safehold Operating Partnership LP, (as issuer) and the Company (as guarantor), issued $400.0 million aggregate principal amount of 2.80% senior notes due June 2031 (the “2.80% Notes”). The 2.80% Notes were issued at 99.127% of par. The Company may redeem the 2.80% Notes in whole at any time or in part from time to time prior to March 15, 2031, at the Company’s option and sole discretion, at a redemption price equal to the greater of: (i) 100% of the principal amount of the 2.80% Notes being redeemed; and (ii) a make-whole premium calculated in accordance with the indenture, plus, in each case, accrued and unpaid interest thereon to, but not including, the applicable redemption date. If the 2.80% Notes are redeemed on or after March 15, 2031,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redemption price will be equal to 100% of the principal amount of the 2.80%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2021, Portfolio Holdings, then known as Safehold Operating Partnership LP, (as issuer) and the Company (as guarantor), issued $350.0 million aggregate principal amount of 2.85% senior notes due January 2032 (the “2.85% Notes”). The 2.85% Notes were issued at 99.123% of par. The Company may redeem the 2.85% Notes in whole at any time or in part from time to time prior to October 15, 2031, at the Company’s option and sole discretion, at a redemption price equal to the greater of: (i) 100% of the principal amount of the 2.85% Notes being redeemed; and (ii) a make-whole premium calculated in accordance with the indenture, plus, in each case, accrued and unpaid interest thereon to, but not including, the applicable redemption date. If the 2.85% Notes are redeemed on or after October 15, 2031, the redemption price will be equal to 100% of the principal amount of the 2.85% Notes being redeemed, plus accrued and unpaid interest thereon to, but not including, the applicable redemption date.</w:t>
      </w:r>
    </w:p>
    <w:p>
      <w:pPr>
        <w:pStyle w:val="TextBody"/>
        <w:bidi w:val="0"/>
        <w:spacing w:before="0" w:after="0"/>
        <w:ind w:left="0" w:right="0" w:firstLine="81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January 2022, Portfolio Holdings, then known as Safehold Operating Partnership LP, (as issuer) and the Company (as guarantor), issued $475.0 million aggregate principal amount of privately-placed 3.98% senior notes due February 2052 (the “3.98% Notes”). </w:t>
      </w:r>
      <w:r>
        <w:rPr>
          <w:rFonts w:ascii="Times New Roman;Times;serif" w:hAnsi="Times New Roman;Times;serif"/>
          <w:sz w:val="20"/>
          <w:shd w:fill="FFFFFF" w:val="clear"/>
        </w:rPr>
        <w:t>Safehold Operating Partnership LP elected to draw these funds in March 2022.</w:t>
      </w:r>
      <w:r>
        <w:rPr>
          <w:rFonts w:ascii="Times New Roman;Times;serif" w:hAnsi="Times New Roman;Times;serif"/>
          <w:sz w:val="20"/>
        </w:rPr>
        <w:t xml:space="preserve"> The Company may, at its option, prepay at any time all, or from time to time any part of, the 3.98% Notes, in an amount not less than 5% of the aggregate principal amount of the 3.98% Notes then outstanding in the case of a partial prepayment, at 100% of the principal amount so prepaid, and the applicable make-whole amount calculated in accordance with the indenture, for such tranche determined for the prepayment date with respect to such principal amount; provided, that, so long as no default or event of default shall then exist, at any time on or after November 15, 2051, the Company may, at its option, prepay all or any part of the 3.98%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2022, Portfolio Holdings, then known as Safehold Operating Partnership LP, (as issuer) and the Company (as guarantor), issued $150.0 million aggregate principal amount of privately-placed 5.15% senior notes due May 2052 (the “5.15% Notes”). The structure of the 5.15% Notes features a stairstep coupon rate in which the Company will pay cash interest at a rate of 2.50% in years 1 through 10, 3.75% in years 11 through 20, and 5.15% in years 21 through 30. The difference between the 5.15% stated rate and the cash interest rate will accrue in each semi-annual payment period and be paid in kind by adding such accrued interest to the outstanding principal balance, to be repaid at maturity in May 2052. The Company may, at its option, prepay at any time all, or from time to time any part of, the 5.15% Notes, in an amount not less than 5% of the aggregate principal amount of the 5.15%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February 13, 2052, the Company may, at its option, prepay all or any part of the 5.15%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2024, Portfolio Holdings (as issuer) and the Company (as guarantor) issued $300.0 million aggregate principal amount of 6.10% senior notes due April 2034 (the “6.10% Notes”). The 6.10% Notes were issued at 98.957% of the principal amount. The Company may redeem the 6.10% Notes in whole at any time or in part from time to time prior to January 1, 2034, at the Company’s option and sole discretion, at a redemption price equal to the greater of: (i) 100% of the principal amount of the 6.10% Notes being redeemed; and (ii) a make-whole premium calculated in accordance with the indenture, plus, in each case, accrued and unpaid interest thereon to, but not including, the applicable redemption date. If the 6.10% Notes are redeemed on or after January 1, 2034, the redemption price will be equal to 100% of the principal amount of the 6.10%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November 2024, Portfolio Holdings (as issuer) and the Company (as guarantor) issued $</w:t>
      </w:r>
      <w:r>
        <w:rPr>
          <w:rFonts w:ascii="Times New Roman;Times;serif" w:hAnsi="Times New Roman;Times;serif"/>
          <w:sz w:val="20"/>
        </w:rPr>
        <w:t>400.0</w:t>
      </w:r>
      <w:r>
        <w:rPr>
          <w:rFonts w:ascii="Times New Roman;Times;serif" w:hAnsi="Times New Roman;Times;serif"/>
          <w:sz w:val="20"/>
          <w:shd w:fill="FFFFFF" w:val="clear"/>
        </w:rPr>
        <w:t> million aggregate principal amount of </w:t>
      </w:r>
      <w:r>
        <w:rPr>
          <w:rFonts w:ascii="Times New Roman;Times;serif" w:hAnsi="Times New Roman;Times;serif"/>
          <w:sz w:val="20"/>
        </w:rPr>
        <w:t>5.65%</w:t>
      </w:r>
      <w:r>
        <w:rPr>
          <w:rFonts w:ascii="Times New Roman;Times;serif" w:hAnsi="Times New Roman;Times;serif"/>
          <w:sz w:val="20"/>
          <w:shd w:fill="FFFFFF" w:val="clear"/>
        </w:rPr>
        <w:t xml:space="preserve"> senior notes due January 2035 (the “</w:t>
      </w:r>
      <w:r>
        <w:rPr>
          <w:rFonts w:ascii="Times New Roman;Times;serif" w:hAnsi="Times New Roman;Times;serif"/>
          <w:sz w:val="20"/>
        </w:rPr>
        <w:t>5.65%</w:t>
      </w:r>
      <w:r>
        <w:rPr>
          <w:rFonts w:ascii="Times New Roman;Times;serif" w:hAnsi="Times New Roman;Times;serif"/>
          <w:sz w:val="20"/>
          <w:shd w:fill="FFFFFF" w:val="clear"/>
        </w:rPr>
        <w:t xml:space="preserve"> Notes”). The </w:t>
      </w:r>
      <w:r>
        <w:rPr>
          <w:rFonts w:ascii="Times New Roman;Times;serif" w:hAnsi="Times New Roman;Times;serif"/>
          <w:sz w:val="20"/>
        </w:rPr>
        <w:t>5.65%</w:t>
      </w:r>
      <w:r>
        <w:rPr>
          <w:rFonts w:ascii="Times New Roman;Times;serif" w:hAnsi="Times New Roman;Times;serif"/>
          <w:sz w:val="20"/>
          <w:shd w:fill="FFFFFF" w:val="clear"/>
        </w:rPr>
        <w:t xml:space="preserve"> Notes were issued at </w:t>
      </w:r>
      <w:r>
        <w:rPr>
          <w:rFonts w:ascii="Times New Roman;Times;serif" w:hAnsi="Times New Roman;Times;serif"/>
          <w:sz w:val="20"/>
        </w:rPr>
        <w:t>98.812%</w:t>
      </w:r>
      <w:r>
        <w:rPr>
          <w:rFonts w:ascii="Times New Roman;Times;serif" w:hAnsi="Times New Roman;Times;serif"/>
          <w:sz w:val="20"/>
          <w:shd w:fill="FFFFFF" w:val="clear"/>
        </w:rPr>
        <w:t xml:space="preserve"> of the principal amount. The Company may redeem the </w:t>
      </w:r>
      <w:r>
        <w:rPr>
          <w:rFonts w:ascii="Times New Roman;Times;serif" w:hAnsi="Times New Roman;Times;serif"/>
          <w:sz w:val="20"/>
        </w:rPr>
        <w:t>5.65%</w:t>
      </w:r>
      <w:r>
        <w:rPr>
          <w:rFonts w:ascii="Times New Roman;Times;serif" w:hAnsi="Times New Roman;Times;serif"/>
          <w:sz w:val="20"/>
          <w:shd w:fill="FFFFFF" w:val="clear"/>
        </w:rPr>
        <w:t xml:space="preserve"> Notes in whole at any time or in part from time to time prior to October 15, 2034, at the Company’s option and sole discretion, at a redemption price equal to the greater of: (i)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and (ii) a make-whole premium calculated in accordance with the indenture, plus, in each case, accrued and unpaid interest thereon to, but not including, the applicable redemption date. If the </w:t>
      </w:r>
      <w:r>
        <w:rPr>
          <w:rFonts w:ascii="Times New Roman;Times;serif" w:hAnsi="Times New Roman;Times;serif"/>
          <w:sz w:val="20"/>
        </w:rPr>
        <w:t>5.65%</w:t>
      </w:r>
      <w:r>
        <w:rPr>
          <w:rFonts w:ascii="Times New Roman;Times;serif" w:hAnsi="Times New Roman;Times;serif"/>
          <w:sz w:val="20"/>
          <w:shd w:fill="FFFFFF" w:val="clear"/>
        </w:rPr>
        <w:t xml:space="preserve"> Notes are redeemed on or after October 15, 2034, the redemption price will be equal to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2024 Unsecured Revolver</w:t>
      </w:r>
      <w:r>
        <w:rPr>
          <w:rFonts w:ascii="Times New Roman;Times;serif" w:hAnsi="Times New Roman;Times;serif"/>
          <w:sz w:val="20"/>
        </w:rPr>
        <w:t xml:space="preserve">—In April 2024, the Company entered into a $2.0 billion unsecured revolving credit facility (the “2024 Unsecured Revolver”). At the time, $916 million of existing indebtedness was drawn on then existing unsecured credit facilities, all of which rolled over into the 2024 Unsecured Revolver. The 2024 Unsecured Revolver has an extended maturity date of May 1, 2029, which includes two six-month extension options. On September 12, 2025, the Company entered into an amendment to the 2024 Unsecured Revolver that modified the applicable interest rate thereunder by removing the credit spread adjustment to SOFR. As a result of that amendment, the 2024 Unsecured Revolver has a borrowing rate of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rPr>
        <w:t xml:space="preserve"> plus 0.85%, subject to the Company’s credit ratings. The Company also pays a facility fee of 0.10%, subject to the Company’s credit ratings. As of March 31, 2026, there was $1.1 billion of undrawn capacity on the 2024 Unsecured Revolver.</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2025 Unsecured Term Loan</w:t>
      </w:r>
      <w:r>
        <w:rPr>
          <w:rFonts w:ascii="Times New Roman;Times;serif" w:hAnsi="Times New Roman;Times;serif"/>
          <w:sz w:val="20"/>
        </w:rPr>
        <w:t xml:space="preserve">—In November 2025, the Company entered into a $400.0 million unsecured term loan (the “2025 Unsecured Term Loan”). </w:t>
      </w:r>
      <w:r>
        <w:rPr>
          <w:rFonts w:ascii="Times New Roman;Times;serif" w:hAnsi="Times New Roman;Times;serif"/>
          <w:sz w:val="20"/>
          <w:shd w:fill="FFFFFF" w:val="clear"/>
        </w:rPr>
        <w:t xml:space="preserve">The 2025 Unsecured Term Loan has an extended maturity date of November 15, 2030, inclusive of two one-year extension options. The 2025 Unsecured Term Loan has a borrowing rate of SOFR plus 0.90%, </w:t>
      </w:r>
      <w:r>
        <w:rPr>
          <w:rFonts w:ascii="Times New Roman;Times;serif" w:hAnsi="Times New Roman;Times;serif"/>
          <w:sz w:val="20"/>
        </w:rPr>
        <w:t>subject to the Company’s credit ratings.</w:t>
      </w:r>
      <w:r>
        <w:rPr>
          <w:rFonts w:ascii="Times New Roman;Times;serif" w:hAnsi="Times New Roman;Times;serif"/>
          <w:sz w:val="20"/>
          <w:shd w:fill="FFFFFF" w:val="clear"/>
        </w:rPr>
        <w:t xml:space="preserve"> </w:t>
      </w:r>
      <w:r>
        <w:rPr>
          <w:rFonts w:ascii="Times New Roman;Times;serif" w:hAnsi="Times New Roman;Times;serif"/>
          <w:sz w:val="20"/>
        </w:rPr>
        <w:t>The 2025 Unsecured Term Loan also includes an accordion feature to increase the loan up to a maximum amount of $600.0 million, subject to certain conditions.</w:t>
      </w:r>
    </w:p>
    <w:p>
      <w:pPr>
        <w:pStyle w:val="TextBody"/>
        <w:shd w:fill="FFFFFF" w:val="clear"/>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Trust Preferred Securities</w:t>
      </w:r>
      <w:r>
        <w:rPr>
          <w:rFonts w:ascii="Times New Roman;Times;serif" w:hAnsi="Times New Roman;Times;serif"/>
          <w:sz w:val="20"/>
        </w:rPr>
        <w:t xml:space="preserve">—The Company assumed trust preferred securities from iStar in connection with the Merger. The trust preferred securities bear interest at </w:t>
      </w:r>
      <w:r>
        <w:rPr>
          <w:rFonts w:ascii="Times New Roman;Times;serif" w:hAnsi="Times New Roman;Times;serif"/>
          <w:sz w:val="20"/>
          <w:shd w:fill="FFFFFF" w:val="clear"/>
        </w:rPr>
        <w:t xml:space="preserve">three-month Adjusted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1.50% and mature in October 2035.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Commercial Paper Program</w:t>
      </w:r>
      <w:r>
        <w:rPr>
          <w:rFonts w:ascii="Times New Roman;Times;serif" w:hAnsi="Times New Roman;Times;serif"/>
          <w:sz w:val="20"/>
        </w:rPr>
        <w:t>— In June 2024, Portfolio Holdings, as issuer, entered into a new U.S. commercial paper program (the “Commercial Paper Program”) on a private placement basis, pursuant to which the Company may issue up to $750.0 million of short-term, unsecured commercial paper notes outstanding at any time, which are guaranteed by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Commercial Paper Program, the Company may issue the commercial paper notes from time to time and will use the proceeds for general corporate purposes. The Commercial Paper Program is backed by the Company’s 2024 Unsecured Revolver. The commercial paper notes will be sold under customary terms in the commercial paper market and will rank pari passu with all of Portfolio Holding’s other unsecured senior indebtedness. The interest rates will vary based on the ratings assigned to the commercial paper notes by credit rating agencies and market conditions at the time of issuance. As of March 31, 2026, the Company had no outstanding balance under the Commercial Paper Program. Borrowings reduce amounts otherwise available under the 2024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documents governing the Commercial Paper Program contain customary representations, warranties, covenants, defaults and indemnification provisions, and provide the terms under which the Notes will be sold pursuant to an exemption from the federal and state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198" w:name="Tc__s478zcdaEOQWvWyfhDMUQ_10_8"/>
      <w:bookmarkStart w:id="1199" w:name="Tc_3yDaxjBj-U-EamsssoCM5g_10_5"/>
      <w:bookmarkStart w:id="1200" w:name="Tc_0gNUkPquOEytKGqwBd8xAQ_10_2"/>
      <w:bookmarkStart w:id="1201" w:name="Tc_s5yIVtUpiEGLtjTxAdFRnA_10_0"/>
      <w:bookmarkStart w:id="1202" w:name="Tc_cQ9NIJoJWUe9542gWIly2A_9_0"/>
      <w:bookmarkStart w:id="1203" w:name="Tc_G-AUU6L8GUezk8O1TLeQDA_8_0"/>
      <w:bookmarkStart w:id="1204" w:name="Tc_dJfY9D98602GIyclcv12MA_7_0"/>
      <w:bookmarkStart w:id="1205" w:name="Tc_ln9Po2CuA0Gfw1Njy0mnOw_6_3"/>
      <w:bookmarkStart w:id="1206" w:name="Tc_tXnDcUUdTUO-aXraGXvlkg_6_0"/>
      <w:bookmarkStart w:id="1207" w:name="Tc_j-amPl7QoUqkET8NMxjKkg_5_3"/>
      <w:bookmarkStart w:id="1208" w:name="Tc_PfD8PCelR0e-nsolm9lpkA_5_0"/>
      <w:bookmarkStart w:id="1209" w:name="Tc_LvMz_CKd6E-ewL43yP3eBQ_4_6"/>
      <w:bookmarkStart w:id="1210" w:name="Tc_AuCdA6RIPEawAx4xoiUf3A_4_0"/>
      <w:bookmarkStart w:id="1211" w:name="Tc_srIGCsbkU0SLYKylE4OeSQ_3_6"/>
      <w:bookmarkStart w:id="1212" w:name="Tc_4TQRTld_A0STgPi2lxHJJg_3_0"/>
      <w:bookmarkStart w:id="1213" w:name="Tc_m6HclrVUiU-u8G8Q-fG0bQ_2_9"/>
      <w:bookmarkStart w:id="1214" w:name="Tc_YbaEzdvgrkq-yWzGhWYAVg_2_8"/>
      <w:bookmarkStart w:id="1215" w:name="Tc_DPuGQVpb30Kgj2f0Q71pEg_2_6"/>
      <w:bookmarkStart w:id="1216" w:name="Tc_NctjKeTi60ajY65ixwuUWA_2_5"/>
      <w:bookmarkStart w:id="1217" w:name="Tc_67tnTm_E2EO0xrvTdNPJlg_2_3"/>
      <w:bookmarkStart w:id="1218" w:name="Tc_gtrD5ciPtESjP3gR4xbWNQ_2_2"/>
      <w:bookmarkStart w:id="1219" w:name="Tc_3qoiGZN_i0-FL0UoP2FH_A_2_0"/>
      <w:bookmarkStart w:id="1220" w:name="Tc_avyCu7Z5gkat30p1c2uwOg_1_8"/>
      <w:bookmarkStart w:id="1221" w:name="Tc_XEzr1qg3IUKygXFh7Ufytw_1_5"/>
      <w:bookmarkStart w:id="1222" w:name="Tc_-_8Q1YG3a0ONO0kfd7qHDA_1_2"/>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b/>
          <w:sz w:val="20"/>
        </w:rPr>
        <w:t>Debt Covenants</w:t>
      </w:r>
      <w:r>
        <w:rPr>
          <w:rFonts w:ascii="Times New Roman;Times;serif" w:hAnsi="Times New Roman;Times;serif"/>
          <w:sz w:val="20"/>
        </w:rPr>
        <w:t>—The Company is subject to financial covenants under the 2024 Unsecured Revolver and the 2025 Unsecured Term Loan, including maintaining: (i) a ratio of total unencumbered assets to total unsecured debt of at least 1.25x; (ii) a consolidated fixed charge coverage ratio of at least 1.15x, as such terms are defined in the documents governing the 2024 Unsecured Revolver and 2025 Unsecured Term Loan, as applicable; and (iii) limiting the incurrence of any secured debt that would cause the Company’s secured debt to total assets ratio to exceed 50%. In addition, the 2024 Unsecured Revolver and 2025 Unsecured Term Loan contain customary affirmative and negative covenants. Among other things, these covenants may restrict the Company or certain of its subsidiaries’ ability to incur additional debt or liens, engage in certain mergers, consolidations and other fundamental changes, make other investments or pay dividends. The Company’s 2.80% Notes, 2.85% Notes, 3.98% Notes, 5.15% Notes, 6.10% Notes and 5.65% Notes are subject to a financial covenant requiring a ratio of unencumbered assets to unsecured debt of at least 1.25x and contain customary affirmative and negative covenants. The Company’s 6.10% Notes and 5.65% Notes are also subject to a financial covenant limiting the incurrence of any secured debt that would cause the Company’s secured debt to total assets ratio to exceed 50%. The Company’s 3.98% Notes and 5.15% Notes contain a provision whereby they will be deemed to include additional financial covenants and negative covenants to the extent such covenants are incorporated into Portfolio Holdings’ and/or the Company’s existing or future material credit facilities, including the 2024 Unsecured Revolver, and to the extent such covenants are more favorable to the lenders under such material credit facilities than the covenants contained in the 3.98% Notes and 5.15% Notes. The Company’s mortgages contain no significant maintenance or ongoing financial covenants. As of March 31, 2026, the Company was in compliance with all of its financial covenants.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Future Scheduled Maturities</w:t>
      </w:r>
      <w:r>
        <w:rPr>
          <w:rFonts w:ascii="Times New Roman;Times;serif" w:hAnsi="Times New Roman;Times;serif"/>
          <w:sz w:val="20"/>
        </w:rPr>
        <w:t xml:space="preserve">—As of March 31, 2026, future scheduled maturities of outstanding debt obligations, assuming all extensions that can be exercised at the Company’s option, are as follows ($ in thousands): </w:t>
      </w:r>
    </w:p>
    <w:p>
      <w:pPr>
        <w:pStyle w:val="TextBody"/>
        <w:bidi w:val="0"/>
        <w:spacing w:before="0" w:after="0"/>
        <w:ind w:left="0" w:right="0" w:hanging="0"/>
        <w:jc w:val="left"/>
        <w:rPr/>
      </w:pPr>
      <w:r>
        <w:rPr/>
        <w:t>​</w:t>
      </w:r>
    </w:p>
    <w:tbl>
      <w:tblPr>
        <w:tblW w:w="9320" w:type="dxa"/>
        <w:jc w:val="left"/>
        <w:tblInd w:w="0" w:type="dxa"/>
        <w:tblLayout w:type="fixed"/>
        <w:tblCellMar>
          <w:top w:w="0" w:type="dxa"/>
          <w:left w:w="0" w:type="dxa"/>
          <w:bottom w:w="0" w:type="dxa"/>
          <w:right w:w="0" w:type="dxa"/>
        </w:tblCellMar>
      </w:tblPr>
      <w:tblGrid>
        <w:gridCol w:w="4741"/>
        <w:gridCol w:w="346"/>
        <w:gridCol w:w="211"/>
        <w:gridCol w:w="931"/>
        <w:gridCol w:w="346"/>
        <w:gridCol w:w="211"/>
        <w:gridCol w:w="931"/>
        <w:gridCol w:w="346"/>
        <w:gridCol w:w="211"/>
        <w:gridCol w:w="104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010535" cy="175260"/>
                      <wp:effectExtent l="0" t="0" r="0" b="0"/>
                      <wp:wrapNone/>
                      <wp:docPr id="388" name="Frame388"/>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1185" cy="175260"/>
                      <wp:effectExtent l="0" t="0" r="0" b="0"/>
                      <wp:wrapNone/>
                      <wp:docPr id="391" name="Frame3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91185" cy="175260"/>
                      <wp:effectExtent l="0" t="0" r="0" b="0"/>
                      <wp:wrapNone/>
                      <wp:docPr id="394" name="Frame3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64210" cy="175260"/>
                      <wp:effectExtent l="0" t="0" r="0" b="0"/>
                      <wp:wrapNone/>
                      <wp:docPr id="397" name="Frame39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Secured</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Unsecured</w:t>
            </w:r>
          </w:p>
        </w:tc>
        <w:tc>
          <w:tcPr>
            <w:tcW w:w="346" w:type="dxa"/>
            <w:tcBorders/>
            <w:vAlign w:val="center"/>
          </w:tcPr>
          <w:p>
            <w:pPr>
              <w:pStyle w:val="TableContents"/>
              <w:bidi w:val="0"/>
              <w:spacing w:before="0" w:after="1"/>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pPr>
            <w:r>
              <w:rPr/>
              <w:t>—</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1,181,920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2,189,478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3,371,398</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1,271,113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4,750,591</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premium, discount and deferred financing costs,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(53,725)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1,245,527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4,696,866</w:t>
            </w:r>
          </w:p>
        </w:tc>
      </w:tr>
    </w:tbl>
    <w:tbl>
      <w:tblPr>
        <w:tblW w:w="8027" w:type="dxa"/>
        <w:jc w:val="left"/>
        <w:tblInd w:w="0" w:type="dxa"/>
        <w:tblLayout w:type="fixed"/>
        <w:tblCellMar>
          <w:top w:w="0" w:type="dxa"/>
          <w:left w:w="0" w:type="dxa"/>
          <w:bottom w:w="0" w:type="dxa"/>
          <w:right w:w="0" w:type="dxa"/>
        </w:tblCellMar>
      </w:tblPr>
      <w:tblGrid>
        <w:gridCol w:w="331"/>
        <w:gridCol w:w="769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6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the Company’s weighted average maturity for its secured mortgages was 29.6</w:t>
            </w:r>
            <w:r>
              <w:rPr>
                <w:caps w:val="false"/>
                <w:smallCaps w:val="false"/>
              </w:rPr>
              <w:t> </w:t>
            </w:r>
            <w:r>
              <w:rPr>
                <w:rFonts w:ascii="Times New Roman;Times;serif" w:hAnsi="Times New Roman;Times;serif"/>
                <w:b w:val="false"/>
                <w:i w:val="false"/>
                <w:caps w:val="false"/>
                <w:smallCaps w:val="false"/>
                <w:sz w:val="16"/>
              </w:rPr>
              <w:t>years.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23" w:name="Tc_Js-wLMCsqkmMcLhV2LX1oQ_9_2"/>
      <w:bookmarkStart w:id="1224" w:name="Tc_zEhUVmxkXUmTzvWuu7GV_Q_9_0"/>
      <w:bookmarkStart w:id="1225" w:name="Tc_S3zDlaXoQkWXYMmlgeXqEw_8_0"/>
      <w:bookmarkStart w:id="1226" w:name="Tc_Ilg0ET4mZ0ukxjzl5BHHJA_7_0"/>
      <w:bookmarkStart w:id="1227" w:name="Tc_2OZz8O2Wv0mD8SFbQ5tR2Q_6_0"/>
      <w:bookmarkStart w:id="1228" w:name="Tc__ZuPllHbpkyLtslTQXagnw_5_0"/>
      <w:bookmarkStart w:id="1229" w:name="Tc_sf0oZ0ipy0OExPcjgLB7vw_4_0"/>
      <w:bookmarkStart w:id="1230" w:name="Tc_oniYr4iwTUmuVg_PUq_oTQ_3_0"/>
      <w:bookmarkStart w:id="1231" w:name="Tc_y8LcGZl0H0afKg22itU_jg_2_0"/>
      <w:bookmarkStart w:id="1232" w:name="Tc_TJMPKN7a_Eqq8LhvEkrX1w_1_2"/>
      <w:bookmarkStart w:id="1233" w:name="Tc_8bohvExFGkyP-FCHXQxn2w_1_0"/>
      <w:bookmarkStart w:id="1234" w:name="_d2d4aa27_7e36_4f02_af54_6d9c4db8d9ca"/>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b/>
          <w:sz w:val="20"/>
        </w:rPr>
        <w:t>Note 11—Commitments and Contingencies</w:t>
      </w:r>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b/>
          <w:sz w:val="20"/>
        </w:rPr>
        <w:t>Lease Commitments</w:t>
      </w:r>
      <w:r>
        <w:rPr>
          <w:rFonts w:ascii="Times New Roman;Times;serif" w:hAnsi="Times New Roman;Times;serif"/>
          <w:sz w:val="20"/>
        </w:rPr>
        <w:t>—Future minimum lease obligations under non-cancelable operating leases as of March 31, 2026 are as follows ($ in thousands):</w:t>
      </w:r>
      <w:r>
        <w:rPr>
          <w:rFonts w:ascii="Times New Roman;Times;serif" w:hAnsi="Times New Roman;Times;serif"/>
          <w:sz w:val="15"/>
        </w:rPr>
        <w:t xml:space="preserve">(1) </w:t>
      </w:r>
    </w:p>
    <w:tbl>
      <w:tblPr>
        <w:tblW w:w="3817" w:type="dxa"/>
        <w:jc w:val="left"/>
        <w:tblInd w:w="0" w:type="dxa"/>
        <w:tblLayout w:type="fixed"/>
        <w:tblCellMar>
          <w:top w:w="0" w:type="dxa"/>
          <w:left w:w="0" w:type="dxa"/>
          <w:bottom w:w="0" w:type="dxa"/>
          <w:right w:w="0" w:type="dxa"/>
        </w:tblCellMar>
      </w:tblPr>
      <w:tblGrid>
        <w:gridCol w:w="2761"/>
        <w:gridCol w:w="109"/>
        <w:gridCol w:w="211"/>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753235" cy="175260"/>
                      <wp:effectExtent l="0" t="0" r="0" b="0"/>
                      <wp:wrapNone/>
                      <wp:docPr id="398" name="Frame398"/>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67360" cy="175260"/>
                      <wp:effectExtent l="0" t="0" r="0" b="0"/>
                      <wp:wrapNone/>
                      <wp:docPr id="401" name="Frame40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w:t>
            </w:r>
          </w:p>
        </w:tc>
      </w:tr>
      <w:tr>
        <w:trPr/>
        <w:tc>
          <w:tcPr>
            <w:tcW w:w="27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10,779</w:t>
            </w:r>
          </w:p>
        </w:tc>
      </w:tr>
      <w:tr>
        <w:trPr/>
        <w:tc>
          <w:tcPr>
            <w:tcW w:w="27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Present value discount</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5,589</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cash flows that relate to a property that is majority-owned by a third party and is ground leased to the Company. The Company is obligated to pay the owner of the property $0.5</w:t>
            </w:r>
            <w:r>
              <w:rPr>
                <w:caps w:val="false"/>
                <w:smallCaps w:val="false"/>
              </w:rPr>
              <w:t> </w:t>
            </w:r>
            <w:r>
              <w:rPr>
                <w:rFonts w:ascii="Times New Roman;Times;serif" w:hAnsi="Times New Roman;Times;serif"/>
                <w:b w:val="false"/>
                <w:i w:val="false"/>
                <w:caps w:val="false"/>
                <w:smallCaps w:val="false"/>
                <w:sz w:val="16"/>
              </w:rPr>
              <w:t>million, subject to adjustment for changes in the CPI, per year through 2044.</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lease liability equals the present value of the minimum rental payments due under the lease discounted at the rate implicit in the lease or the Company’s incremental secured borrowing rate for similar collateral. For operating leases, lease liabilities were discounted at the Company’s weighted average incremental secured borrowing rate for similar collateral estimated to be 5.5%</w:t>
            </w:r>
            <w:r>
              <w:rPr>
                <w:caps w:val="false"/>
                <w:smallCaps w:val="false"/>
              </w:rPr>
              <w:t xml:space="preserve"> </w:t>
            </w:r>
            <w:r>
              <w:rPr>
                <w:rFonts w:ascii="Times New Roman;Times;serif" w:hAnsi="Times New Roman;Times;serif"/>
                <w:b w:val="false"/>
                <w:i w:val="false"/>
                <w:caps w:val="false"/>
                <w:smallCaps w:val="false"/>
                <w:sz w:val="16"/>
              </w:rPr>
              <w:t>and the weighted average remaining lease term is 16.7</w:t>
            </w:r>
            <w:r>
              <w:rPr>
                <w:caps w:val="false"/>
                <w:smallCaps w:val="false"/>
              </w:rPr>
              <w:t> </w:t>
            </w:r>
            <w:r>
              <w:rPr>
                <w:rFonts w:ascii="Times New Roman;Times;serif" w:hAnsi="Times New Roman;Times;serif"/>
                <w:b w:val="false"/>
                <w:i w:val="false"/>
                <w:caps w:val="false"/>
                <w:smallCaps w:val="false"/>
                <w:sz w:val="16"/>
              </w:rPr>
              <w:t>years. During the three months ended March 31, 2026 and 2025, the Company made payments of $0.1</w:t>
            </w:r>
            <w:r>
              <w:rPr>
                <w:caps w:val="false"/>
                <w:smallCaps w:val="false"/>
              </w:rPr>
              <w:t xml:space="preserve"> </w:t>
            </w:r>
            <w:r>
              <w:rPr>
                <w:rFonts w:ascii="Times New Roman;Times;serif" w:hAnsi="Times New Roman;Times;serif"/>
                <w:b w:val="false"/>
                <w:i w:val="false"/>
                <w:caps w:val="false"/>
                <w:smallCaps w:val="false"/>
                <w:sz w:val="16"/>
              </w:rPr>
              <w:t>million and $1.4</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related to its operating leases. </w:t>
            </w:r>
          </w:p>
        </w:tc>
      </w:tr>
    </w:tbl>
    <w:p>
      <w:pPr>
        <w:pStyle w:val="TextBody"/>
        <w:bidi w:val="0"/>
        <w:spacing w:before="0" w:after="0"/>
        <w:ind w:left="54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Unfunded Commitments</w:t>
      </w:r>
      <w:r>
        <w:rPr>
          <w:rFonts w:ascii="Times New Roman;Times;serif" w:hAnsi="Times New Roman;Times;serif"/>
          <w:sz w:val="20"/>
        </w:rPr>
        <w:t>—The Company has unfunded commitments to certain of its Ground Lease tenants related to leasehold improvement allowances that it expects to fund upon the completion of certain conditions. As of March 31, 2026, the Company had $137.0 million of such commitments, excluding commitments to be funded by noncontrolling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Other Commitments</w:t>
      </w:r>
      <w:r>
        <w:rPr>
          <w:rFonts w:ascii="Times New Roman;Times;serif" w:hAnsi="Times New Roman;Times;serif"/>
          <w:sz w:val="20"/>
        </w:rPr>
        <w:t>—</w:t>
      </w:r>
      <w:r>
        <w:rPr>
          <w:rFonts w:ascii="Times New Roman;Times;serif" w:hAnsi="Times New Roman;Times;serif"/>
          <w:sz w:val="20"/>
          <w:shd w:fill="FFFFFF" w:val="clear"/>
        </w:rPr>
        <w:t>The Company funds construction and development loans and build-outs of space in real estate assets over a period of time, both individually and through the Leasehold Loan Fund, if and when the borrowers and tenants meet established milestones and other performance criteria. We refer to these arrangements as performance-based commitments. As of March 31, 2026, the Company had $150.3 million of such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 xml:space="preserve">—The Company evaluates developments in legal proceedings that could require a liability to be accrued and/or disclosed.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22, 2025, the Company sent the tenant under the Park Hotels master lease (“Park Tenant”) a termination notice for all five hotels and commenced litigation against the Park Tenant and Park Intermediate Holdings LLC, guarantor under the master lease, for certain breaches, among other things, related to the maintenance and operations of the hotels. The litigation is captioned In re Park Hotels Litigation, C.A. No. 2025-1210-LWW, pending in the Delaware Court of Chancery. The Park Tenant has disputed the Company’s right to terminate the lease, and that issue, among others, is subject to the litigation, which includes counterclaims filed by the Park Tenant. Although the Company believes its claims are meritorious, there are no assurances that it will prevail in its litigation.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its current knowledge, and after consultation with legal counsel, the Company believes it is not a party to, nor are any of its properties the subject of, any other pending legal proceeding that would have a material adverse effect on the Company’s consolidated financial statements.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12—Risk Management and Derivatives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its ongoing business operations, the Company encounters credit risk. Credit risk is the risk of default on the Company’s leases that result from a tenant’s inability or unwillingness to make contractually required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 concentrations</w:t>
      </w:r>
      <w:r>
        <w:rPr>
          <w:rFonts w:ascii="Times New Roman;Times;serif" w:hAnsi="Times New Roman;Times;serif"/>
          <w:sz w:val="20"/>
        </w:rPr>
        <w:t>—Concentrations of credit risks arise when the Company has multiple leases with a particular tenant or credit party, or a number of the Company’s tenants are engaged in similar business activities, or activities in the same geographic region, or have similar economic features, such that their ability to meet contractual obligations, including those to the Company, could be similarly affected by changes 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Company’s Ground Leases are geographically diverse and the tenants operate in a variety of industries and property types, to the extent the Company has a significant concentration of interest income from sales-type leases or operating lease income from any tenant, the inability of that tenant to make its payment could have a material adverse effect on the Company. The Company did not have a significant concentration of interest income from sales-type leases or operating lease income from any tenant for the periods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instruments and hedging activity</w:t>
      </w:r>
      <w:r>
        <w:rPr>
          <w:rFonts w:ascii="Times New Roman;Times;serif" w:hAnsi="Times New Roman;Times;serif"/>
          <w:sz w:val="20"/>
        </w:rPr>
        <w:t>—The Company’s use of derivative financial instruments has been associated with debt issuances and primarily limited to the utilization of interest rate swaps, interest rate caps and treasury locks to manage interest rate risk exposure. The Company does not enter into derivatives for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derivatives, if any,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Company’s derivatives designated and qualifying as cash flow hedges, changes in the fair value of the derivatives are reported as a component of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If an interest rate hedge is terminated prior to maturity it could result in a net derivative instrument gain or loss that continues to be reported in accumulated other comprehensive (loss) and is reclassified into earnings over the period of the original forecasted hedged transaction. However, if it is probable that the original forecasted hedged transaction will not occur by the end of the original specified time period, the derivative instrument gain or loss reported in accumulated other comprehensive income (loss) will be reclassified into earnings immediately. If a derivative includes an other-than-insignificant financing element at inception, when the Company is deemed to be the lender all cash inflows and outflows of the derivative are considered cash flows from investing activities in the Company’s consolidated statements of cash flows and when the Company is deemed to be the borrower all cash inflows and outflows of the derivative are considered cash flows from financing activities in the Company’s consolidated statements of cash flows.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14"/>
        </w:rPr>
      </w:pPr>
      <w:bookmarkStart w:id="1235" w:name="Tc_N99MToEUJ0qX0yXqopg4_A_11_7"/>
      <w:bookmarkStart w:id="1236" w:name="Tc_xxp1iTi9skCgfBJngfqbBQ_11_4"/>
      <w:bookmarkStart w:id="1237" w:name="Tc_KUk-ABDCYkuYljIfbU1IZA_11_2"/>
      <w:bookmarkStart w:id="1238" w:name="Tc_OOZk_6M9rUygaBIWSbsU0w_11_0"/>
      <w:bookmarkStart w:id="1239" w:name="Tc_il6ar3o8WEq4TqTH2qhW9g_10_0"/>
      <w:bookmarkStart w:id="1240" w:name="Tc_ashC1DwtcEmzpncW8xygmw_9_7"/>
      <w:bookmarkStart w:id="1241" w:name="Tc_JpafwxkuRU-WdD-FbwxYmA_9_4"/>
      <w:bookmarkStart w:id="1242" w:name="Tc_zUAddBUzkUSzNt4MfDubdA_9_2"/>
      <w:bookmarkStart w:id="1243" w:name="Tc_dP-tBRZdxk2VYGItNwAl9w_9_0"/>
      <w:bookmarkStart w:id="1244" w:name="Tc_Jk5ryszSSUqDOfwZllvGow_8_0"/>
      <w:bookmarkStart w:id="1245" w:name="Tc_5DvKa8qoFEexpm0ulMcsBA_7_7"/>
      <w:bookmarkStart w:id="1246" w:name="Tc_4c-vCgNfYkOrAbYOcb_bIQ_7_4"/>
      <w:bookmarkStart w:id="1247" w:name="Tc_rJ4Gg7c7rUqJC6rsLvg3hw_7_2"/>
      <w:bookmarkStart w:id="1248" w:name="Tc_oR4cg8jI2Uu8-AnPk9bOIw_7_0"/>
      <w:bookmarkStart w:id="1249" w:name="Tc_gszCYpM-O0urLtQxnpZYwA_6_7"/>
      <w:bookmarkStart w:id="1250" w:name="Tc_3yTWA_65REeXqR5_O9awAA_6_4"/>
      <w:bookmarkStart w:id="1251" w:name="Tc_50Fd76nZsU66zS6oQCgGQg_6_2"/>
      <w:bookmarkStart w:id="1252" w:name="Tc_qwV1CfD28ke-JOV5KDU1kw_5_7"/>
      <w:bookmarkStart w:id="1253" w:name="Tc_xhNga8vscEaGcM4PvZAqRw_5_4"/>
      <w:bookmarkStart w:id="1254" w:name="Tc_05dHq_noWkun0RJBLkgc0w_5_2"/>
      <w:bookmarkStart w:id="1255" w:name="Tc_qw2jYEEgG0yJiiwMYvo2xw_4_7"/>
      <w:bookmarkStart w:id="1256" w:name="Tc_LTVQj1tMkkKqyF7QRnBYjw_4_4"/>
      <w:bookmarkStart w:id="1257" w:name="Tc_1XsJIpK4c0iNp9PGmRRVJw_3_7"/>
      <w:bookmarkStart w:id="1258" w:name="Tc_YYggaQDYDEempjVN4w3FiQ_3_4"/>
      <w:bookmarkStart w:id="1259" w:name="Tc_yrCG_zt8cU2G-l6AwXQZgQ_2_7"/>
      <w:bookmarkStart w:id="1260" w:name="Tc_VH7EpFJsEEmdQHJ8-Si3vg_2_4"/>
      <w:bookmarkStart w:id="1261" w:name="Tc_w2JYoyqaT0y-5BeWyabY2A_1_7"/>
      <w:bookmarkStart w:id="1262" w:name="_2611f7ae_e847_40d4_8a53_744a42b3ca1d"/>
      <w:bookmarkStart w:id="1263" w:name="Tc_HIljFl7qY0qFc24yRv0L0g_6_5"/>
      <w:bookmarkStart w:id="1264" w:name="Tc_TLFG12zsNUyNXHnvV8HPag_6_2"/>
      <w:bookmarkStart w:id="1265" w:name="Tc_CbKAJOzj6EOhugoG4DWqRA_6_0"/>
      <w:bookmarkStart w:id="1266" w:name="Tc_cpJDs-usRUm9bGp3ejSlcw_5_8"/>
      <w:bookmarkStart w:id="1267" w:name="Tc_aiDeio741E6tjHOld6YgVw_5_5"/>
      <w:bookmarkStart w:id="1268" w:name="Tc_lS7IP3vuIkKYT00doQ8FJw_5_2"/>
      <w:bookmarkStart w:id="1269" w:name="Tc_MQe9CzKE3UabeLGWd1D4fA_5_0"/>
      <w:bookmarkStart w:id="1270" w:name="Tc_Gd4K4O1MgkK7PLNSbrXEKw_4_0"/>
      <w:bookmarkStart w:id="1271" w:name="Tc_3eNzh4MOjkqkKoKMGgetOg_3_8"/>
      <w:bookmarkStart w:id="1272" w:name="Tc_akCVIqALyEij0-zihIbZIQ_3_5"/>
      <w:bookmarkStart w:id="1273" w:name="Tc_8Wz6pDNz2E6bUvw9N-YQMQ_3_2"/>
      <w:bookmarkStart w:id="1274" w:name="Tc__GpFRgQyykqyJ0g7SEsMBg_3_0"/>
      <w:bookmarkStart w:id="1275" w:name="Tc_aSSzHTDCA0ODG_MppKEbuA_2_8"/>
      <w:bookmarkStart w:id="1276" w:name="Tc_G74D9n7jskS6507Ux05uiQ_2_5"/>
      <w:bookmarkStart w:id="1277" w:name="Tc_fquRRpvJA0eVY1H13vXl2w_2_2"/>
      <w:bookmarkStart w:id="1278" w:name="Tc_UySAII6Rl0KMcB499q1X6w_1_5"/>
      <w:bookmarkStart w:id="1279" w:name="Tc_xYBO1q0bRkiK-ThRnIv7TQ_1_2"/>
      <w:bookmarkStart w:id="1280" w:name="_876cdd55_f44e_44a1_8352_fad806464e9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ascii="Times New Roman;Times;serif" w:hAnsi="Times New Roman;Times;serif"/>
          <w:sz w:val="20"/>
        </w:rPr>
        <w:t>The table below presents the Company’s derivatives as well as their classification on the consolidated balance sheets as of March 31, 2026 and December 31, 2025 ($ in thousands):</w:t>
      </w:r>
      <w:r>
        <w:rPr>
          <w:rFonts w:ascii="Times New Roman;Times;serif" w:hAnsi="Times New Roman;Times;serif"/>
          <w:sz w:val="11"/>
        </w:rPr>
        <w:t xml:space="preserve">(1)(2) </w:t>
      </w:r>
    </w:p>
    <w:p>
      <w:pPr>
        <w:pStyle w:val="TextBody"/>
        <w:bidi w:val="0"/>
        <w:spacing w:before="0" w:after="240"/>
        <w:ind w:left="0" w:right="0" w:firstLine="720"/>
        <w:jc w:val="both"/>
        <w:rPr/>
      </w:pPr>
      <w:r>
        <w:rPr/>
        <w:t>​</w:t>
      </w:r>
    </w:p>
    <w:tbl>
      <w:tblPr>
        <w:tblW w:w="8677" w:type="dxa"/>
        <w:jc w:val="left"/>
        <w:tblInd w:w="0" w:type="dxa"/>
        <w:tblLayout w:type="fixed"/>
        <w:tblCellMar>
          <w:top w:w="0" w:type="dxa"/>
          <w:left w:w="0" w:type="dxa"/>
          <w:bottom w:w="0" w:type="dxa"/>
          <w:right w:w="0" w:type="dxa"/>
        </w:tblCellMar>
      </w:tblPr>
      <w:tblGrid>
        <w:gridCol w:w="1591"/>
        <w:gridCol w:w="346"/>
        <w:gridCol w:w="299"/>
        <w:gridCol w:w="962"/>
        <w:gridCol w:w="346"/>
        <w:gridCol w:w="357"/>
        <w:gridCol w:w="1144"/>
        <w:gridCol w:w="346"/>
        <w:gridCol w:w="328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010285" cy="175260"/>
                      <wp:effectExtent l="0" t="0" r="0" b="0"/>
                      <wp:wrapNone/>
                      <wp:docPr id="402" name="Frame40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89865" cy="175260"/>
                      <wp:effectExtent l="0" t="0" r="0" b="0"/>
                      <wp:wrapNone/>
                      <wp:docPr id="404" name="Frame40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10870" cy="175260"/>
                      <wp:effectExtent l="0" t="0" r="0" b="0"/>
                      <wp:wrapNone/>
                      <wp:docPr id="405" name="Frame40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26695" cy="175260"/>
                      <wp:effectExtent l="0" t="0" r="0" b="0"/>
                      <wp:wrapNone/>
                      <wp:docPr id="407" name="Frame40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26440" cy="175260"/>
                      <wp:effectExtent l="0" t="0" r="0" b="0"/>
                      <wp:wrapNone/>
                      <wp:docPr id="408" name="Frame408"/>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86610" cy="175260"/>
                      <wp:effectExtent l="0" t="0" r="0" b="0"/>
                      <wp:wrapNone/>
                      <wp:docPr id="410" name="Frame410"/>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3286" w:type="dxa"/>
            <w:tcBorders/>
            <w:vAlign w:val="center"/>
          </w:tcPr>
          <w:p>
            <w:pPr>
              <w:pStyle w:val="TableContents"/>
              <w:bidi w:val="0"/>
              <w:spacing w:before="0" w:after="1"/>
              <w:ind w:left="0" w:right="0" w:hanging="0"/>
              <w:jc w:val="center"/>
              <w:rPr/>
            </w:pPr>
            <w:r>
              <w:rPr/>
              <w:t>​</w: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3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Balance Sheet</w:t>
            </w:r>
            <w:r>
              <w:rPr>
                <w:rFonts w:ascii="Times New Roman;Times;serif" w:hAnsi="Times New Roman;Times;serif"/>
                <w:sz w:val="16"/>
              </w:rPr>
              <w:t> </w:t>
            </w:r>
          </w:p>
        </w:tc>
      </w:tr>
      <w:tr>
        <w:trPr/>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Type</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3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286" w:type="dxa"/>
            <w:tcBorders/>
            <w:shd w:fill="CCEEFF" w:val="clear"/>
            <w:vAlign w:val="center"/>
          </w:tcPr>
          <w:p>
            <w:pPr>
              <w:pStyle w:val="TableContents"/>
              <w:bidi w:val="0"/>
              <w:spacing w:before="0" w:after="1"/>
              <w:ind w:left="0" w:right="0" w:hanging="0"/>
              <w:jc w:val="right"/>
              <w:rPr/>
            </w:pPr>
            <w:r>
              <w:rPr/>
              <w:t>  ​</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25,022</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vAlign w:val="center"/>
          </w:tcPr>
          <w:p>
            <w:pPr>
              <w:pStyle w:val="TableContents"/>
              <w:bidi w:val="0"/>
              <w:spacing w:before="0" w:after="1"/>
              <w:ind w:left="0" w:right="0" w:hanging="0"/>
              <w:jc w:val="left"/>
              <w:rPr/>
            </w:pPr>
            <w:r>
              <w:rPr/>
              <w:t> </w:t>
            </w:r>
          </w:p>
        </w:tc>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shd w:fill="CCEEFF" w:val="clear"/>
            <w:vAlign w:val="center"/>
          </w:tcPr>
          <w:p>
            <w:pPr>
              <w:pStyle w:val="TableContents"/>
              <w:bidi w:val="0"/>
              <w:spacing w:before="0" w:after="1"/>
              <w:ind w:left="0" w:right="0" w:hanging="0"/>
              <w:jc w:val="left"/>
              <w:rPr/>
            </w:pPr>
            <w:r>
              <w:rPr/>
              <w:t>​</w:t>
            </w:r>
          </w:p>
        </w:tc>
        <w:tc>
          <w:tcPr>
            <w:tcW w:w="328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2026, the Company has two</w:t>
            </w:r>
            <w:r>
              <w:rPr>
                <w:caps w:val="false"/>
                <w:smallCaps w:val="false"/>
              </w:rPr>
              <w:t xml:space="preserve"> </w:t>
            </w:r>
            <w:r>
              <w:rPr>
                <w:rFonts w:ascii="Times New Roman;Times;serif" w:hAnsi="Times New Roman;Times;serif"/>
                <w:b w:val="false"/>
                <w:i w:val="false"/>
                <w:caps w:val="false"/>
                <w:smallCaps w:val="false"/>
                <w:sz w:val="16"/>
              </w:rPr>
              <w:t>interest rate swap derivatives outstanding that mature in April 2028 and have an aggregate $500.0</w:t>
            </w:r>
            <w:r>
              <w:rPr>
                <w:caps w:val="false"/>
                <w:smallCaps w:val="false"/>
              </w:rPr>
              <w:t xml:space="preserve"> </w:t>
            </w:r>
            <w:r>
              <w:rPr>
                <w:rFonts w:ascii="Times New Roman;Times;serif" w:hAnsi="Times New Roman;Times;serif"/>
                <w:b w:val="false"/>
                <w:i w:val="false"/>
                <w:caps w:val="false"/>
                <w:smallCaps w:val="false"/>
                <w:sz w:val="16"/>
              </w:rPr>
              <w:t>million notional amount, which hedge in-place floating-rate debt. The Company also has a</w:t>
            </w:r>
            <w:r>
              <w:rPr>
                <w:caps w:val="false"/>
                <w:smallCaps w:val="false"/>
              </w:rPr>
              <w:t xml:space="preserve"> </w:t>
            </w:r>
            <w:r>
              <w:rPr>
                <w:rFonts w:ascii="Times New Roman;Times;serif" w:hAnsi="Times New Roman;Times;serif"/>
                <w:b w:val="false"/>
                <w:i w:val="false"/>
                <w:caps w:val="false"/>
                <w:smallCaps w:val="false"/>
                <w:sz w:val="16"/>
              </w:rPr>
              <w:t>designated derivative outstanding with a $150.0</w:t>
            </w:r>
            <w:r>
              <w:rPr>
                <w:caps w:val="false"/>
                <w:smallCaps w:val="false"/>
              </w:rPr>
              <w:t xml:space="preserve"> </w:t>
            </w:r>
            <w:r>
              <w:rPr>
                <w:rFonts w:ascii="Times New Roman;Times;serif" w:hAnsi="Times New Roman;Times;serif"/>
                <w:b w:val="false"/>
                <w:i w:val="false"/>
                <w:caps w:val="false"/>
                <w:smallCaps w:val="false"/>
                <w:sz w:val="16"/>
              </w:rPr>
              <w:t xml:space="preserve">million notional amount that matures in June 2026 that protects the Company against interest rate volatility with respect to future long-term debt with a tenor of approximately 30 years.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Over the next 12 months, the Company expects that $1.4</w:t>
            </w:r>
            <w:r>
              <w:rPr>
                <w:caps w:val="false"/>
                <w:smallCaps w:val="false"/>
              </w:rPr>
              <w:t xml:space="preserve"> </w:t>
            </w:r>
            <w:r>
              <w:rPr>
                <w:rFonts w:ascii="Times New Roman;Times;serif" w:hAnsi="Times New Roman;Times;serif"/>
                <w:b w:val="false"/>
                <w:i w:val="false"/>
                <w:caps w:val="false"/>
                <w:smallCaps w:val="false"/>
                <w:sz w:val="16"/>
              </w:rPr>
              <w:t>million related to cash flow hedges will be reclassified from “Accumulated other comprehensive income (loss)” as an increase to interest expense. The fair value of the Company’s derivatives is estimated using valuation techniques utilized by a third-party specialist using observable inputs such as interest rates and contractual cash flow and are classified as Level 2 within the fair value hierarchy.</w:t>
            </w:r>
          </w:p>
        </w:tc>
      </w:tr>
    </w:tbl>
    <w:p>
      <w:pPr>
        <w:pStyle w:val="TextBody"/>
        <w:bidi w:val="0"/>
        <w:spacing w:before="0" w:after="240"/>
        <w:ind w:left="547"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Credit Risk-Related Contingent Features</w:t>
      </w:r>
      <w:r>
        <w:rPr>
          <w:rFonts w:ascii="Times New Roman;Times;serif" w:hAnsi="Times New Roman;Times;serif"/>
          <w:sz w:val="20"/>
        </w:rPr>
        <w:t xml:space="preserve">—The Company reports derivative instruments, if any, on a gross basis in its consolidated financial statements. The Company has agreements with each of its derivative counterparties that contain a provision whereby if the Company either defaults or is capable of being declared in default on any of its indebtedness, then the Company could also be declared in default on its derivative obligations.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table below presents the effect of the Company’s derivative financial instruments in the consolidated statements of operations and the consolidated statements of comprehensive income (loss) for the three months ended March 31, 2026 and 2025 ($ in thousands):</w:t>
      </w:r>
    </w:p>
    <w:tbl>
      <w:tblPr>
        <w:tblW w:w="9210" w:type="dxa"/>
        <w:jc w:val="left"/>
        <w:tblInd w:w="0" w:type="dxa"/>
        <w:tblLayout w:type="fixed"/>
        <w:tblCellMar>
          <w:top w:w="0" w:type="dxa"/>
          <w:left w:w="0" w:type="dxa"/>
          <w:bottom w:w="0" w:type="dxa"/>
          <w:right w:w="0" w:type="dxa"/>
        </w:tblCellMar>
      </w:tblPr>
      <w:tblGrid>
        <w:gridCol w:w="3631"/>
        <w:gridCol w:w="146"/>
        <w:gridCol w:w="1831"/>
        <w:gridCol w:w="346"/>
        <w:gridCol w:w="295"/>
        <w:gridCol w:w="1115"/>
        <w:gridCol w:w="346"/>
        <w:gridCol w:w="396"/>
        <w:gridCol w:w="1104"/>
      </w:tblGrid>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2710" cy="175260"/>
                      <wp:effectExtent l="0" t="0" r="0" b="0"/>
                      <wp:wrapNone/>
                      <wp:docPr id="411" name="Frame4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162685" cy="175260"/>
                      <wp:effectExtent l="0" t="0" r="0" b="0"/>
                      <wp:wrapNone/>
                      <wp:docPr id="412" name="Frame412"/>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87325" cy="175260"/>
                      <wp:effectExtent l="0" t="0" r="0" b="0"/>
                      <wp:wrapNone/>
                      <wp:docPr id="414" name="Frame41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708025" cy="175260"/>
                      <wp:effectExtent l="0" t="0" r="0" b="0"/>
                      <wp:wrapNone/>
                      <wp:docPr id="415" name="Frame415"/>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51460" cy="175260"/>
                      <wp:effectExtent l="0" t="0" r="0" b="0"/>
                      <wp:wrapNone/>
                      <wp:docPr id="417" name="Frame41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01040" cy="175260"/>
                      <wp:effectExtent l="0" t="0" r="0" b="0"/>
                      <wp:wrapNone/>
                      <wp:docPr id="418" name="Frame418"/>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Recognized</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Accumulated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Accumulated</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 (Loss)</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When Recognized in</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into</w:t>
            </w:r>
          </w:p>
        </w:tc>
      </w:tr>
      <w:tr>
        <w:trPr/>
        <w:tc>
          <w:tcPr>
            <w:tcW w:w="36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in Hedging Relationships</w:t>
            </w:r>
          </w:p>
        </w:tc>
        <w:tc>
          <w:tcPr>
            <w:tcW w:w="146" w:type="dxa"/>
            <w:tcBorders/>
            <w:vAlign w:val="center"/>
          </w:tcPr>
          <w:p>
            <w:pPr>
              <w:pStyle w:val="TableContents"/>
              <w:bidi w:val="0"/>
              <w:spacing w:before="0" w:after="0"/>
              <w:ind w:left="0" w:right="0" w:hanging="0"/>
              <w:jc w:val="center"/>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2026</w:t>
            </w:r>
          </w:p>
        </w:tc>
        <w:tc>
          <w:tcPr>
            <w:tcW w:w="146" w:type="dxa"/>
            <w:tcBorders/>
            <w:shd w:fill="CCEEFF" w:val="clear"/>
            <w:vAlign w:val="center"/>
          </w:tcPr>
          <w:p>
            <w:pPr>
              <w:pStyle w:val="TableContents"/>
              <w:bidi w:val="0"/>
              <w:spacing w:before="0" w:after="0"/>
              <w:ind w:left="0" w:right="0" w:hanging="0"/>
              <w:jc w:val="left"/>
              <w:rPr/>
            </w:pPr>
            <w:r>
              <w:rPr/>
              <w:t> </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11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96"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w:t>
            </w:r>
          </w:p>
        </w:tc>
        <w:tc>
          <w:tcPr>
            <w:tcW w:w="34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2025</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111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96" w:type="dxa"/>
            <w:tcBorders/>
            <w:shd w:fill="CCEEFF" w:val="clear"/>
            <w:vAlign w:val="center"/>
          </w:tcPr>
          <w:p>
            <w:pPr>
              <w:pStyle w:val="TableContents"/>
              <w:bidi w:val="0"/>
              <w:spacing w:before="0" w:after="0"/>
              <w:ind w:left="0" w:right="0" w:hanging="0"/>
              <w:jc w:val="right"/>
              <w:rPr/>
            </w:pPr>
            <w:r>
              <w:rPr/>
              <w:t>​</w:t>
            </w:r>
          </w:p>
        </w:tc>
        <w:tc>
          <w:tcPr>
            <w:tcW w:w="110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(13,113)</w:t>
            </w:r>
          </w:p>
        </w:tc>
        <w:tc>
          <w:tcPr>
            <w:tcW w:w="34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13—Equity</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Common Stock</w:t>
      </w:r>
      <w:r>
        <w:rPr>
          <w:rFonts w:ascii="Times New Roman;Times;serif" w:hAnsi="Times New Roman;Times;serif"/>
          <w:sz w:val="20"/>
        </w:rPr>
        <w:t>—As of March 31, 2026, the Company has one class of common stock outstanding.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2023, the Company and Portfolio Holdings entered into an ATM Equity Offering Sales Agreement (the “Primary Sales Agreement”) with the sales agents named therein pursuant to which the Company may sell, from time to time, shares of its common stock having an aggregate gross sales price of up to $300.0 million (the “Primary Shares”) through or to the sales agents. The Company may sell the Primary Shares in amounts and at times to be determined by the Company from time to time but has no obligation to sell any of the Primary Shares. Actual sales, if any, will depend on a variety of factors to be determined by the Company from time to time, including, among other things, market conditions, the trading price of the Company’s common stock, capital needs and determinations by the Company of the appropriate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sources of its funding. Through March 31, 2026, the Company has not sold any shares of its common stock through the Primary Sales Agreement.</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the Company’s board of directors authorized the repurchase of up to $50.0 million of the Company’s common stock. The Company has </w:t>
      </w:r>
      <w:r>
        <w:rPr>
          <w:rFonts w:ascii="Times New Roman;Times;serif" w:hAnsi="Times New Roman;Times;serif"/>
          <w:sz w:val="20"/>
          <w:shd w:fill="FFFFFF" w:val="clear"/>
        </w:rPr>
        <w:t xml:space="preserve">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 During the three months ended March 31, 2026, the Company repurchased </w:t>
      </w:r>
      <w:r>
        <w:rPr>
          <w:rFonts w:ascii="Times New Roman;Times;serif" w:hAnsi="Times New Roman;Times;serif"/>
          <w:sz w:val="20"/>
        </w:rPr>
        <w:t>0.2</w:t>
      </w:r>
      <w:r>
        <w:rPr>
          <w:rFonts w:ascii="Times New Roman;Times;serif" w:hAnsi="Times New Roman;Times;serif"/>
          <w:sz w:val="20"/>
          <w:shd w:fill="FFFFFF" w:val="clear"/>
        </w:rPr>
        <w:t> million shares of its outstanding common stock for $</w:t>
      </w:r>
      <w:r>
        <w:rPr>
          <w:rFonts w:ascii="Times New Roman;Times;serif" w:hAnsi="Times New Roman;Times;serif"/>
          <w:sz w:val="20"/>
        </w:rPr>
        <w:t>3.4</w:t>
      </w:r>
      <w:r>
        <w:rPr>
          <w:rFonts w:ascii="Times New Roman;Times;serif" w:hAnsi="Times New Roman;Times;serif"/>
          <w:sz w:val="20"/>
          <w:shd w:fill="FFFFFF" w:val="clear"/>
        </w:rPr>
        <w:t> million, representing an average cost of $</w:t>
      </w:r>
      <w:r>
        <w:rPr>
          <w:rFonts w:ascii="Times New Roman;Times;serif" w:hAnsi="Times New Roman;Times;serif"/>
          <w:sz w:val="20"/>
        </w:rPr>
        <w:t>14.39</w:t>
      </w:r>
      <w:r>
        <w:rPr>
          <w:rFonts w:ascii="Times New Roman;Times;serif" w:hAnsi="Times New Roman;Times;serif"/>
          <w:sz w:val="20"/>
          <w:shd w:fill="FFFFFF" w:val="clear"/>
        </w:rPr>
        <w:t> per share, including fees. As of March 31, 2026, the Company had $</w:t>
      </w:r>
      <w:r>
        <w:rPr>
          <w:rFonts w:ascii="Times New Roman;Times;serif" w:hAnsi="Times New Roman;Times;serif"/>
          <w:sz w:val="20"/>
        </w:rPr>
        <w:t>46.6</w:t>
      </w:r>
      <w:r>
        <w:rPr>
          <w:rFonts w:ascii="Times New Roman;Times;serif" w:hAnsi="Times New Roman;Times;serif"/>
          <w:sz w:val="20"/>
          <w:shd w:fill="FFFFFF" w:val="clear"/>
        </w:rPr>
        <w:t> million remaining under the share repurchase authorization. Subsequent to March 31, 2026, the Company repurchased </w:t>
      </w:r>
      <w:r>
        <w:rPr>
          <w:rFonts w:ascii="Times New Roman;Times;serif" w:hAnsi="Times New Roman;Times;serif"/>
          <w:sz w:val="20"/>
        </w:rPr>
        <w:t>0.2</w:t>
      </w:r>
      <w:r>
        <w:rPr>
          <w:rFonts w:ascii="Times New Roman;Times;serif" w:hAnsi="Times New Roman;Times;serif"/>
          <w:sz w:val="20"/>
          <w:shd w:fill="FFFFFF" w:val="clear"/>
        </w:rPr>
        <w:t> million shares of its outstanding common stock for $</w:t>
      </w:r>
      <w:r>
        <w:rPr>
          <w:rFonts w:ascii="Times New Roman;Times;serif" w:hAnsi="Times New Roman;Times;serif"/>
          <w:sz w:val="20"/>
        </w:rPr>
        <w:t>3.6</w:t>
      </w:r>
      <w:r>
        <w:rPr>
          <w:rFonts w:ascii="Times New Roman;Times;serif" w:hAnsi="Times New Roman;Times;serif"/>
          <w:sz w:val="20"/>
          <w:shd w:fill="FFFFFF" w:val="clear"/>
        </w:rPr>
        <w:t> million, representing an average cost of $</w:t>
      </w:r>
      <w:r>
        <w:rPr>
          <w:rFonts w:ascii="Times New Roman;Times;serif" w:hAnsi="Times New Roman;Times;serif"/>
          <w:sz w:val="20"/>
        </w:rPr>
        <w:t>14.88</w:t>
      </w:r>
      <w:r>
        <w:rPr>
          <w:rFonts w:ascii="Times New Roman;Times;serif" w:hAnsi="Times New Roman;Times;serif"/>
          <w:sz w:val="20"/>
          <w:shd w:fill="FFFFFF" w:val="clear"/>
        </w:rPr>
        <w:t xml:space="preserve"> per share, including fees.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Equity Plans</w:t>
      </w:r>
      <w:r>
        <w:rPr>
          <w:rFonts w:ascii="Times New Roman;Times;serif" w:hAnsi="Times New Roman;Times;serif"/>
          <w:sz w:val="20"/>
        </w:rPr>
        <w:t>—</w:t>
      </w:r>
      <w:r>
        <w:rPr>
          <w:rFonts w:ascii="Times New Roman;Times;serif" w:hAnsi="Times New Roman;Times;serif"/>
          <w:sz w:val="20"/>
          <w:shd w:fill="FFFFFF" w:val="clear"/>
        </w:rPr>
        <w:t xml:space="preserve">The Company has a Long-Term Incentive Program (the “LTIP”), originally adopted by iStar’s board of directors and approved by iStar’s stockholders in 2021, designed to provide incentive compensation for officers, key employees, directors and advisors of the Company. The LTIP provides for awards of stock options, shares of restricted stock, phantom shares, restricted stock units, dividend equivalent rights and other share-based performance awards. All awards under the LTIP are made at the discretion of the Company’s Board of Directors. </w:t>
      </w:r>
      <w:r>
        <w:rPr>
          <w:rFonts w:ascii="Times New Roman;Times;serif" w:hAnsi="Times New Roman;Times;serif"/>
          <w:sz w:val="20"/>
        </w:rPr>
        <w:t>Grants under the LTIP are recognized as compensation costs ratably over the applicable vesting period and recorded in “General and administrative” in the Company’s consolidated statements of operations. As of March 31, 2026, an aggregate of 523,783 shares of the Company’s common stock remains available for issuance under the LTIP. As of March 31, 2026, there was $9.6 million of total unrecognized compensation cost related to all unvested restricted stock units that is expected to be recognized over a weighted average remaining vesting/service period of 3.4 years</w:t>
      </w:r>
      <w:r>
        <w:rPr>
          <w:rFonts w:ascii="Times New Roman;Times;serif" w:hAnsi="Times New Roman;Times;serif"/>
          <w:sz w:val="20"/>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shd w:fill="FFFFFF" w:val="clear"/>
        </w:rPr>
        <w:t>Caret Performance Incentive Plan</w:t>
      </w:r>
      <w:r>
        <w:rPr>
          <w:rFonts w:ascii="Times New Roman;Times;serif" w:hAnsi="Times New Roman;Times;serif"/>
          <w:sz w:val="20"/>
        </w:rPr>
        <w:t>—</w:t>
      </w:r>
      <w:r>
        <w:rPr>
          <w:rFonts w:ascii="Times New Roman;Times;serif" w:hAnsi="Times New Roman;Times;serif"/>
          <w:sz w:val="20"/>
          <w:shd w:fill="FFFFFF" w:val="clear"/>
        </w:rPr>
        <w:t>The Company has a Caret performance incentive plan pursuant to which Caret units of Portfolio Holdings are reserved for grants of performance-based awards to participants, including certain officers, key employees, directors and service providers (the “Caret Performance Incentive Plan”). As of March 31, 2026, all outstanding Caret units awarded under the Caret Performance Incentive Plan are fully vested except for</w:t>
      </w:r>
      <w:r>
        <w:rPr>
          <w:rFonts w:ascii="Times New Roman;Times;serif" w:hAnsi="Times New Roman;Times;serif"/>
          <w:sz w:val="20"/>
        </w:rPr>
        <w:t xml:space="preserve"> certain grants awarded to executive officers and other employees, which are subject to cliff vesting </w:t>
      </w:r>
      <w:r>
        <w:rPr>
          <w:rFonts w:ascii="Times New Roman;Times;serif" w:hAnsi="Times New Roman;Times;serif"/>
          <w:sz w:val="20"/>
          <w:shd w:fill="FFFFFF" w:val="clear"/>
        </w:rPr>
        <w:t>on March 31, 2027 if the Company’s common stock has traded at an average per share price of $60.00 or more for at least 30 consecutive trading days since the grant date, and certain awards granted to an employee in December 2025 that will vest pro rata annually over a five-year period, subject to continued employment and service conditions. As of March 31, 2026, there was $5.1 million of total unrecognized compensation cost related to all unvested Caret units that is expected to be recognized over a remaining vesting/service period of 1.9 years.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As of March 31, 2026, Caret Performance Incentive Plan participants held 1,411,004 Caret units, representing 14.8% of the outstanding Caret units and 11.8% of the authorized Caret units, and 78,996 Caret units remain available for issuance under the Caret Performance Incentive Plan.</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and 2025, the Company recognized $0.8 million and $0.3 million, respectively, of expense from Caret units, which is recorded in “General and administrative” in the Company’s consolidated statements of operations and “Noncontrolling interests” on the Company’s consolidated balance sheets.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401(K) Plan</w:t>
      </w:r>
      <w:r>
        <w:rPr>
          <w:rFonts w:ascii="Times New Roman;Times;serif" w:hAnsi="Times New Roman;Times;serif"/>
          <w:sz w:val="20"/>
        </w:rPr>
        <w:t xml:space="preserve">—The Company has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participant’s contributions, up to a maximum of 10% of the participants’ compensation. The Company made gross contributions of $0.4 million and $0.4 million, respectively, for the three months ended March 31, 2026 and 2025.</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—Accumulated other comprehensive income (loss) consists of net unrealized gains (losses) on the Company’s derivative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Noncontrolling Interests</w:t>
      </w:r>
      <w:r>
        <w:rPr>
          <w:rFonts w:ascii="Times New Roman;Times;serif" w:hAnsi="Times New Roman;Times;serif"/>
          <w:sz w:val="20"/>
        </w:rPr>
        <w:t xml:space="preserve">—Noncontrolling interests includes unrelated third-party equity interests in ventures that are consolidated in the Company’s consolidated financial statements and Caret units that have been sold to third-parties or have been granted to employees or former employees.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Dividends</w:t>
      </w:r>
      <w:r>
        <w:rPr>
          <w:rFonts w:ascii="Times New Roman;Times;serif" w:hAnsi="Times New Roman;Times;serif"/>
          <w:sz w:val="20"/>
        </w:rPr>
        <w:t>—The Company (then known as iStar) elected to be taxed as a REIT beginning with its taxable year ended December 31, 1998. To qualify as a REIT, the Company must annually distribute, at a 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2026 and 2025, the Company declared cash dividends on its common stock of $12.8 million, or $0.177 per share, and $12.7 million, or $0.177 per share, respectively.</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1" w:name="Tc_c4LK8Oqo60i2YnZ_cU_krA_16_5"/>
      <w:bookmarkStart w:id="1282" w:name="Tc_M8sIyliIg0aS_dm930_Wog_16_2"/>
      <w:bookmarkStart w:id="1283" w:name="Tc_gMWkjh8tCU6ANmP7A1RmkQ_16_0"/>
      <w:bookmarkStart w:id="1284" w:name="Tc_HZnuKktZE0ChzpxtFUJHKg_15_5"/>
      <w:bookmarkStart w:id="1285" w:name="Tc_jcJaQqzR8EKZyjzAa0G3qg_15_2"/>
      <w:bookmarkStart w:id="1286" w:name="Tc_7Fi8zeNv3USzOF1Wx77ClQ_15_0"/>
      <w:bookmarkStart w:id="1287" w:name="Tc_ExrYJOGsi0qx_1ZbKoEvuA_14_0"/>
      <w:bookmarkStart w:id="1288" w:name="Tc_C-obKZgN20yHTJfSw9D8Gw_12_0"/>
      <w:bookmarkStart w:id="1289" w:name="Tc_eGWJLoW1WEO7hYSLhK-XTg_11_0"/>
      <w:bookmarkStart w:id="1290" w:name="Tc_NkR1vQIFW0SOlBcFN0U-hw_10_0"/>
      <w:bookmarkStart w:id="1291" w:name="Tc_fkU_ErjDZ0em_ciZSNWIag_9_0"/>
      <w:bookmarkStart w:id="1292" w:name="Tc_gUmWTSZ4w0KEwYqobRAH7A_7_5"/>
      <w:bookmarkStart w:id="1293" w:name="Tc_tDTvY0O3uESvbUqrBEZLJg_7_2"/>
      <w:bookmarkStart w:id="1294" w:name="Tc_OsHD2mFzY0e5eiEfOzg7-w_7_0"/>
      <w:bookmarkStart w:id="1295" w:name="Tc_6H7Iw9eaD0Gr5NwnQmfg1A_6_5"/>
      <w:bookmarkStart w:id="1296" w:name="Tc_U96rFAbH1UG4HOJ-qsYpFA_6_2"/>
      <w:bookmarkStart w:id="1297" w:name="Tc_mKWAUOGyfEKCxQOC5dZyCQ_6_0"/>
      <w:bookmarkStart w:id="1298" w:name="Tc_bJEal2nGaEa_vXMQy9pwkA_5_0"/>
      <w:bookmarkStart w:id="1299" w:name="Tc_zhrllil9AUi0jQVhEUa3xg_4_0"/>
      <w:bookmarkStart w:id="1300" w:name="Tc_Qytb_GRelUWNmuwGIRtF0A_3_5"/>
      <w:bookmarkStart w:id="1301" w:name="Tc_MY-vCGx5wE6z_IvontAzYA_3_2"/>
      <w:bookmarkStart w:id="1302" w:name="Tc_nuGw6jEDqk-fedsfDSpOvw_2_2"/>
      <w:bookmarkStart w:id="1303" w:name="Tc_0kl1gBQWb0yQkChcPLrGmQ_1_2"/>
      <w:bookmarkStart w:id="1304" w:name="Tc_VFtkAFnNCUG8XaoRL4AEaA_6_5"/>
      <w:bookmarkStart w:id="1305" w:name="Tc_A0cp-NyfikmdhDzOZS0FUQ_6_2"/>
      <w:bookmarkStart w:id="1306" w:name="Tc_eKvHclAoQEG6TOZDq5XK8A_6_0"/>
      <w:bookmarkStart w:id="1307" w:name="Tc_N6VWnUJ9REqvtdqdatFQcg_5_0"/>
      <w:bookmarkStart w:id="1308" w:name="Tc_Utc5v67cSkGukT3EiX817Q_4_5"/>
      <w:bookmarkStart w:id="1309" w:name="Tc_keIN1GxxTUCjPila0sZZ2g_4_2"/>
      <w:bookmarkStart w:id="1310" w:name="Tc_b8kWcaVOMUuI-oXw8Kcsvg_4_0"/>
      <w:bookmarkStart w:id="1311" w:name="Tc_z-b4vtzGBECcm2rx7SRK2A_3_5"/>
      <w:bookmarkStart w:id="1312" w:name="Tc_w2xLBEyGLUaSwTFRffW9fg_3_2"/>
      <w:bookmarkStart w:id="1313" w:name="Tc_JPM6VvE7WUmGMUlbqVfoYA_2_2"/>
      <w:bookmarkStart w:id="1314" w:name="Tc_hLTz0j6jmk-6nf0LD1XkXA_1_2"/>
      <w:bookmarkStart w:id="1315" w:name="_832b986f_7e48_498c_b44f_255fde30d58d"/>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r>
        <w:rPr>
          <w:rFonts w:ascii="Times New Roman;Times;serif" w:hAnsi="Times New Roman;Times;serif"/>
          <w:b/>
          <w:sz w:val="20"/>
        </w:rPr>
        <w:t>Note 14—Earnings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Earnings per share (“EPS”) is calculated by dividing net income attributable to common shareholders by the weighted average number of shares outstanding for the period. The following tables present a reconciliation of net income used in the basic and diluted EPS calculations ($ and shares in thousands, except for per share data):</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7624"/>
        <w:gridCol w:w="346"/>
        <w:gridCol w:w="211"/>
        <w:gridCol w:w="676"/>
        <w:gridCol w:w="346"/>
        <w:gridCol w:w="211"/>
        <w:gridCol w:w="791"/>
      </w:tblGrid>
      <w:tr>
        <w:trPr/>
        <w:tc>
          <w:tcPr>
            <w:tcW w:w="7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841240" cy="175260"/>
                      <wp:effectExtent l="0" t="0" r="0" b="0"/>
                      <wp:wrapNone/>
                      <wp:docPr id="419" name="Frame419"/>
                      <a:graphic xmlns:a="http://schemas.openxmlformats.org/drawingml/2006/main">
                        <a:graphicData uri="http://schemas.microsoft.com/office/word/2010/wordprocessingShape">
                          <wps:wsp>
                            <wps:cNvSpPr txBox="1"/>
                            <wps:spPr>
                              <a:xfrm>
                                <a:off x="0" y="0"/>
                                <a:ext cx="4841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29260" cy="175260"/>
                      <wp:effectExtent l="0" t="0" r="0" b="0"/>
                      <wp:wrapNone/>
                      <wp:docPr id="422" name="Frame4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02285" cy="175260"/>
                      <wp:effectExtent l="0" t="0" r="0" b="0"/>
                      <wp:wrapNone/>
                      <wp:docPr id="425" name="Frame42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6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6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29,410</w:t>
            </w:r>
          </w:p>
        </w:tc>
      </w:tr>
      <w:tr>
        <w:trPr/>
        <w:tc>
          <w:tcPr>
            <w:tcW w:w="76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6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for basic and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29,364</w:t>
            </w:r>
          </w:p>
        </w:tc>
      </w:tr>
    </w:tbl>
    <w:p>
      <w:pPr>
        <w:pStyle w:val="TextBody"/>
        <w:bidi w:val="0"/>
        <w:spacing w:before="0" w:after="240"/>
        <w:ind w:left="0" w:right="0" w:firstLine="720"/>
        <w:jc w:val="both"/>
        <w:rPr/>
      </w:pPr>
      <w:r>
        <w:rPr/>
        <w:t>​</w:t>
      </w:r>
    </w:p>
    <w:tbl>
      <w:tblPr>
        <w:tblW w:w="9562" w:type="dxa"/>
        <w:jc w:val="left"/>
        <w:tblInd w:w="0" w:type="dxa"/>
        <w:tblLayout w:type="fixed"/>
        <w:tblCellMar>
          <w:top w:w="0" w:type="dxa"/>
          <w:left w:w="0" w:type="dxa"/>
          <w:bottom w:w="0" w:type="dxa"/>
          <w:right w:w="0" w:type="dxa"/>
        </w:tblCellMar>
      </w:tblPr>
      <w:tblGrid>
        <w:gridCol w:w="7051"/>
        <w:gridCol w:w="346"/>
        <w:gridCol w:w="211"/>
        <w:gridCol w:w="676"/>
        <w:gridCol w:w="346"/>
        <w:gridCol w:w="211"/>
        <w:gridCol w:w="721"/>
      </w:tblGrid>
      <w:tr>
        <w:trPr/>
        <w:tc>
          <w:tcPr>
            <w:tcW w:w="7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477385" cy="175260"/>
                      <wp:effectExtent l="0" t="0" r="0" b="0"/>
                      <wp:wrapNone/>
                      <wp:docPr id="426" name="Frame426"/>
                      <a:graphic xmlns:a="http://schemas.openxmlformats.org/drawingml/2006/main">
                        <a:graphicData uri="http://schemas.microsoft.com/office/word/2010/wordprocessingShape">
                          <wps:wsp>
                            <wps:cNvSpPr txBox="1"/>
                            <wps:spPr>
                              <a:xfrm>
                                <a:off x="0" y="0"/>
                                <a:ext cx="447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29260" cy="175260"/>
                      <wp:effectExtent l="0" t="0" r="0" b="0"/>
                      <wp:wrapNone/>
                      <wp:docPr id="429" name="Frame4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57835" cy="175260"/>
                      <wp:effectExtent l="0" t="0" r="0" b="0"/>
                      <wp:wrapNone/>
                      <wp:docPr id="432" name="Frame43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attributable to common shares: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7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basic and diluted earnings per share: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29,364</w:t>
            </w:r>
          </w:p>
        </w:tc>
      </w:tr>
      <w:tr>
        <w:trPr/>
        <w:tc>
          <w:tcPr>
            <w:tcW w:w="7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29,364</w:t>
            </w:r>
          </w:p>
        </w:tc>
      </w:tr>
      <w:tr>
        <w:trPr/>
        <w:tc>
          <w:tcPr>
            <w:tcW w:w="7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7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earnings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7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assumed shares under treasury stock method for restricted stock units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71,635</w:t>
            </w:r>
          </w:p>
        </w:tc>
      </w:tr>
      <w:tr>
        <w:trPr/>
        <w:tc>
          <w:tcPr>
            <w:tcW w:w="7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7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7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0.41</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15—Related Party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list of transactions in which the Company and other persons deemed to be related parties have participated for the periods presented. These transactions were approved by the Company’s independent directors in accordance with the Company’s policy with respect to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entered into a discretionary commitment to fund up to $9.0 million of preferred equity in an entity that owned the leasehold interest under one of the Company’s office Ground Leases located in Washington, DC and through March 31, 2025, the Company funded $1.5 million of the commitment amount. At inception in April 2024, the Company incurred $0.4 million of costs creating the entity formed to own the leasehold interest, which resulted in a total investment balance of $1.9 million. In May 2025, the leasehold interest was acquired by a new sponsor and the Company determined its investment was not recoverable, which resulted in a $1.9 million write-off of the Company’s preferred equity investment as of March 31, 2025. The write-off is included in “Other expense” in the Company’s consolidated statement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Star Holdings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immediately prior to the closing of the Merger, the Company (then known as iStar Inc.) spun-off of its remaining legacy assets and certain other assets (the “Spin-Off”) pursuant to a separation and distribution agreement (the “Separation and Distribution Agreement”), dated as of March 31, 2023, by and between the Company and Star Holdings. The Separation and Distribution Agreement sets forth, among other things, Star Holdings’ agreements with the Company regarding the principal transactions necessary to separate Star Holdings from the Company. It also sets forth other agreements that govern certain aspects of Star Holdings’ relationship with the Company after the Spin-Off relating to the transfer of assets and assumption of liabilities, cash assets, release of claims, insurance, non-solicitation, segregation of accounts and other matters. The Separation and Distribution Agreement also includes a mutual release by Star Holdings, on the one hand, and the Company, on the other hand, of the other party from certain specified liabilities, as well as mutual indemnification covenants pursuant to which Star Holdings and the Company have agreed to indemnify each other from certain specified liabilities.</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SpinCo Manager is party to a management agreement with Star Holdings, pursuant to which it will operate and pursue the orderly monetization of Star Holding’s assets. On March 28, 2025, the Company and Star Holdings entered into an amendment to the Management Agreement that increased the management fee payable in year four of the contract from $5.0 million to $7.5 million and increased the termination fee payable by Star Holdings in certain circumstances from $50.0 million to $55.0 million. Pursuant to the management agreement, Star Holdings paid to SpinCo Manager an annual management fee of $25.0 million for the annual term ended March 31, 2024, $15.0 million for the annual term ended March 31, 2025 and $10.0 million for the annual term ended March 31, 2026. The annual fee declined to $7.5 million for the next annual term and adjusts to 2.0% of the gross book value of Star Holding's assets, excluding shares of the Company’s common stock held by Star Holdings, thereafter. The management agreement had an initial one-year term and now automatically renews for successive one-year terms each anniversary date thereafter unless previously terminated. The management agreement may be terminated by Star Holdings without cause by not less than one hundred eighty days’ written notice to SpinCo Manager upon the affirmative vote of at least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Star Holdings’ independent directors, provided, however, that if the date of termination occurs prior to March 31, 2027, the termination will be subject to payment of the applicable termination fee to SpinCo Manager. Star Holdings may also terminate the management agreement at any time with 30 days’ prior written notice from Star Holdings’ board of trustees for “cause,” as defined in the management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 termination without cause by Star Holdings prior to March 31, 2027, Star Holdings will pay SpinCo Manager a termination fee of $55.0 million minus the aggregate amount of management fees actually paid to SpinCo Manager prior to the termination date. However, if Star Holdings has completed the liquidation of its assets on or before the termination date, the termination fee will consist of any portion of the annual management fee that remained unpaid for the remainder of the then current annual term.</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and 2025, the Company recorded $2.1 million and $3.6 million, respectively, in management fees from Star Holdings. The management fees are included in “Other income” in the Company’s consolidated statements of operations.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 As of March 31, 2026, Star Holdings owned approximately 18.8% of the Company’s common stock outstanding through a wholly-owned subsidiary.</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the Company, Portfolio Holdings and Star Investment Holdings SPV LLC (“Star Investment Holdings”), a subsidiary of Star Holdings, entered into an ATM Equity Offering Sales Agreement (the “Selling Stockholder Sales Agreement”) with the sales agents named therein pursuant to which Star Investment Holdings may sell, from time to time, subject to receiving the Company’s consent, up to 1,000,000 shares of the Company’s common stock (the “Selling Stockholder Shares”) through or to the sales agents. Star Investment Holdings may sell the Selling Stockholder Shares in amounts and at times to be determined by Star Investment Holdings, subject to receiving the Company’s consent, from time to time but has no obligation to sell any of the Selling Stockholder Shares. Actual sales, if any, will depend on a variety of factors to be determined by Star Investment Holdings from time to time, including, among other things, market conditions, the trading price of the Company’s common stock, capital needs and determinations by Star Investment Holdings of the appropriate sources of its funding.</w:t>
      </w:r>
    </w:p>
    <w:p>
      <w:pPr>
        <w:pStyle w:val="TextBody"/>
        <w:shd w:fill="FFFFFF" w:val="clear"/>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16—Segment Reporting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Prior to January 1, 2026, the Company conducted its business through one reportable and one operating segment by acquiring, managing and capitalizing Ground Leases, which the Company believes provides an opportunity for safe, growing income. On January 1, 2026, the Company became responsible for operating two hotel properties that reverted to it following the expiration of a master lease (refer to Note 3). Subsequent to January 1, 2026, the Company operates its two hotel properties under a new reportable and operating “Hotel Operations” segment. All of the Company’s interest expense and general and administrative expenses are included in its Ground Leases segment. The Company’s chief executive officer is the chief operating decision maker (“CODM”) and uses net income (loss) before income taxes to measure segment operating performance and allocate resources in line with its business and operating needs.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expenses are included in segment operating performance and are reviewed regularly. However, the CODM reviews interest expense and general and administrative expense on a more disaggregated basis. The CODM reviews interest expense in more detail because the Company uses its cost of capital to price its investments. The CODM also reviews general and administrative expense, which includes public company costs consisting of compensation, occupancy, and other corporate costs, in more detail to ensure its resources are in line with its business and operating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pPr>
      <w:bookmarkStart w:id="1316" w:name="Tc_sbM-mamYq0mo8yHmn0YStw_20_8"/>
      <w:bookmarkStart w:id="1317" w:name="Tc_LEhlb2WV60WouWrRDpzz7Q_20_5"/>
      <w:bookmarkStart w:id="1318" w:name="Tc_lJRha6aRY02zLLNcNz-4cw_20_2"/>
      <w:bookmarkStart w:id="1319" w:name="Tc_P7R-JWhE2ECwisd7pHWWKQ_20_0"/>
      <w:bookmarkStart w:id="1320" w:name="Tc_yJKEaE2r0E2CfYx1819Zhw_19_0"/>
      <w:bookmarkStart w:id="1321" w:name="Tc_L27fe8o0AUSFxj4gkNQMMw_18_6"/>
      <w:bookmarkStart w:id="1322" w:name="Tc_ONQJBM1WDE-avjpIl1VUJQ_18_0"/>
      <w:bookmarkStart w:id="1323" w:name="Tc_wEBj6M2kFkW0z6y-j5MIjw_17_6"/>
      <w:bookmarkStart w:id="1324" w:name="Tc_PP5N2N_lNUmsoCY7Xh4ukg_17_0"/>
      <w:bookmarkStart w:id="1325" w:name="Tc_Ye1NY32KLU2bYSiMo-hAjQ_16_6"/>
      <w:bookmarkStart w:id="1326" w:name="Tc_OE0BXkHuEE6hWVILEKbSLw_16_0"/>
      <w:bookmarkStart w:id="1327" w:name="Tc_z8rVI2QfEEWRuIrQrnhwxQ_15_6"/>
      <w:bookmarkStart w:id="1328" w:name="Tc_yjvejk7FbUCcpu57cgbjAQ_15_0"/>
      <w:bookmarkStart w:id="1329" w:name="Tc_lC17mhbgUkqLThs3FAlgRA_14_0"/>
      <w:bookmarkStart w:id="1330" w:name="Tc_-q3-q7zOdUq4yJuvxSeBww_13_3"/>
      <w:bookmarkStart w:id="1331" w:name="Tc_XWX8iJI_yUKXHEvYZh85Vw_13_0"/>
      <w:bookmarkStart w:id="1332" w:name="Tc_4LUd7Wq6Zkuasiuum_JTIQ_12_6"/>
      <w:bookmarkStart w:id="1333" w:name="Tc_9NjUJdOV6EO5-1yRxgdZEQ_12_0"/>
      <w:bookmarkStart w:id="1334" w:name="Tc_iPJ31nAFTUuOL7UQlS_ndw_11_6"/>
      <w:bookmarkStart w:id="1335" w:name="Tc_9ot_QwmVCUSCI5P_7nsWKQ_11_0"/>
      <w:bookmarkStart w:id="1336" w:name="Tc_GpydUTXxxEmUmG6esVEBVw_10_0"/>
      <w:bookmarkStart w:id="1337" w:name="Tc_22TpX8H3F0ulguS2767y_w_9_0"/>
      <w:bookmarkStart w:id="1338" w:name="Tc_kIGAfusNd0O2zUGPVwUc5g_8_6"/>
      <w:bookmarkStart w:id="1339" w:name="Tc_JaUHO9fVq0WTR_T9jG0S6Q_8_0"/>
      <w:bookmarkStart w:id="1340" w:name="Tc_U4Oo-frzGUGO4LGMgpjzXw_7_6"/>
      <w:bookmarkStart w:id="1341" w:name="Tc_AakzP_FDhUSIqgFRaxgPqw_7_0"/>
      <w:bookmarkStart w:id="1342" w:name="Tc_CoO7YNojBkSqMCxjOb6P5A_6_3"/>
      <w:bookmarkStart w:id="1343" w:name="Tc_ZBe0DI0fx0uUZoTeKPnC9Q_6_0"/>
      <w:bookmarkStart w:id="1344" w:name="Tc_4J6cNlTOy0yrLZiaHhZ0LA_5_6"/>
      <w:bookmarkStart w:id="1345" w:name="Tc_B_3sR6IdF02lYxmZYzSNnw_5_0"/>
      <w:bookmarkStart w:id="1346" w:name="Tc_vYc7enH9J0iOjZ63dGgxew_4_8"/>
      <w:bookmarkStart w:id="1347" w:name="Tc_km-1505eiEeG9ml5tk8Gew_4_6"/>
      <w:bookmarkStart w:id="1348" w:name="Tc_Eoa0o-hYQkGFNlsRH76TWw_4_5"/>
      <w:bookmarkStart w:id="1349" w:name="Tc_x3dFdu8hZkeACHvh0b1egg_4_2"/>
      <w:bookmarkStart w:id="1350" w:name="Tc_vYzj8YVx7U6rvC4EuCEzvQ_4_0"/>
      <w:bookmarkStart w:id="1351" w:name="Tc_Uj0-4Fb_HkG7ZpiJec9B0A_3_0"/>
      <w:bookmarkStart w:id="1352" w:name="Tc_UblwV0gsn0G8aug93tBczg_2_8"/>
      <w:bookmarkStart w:id="1353" w:name="Tc_2ZBwQdIEL0GZpy9_YvLLgw_2_5"/>
      <w:bookmarkStart w:id="1354" w:name="Tc_eWIYeV8aVEmktt9W-MO-8Q_2_2"/>
      <w:bookmarkStart w:id="1355" w:name="Tc_r1Zs8bX0aEu8R4qPOyRkcA_1_5"/>
      <w:bookmarkStart w:id="1356" w:name="Tc_C3Zg_tTecUa25riIuN2k1Q_1_2"/>
      <w:bookmarkStart w:id="1357" w:name="_37a4e20a_ba57_494a_9f28_81cb690f46c2"/>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income statement segment information is as follows for the three months ended March 31, 2026 ($ in thousands): </w:t>
      </w:r>
    </w:p>
    <w:p>
      <w:pPr>
        <w:pStyle w:val="TextBody"/>
        <w:bidi w:val="0"/>
        <w:spacing w:before="0" w:after="0"/>
        <w:ind w:left="0" w:right="0" w:hanging="0"/>
        <w:jc w:val="left"/>
        <w:rPr/>
      </w:pPr>
      <w:r>
        <w:rPr/>
        <w:t>​</w:t>
      </w:r>
    </w:p>
    <w:tbl>
      <w:tblPr>
        <w:tblW w:w="8860" w:type="dxa"/>
        <w:jc w:val="left"/>
        <w:tblInd w:w="0" w:type="dxa"/>
        <w:tblLayout w:type="fixed"/>
        <w:tblCellMar>
          <w:top w:w="0" w:type="dxa"/>
          <w:left w:w="0" w:type="dxa"/>
          <w:bottom w:w="0" w:type="dxa"/>
          <w:right w:w="0" w:type="dxa"/>
        </w:tblCellMar>
      </w:tblPr>
      <w:tblGrid>
        <w:gridCol w:w="4771"/>
        <w:gridCol w:w="346"/>
        <w:gridCol w:w="211"/>
        <w:gridCol w:w="796"/>
        <w:gridCol w:w="346"/>
        <w:gridCol w:w="211"/>
        <w:gridCol w:w="796"/>
        <w:gridCol w:w="346"/>
        <w:gridCol w:w="211"/>
        <w:gridCol w:w="82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029585" cy="175260"/>
                      <wp:effectExtent l="0" t="0" r="0" b="0"/>
                      <wp:wrapNone/>
                      <wp:docPr id="433" name="Frame433"/>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05460" cy="175260"/>
                      <wp:effectExtent l="0" t="0" r="0" b="0"/>
                      <wp:wrapNone/>
                      <wp:docPr id="436" name="Frame4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5460" cy="175260"/>
                      <wp:effectExtent l="0" t="0" r="0" b="0"/>
                      <wp:wrapNone/>
                      <wp:docPr id="439" name="Frame4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24510" cy="175260"/>
                      <wp:effectExtent l="0" t="0" r="0" b="0"/>
                      <wp:wrapNone/>
                      <wp:docPr id="442" name="Frame4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Ground</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Hotel</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20,156</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110,854</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 and 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non-cash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 public company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 stock-based compensation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29,582</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CODM also considers management fees earned from Star Holdings (refer to Note 15) in their review of general and administrative expense because many of the Company’s employees spend time and resources performing basic functions for the management of Star Holdings. During the three months ended March 31, 2026 and 2025, the Company earned $2.1</w:t>
            </w:r>
            <w:r>
              <w:rPr>
                <w:caps w:val="false"/>
                <w:smallCaps w:val="false"/>
              </w:rPr>
              <w:t> </w:t>
            </w:r>
            <w:r>
              <w:rPr>
                <w:rFonts w:ascii="Times New Roman;Times;serif" w:hAnsi="Times New Roman;Times;serif"/>
                <w:b w:val="false"/>
                <w:i w:val="false"/>
                <w:caps w:val="false"/>
                <w:smallCaps w:val="false"/>
                <w:sz w:val="16"/>
              </w:rPr>
              <w:t>million and $3.6</w:t>
            </w:r>
            <w:r>
              <w:rPr>
                <w:caps w:val="false"/>
                <w:smallCaps w:val="false"/>
              </w:rPr>
              <w:t> </w:t>
            </w:r>
            <w:r>
              <w:rPr>
                <w:rFonts w:ascii="Times New Roman;Times;serif" w:hAnsi="Times New Roman;Times;serif"/>
                <w:b w:val="false"/>
                <w:i w:val="false"/>
                <w:caps w:val="false"/>
                <w:smallCaps w:val="false"/>
                <w:sz w:val="16"/>
              </w:rPr>
              <w:t>million, respectively, in management fees from Star Holdings. The management fees are included in “Other income” in the Company’s consolidated statements of operations.</w:t>
            </w:r>
          </w:p>
        </w:tc>
      </w:tr>
    </w:tbl>
    <w:tbl>
      <w:tblPr>
        <w:tblW w:w="3797" w:type="dxa"/>
        <w:jc w:val="left"/>
        <w:tblInd w:w="0" w:type="dxa"/>
        <w:tblLayout w:type="fixed"/>
        <w:tblCellMar>
          <w:top w:w="0" w:type="dxa"/>
          <w:left w:w="0" w:type="dxa"/>
          <w:bottom w:w="0" w:type="dxa"/>
          <w:right w:w="0" w:type="dxa"/>
        </w:tblCellMar>
      </w:tblPr>
      <w:tblGrid>
        <w:gridCol w:w="331"/>
        <w:gridCol w:w="34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real estate expense and other expenses.</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approximately $89.3 million of total assets were attributable to the Hotel Operations segment. All other total assets were attributable to the Ground Leases segment.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8" w:name="Item2ManagementsDiscussionandAnalysisofF"/>
      <w:bookmarkStart w:id="1359" w:name="_4405087d_cc00_405e_817c_e73c4dc8cdaf"/>
      <w:bookmarkEnd w:id="1358"/>
      <w:bookmarkEnd w:id="135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Safehold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 “Risk Factors” in our Annual Report on Form 10-K for the year ended December 31, 2025 (the “2025 Annual Report”), all of which could affect our future results of operations, financial condition and liquidity.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discussion below should be read in conjunction with our consolidated financial statements and related notes in this quarterly report on Form 10-Q and our 2025 Annual Report. These historical financial statements may not be indicative of our future performance.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primary business is the acquisition, management and capitalization of Ground Leases and we believe owning a portfolio of Ground Leases affords our investors the opportunity for safe, growing income. Safety is derived from a Ground Lease’s senior position in the commercial real estate capital structure. Growth is realized through long-term leases with contractual periodic increases in rent. Capital appreciation is realized though appreciation in the value of the land over time and through our typical rights as landlord to acquire the commercial buildings on our land at the end of a Ground Lease, which may yield substantial value to us. As of March 31, 2026, the percentage breakdown of the gross book value of our Ground Lease portfolio </w:t>
      </w:r>
      <w:r>
        <w:rPr>
          <w:rFonts w:ascii="Times New Roman;Times;serif" w:hAnsi="Times New Roman;Times;serif"/>
          <w:sz w:val="20"/>
          <w:shd w:fill="FFFFFF" w:val="clear"/>
        </w:rPr>
        <w:t>was 43% multi-family, 40% office, 9% hotels, 6% life science and 2% mixed use and other.</w:t>
      </w:r>
      <w:r>
        <w:rPr>
          <w:rFonts w:ascii="Times New Roman;Times;serif" w:hAnsi="Times New Roman;Times;serif"/>
          <w:sz w:val="20"/>
        </w:rPr>
        <w:t xml:space="preserve"> The diversification by geographic location, property type and sponsor in our portfolio further reduces risk and enhances potential upside.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2022, the Consumer Price Index (“CPI”) rose to its highest rate in over 40 years. Many of our Ground Leases have CPI lookbacks, generally starting between years 11 and 21 of the lease term, to mitigate the effects of inflation that are typically capped between 3.0% - 3.5%; however, in the event cumulative inflation growth for the lookback period exceeds the cap, these rent adjustments may not keep up fully with changes in inflation. To combat the increase in inflation over the past few years, the Federal Reserve raised interest rates and has kept interest rates generally high, although recently they began to reduce rates. The Federal Reserve has indicated that the economic outlook, which could include any potential impact on the economy from changes to U.S. trade policy and/or the consequences of heightened geopolitical tensions, including the armed conflict in the Middle East, is uncertain and it will continue to monitor incoming data on unemployment and inflation before adjusting monetary policy; however, high interest rates have continued to, and any future increase in interest rates may continue to result in a reduction in the availability or an increase in costs of leasehold financing for Ground Lease tenants, which is critical to the growth of a robust Ground Lease market. Elevated interest rates and increased investment spreads to treasury bonds in the Ground Lease market may also attract new competitors, which may result in higher costs for properties, lower returns and impact our ability to grow.</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rise in interest rates has also adversely affected the U.S. office sector, along with office vacancies and a decline in market liquidity that began with the onset of the COVID-19 pandemic, all of which could negatively impact our tenants, Ground Rent Coverages and estimated Combined Property Values. Moreover, certain office assets currently have material vacancies. If our Ground Lease tenants at such assets fail to re-tenant the building, such Ground Leases may default and we may suffer losses. We entered into a forbearance agreement with a tenant under a significant New York office asset in connection with the tenant’s failure to pay real estate taxes. The tenant defaulted on such agreement and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made a $8.3 million protective tax advance. We may experience delays in enforcing our rights as landlord including any potential termination under the Ground Lease and may suffer losses and incur substantial costs in protecting our investment. See the "Risk Factors" section of our 2025 Annual Report for additional discussion of certain potential risks to our business related to competition and industry concentrations.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High Quality Long-Term Cash Flow</w:t>
      </w:r>
      <w:r>
        <w:rPr>
          <w:rFonts w:ascii="Times New Roman;Times;serif" w:hAnsi="Times New Roman;Times;serif"/>
          <w:sz w:val="20"/>
        </w:rPr>
        <w:t>: We believe that a Ground Lease represents a safe position in a property’s capital structure. The combined value of the land and buildings and improvements thereon subject to a Ground Lease (the “Combined Property Value”) typically significantly exceeds the Ground Lease landlord’s investment in the Ground Lease; therefore, even if the landlord takes over the property following a tenant default or upon expiration of the Ground Lease, the landlord may recover substantially all of its Ground Lease investment, and possibly amounts in excess of its investment, depending upon prevailing market conditions. Additionally, the typical structure of a Ground Lease provides the landlord with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Growth</w:t>
      </w:r>
      <w:r>
        <w:rPr>
          <w:rFonts w:ascii="Times New Roman;Times;serif" w:hAnsi="Times New Roman;Times;serif"/>
          <w:sz w:val="20"/>
        </w:rPr>
        <w:t>: Ground Leases typically provide growing income streams through contractual base rent escalators that may compound over the duration of the lease. These rent escalators may be based on fixed increases, CPI or a combination thereof, and may also include a participation in the gross revenues of the property. We believe that this growth in the lease rate over time can mitigate the effects of inflation and capture anticipated increases in land values over time, as well as serving as a basis for growing our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Opportunity for Capital Appreciation: </w:t>
      </w:r>
      <w:r>
        <w:rPr>
          <w:rFonts w:ascii="Times New Roman;Times;serif" w:hAnsi="Times New Roman;Times;serif"/>
          <w:sz w:val="20"/>
        </w:rPr>
        <w:t>The opportunity for capital appreciation comes in two forms. First, as the ground rent grows over time, the value of the Ground Lease should grow under market conditions in which capitalization rates remain flat. Second, our residual right to regain possession of the land underlying the Ground Lease and take title to the buildings and other improvements thereon at lease expiration or earlier termination of the lease for no additional consideration creates additional potential value to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target Ground Lease investments in which the initial cost of the Ground Lease represents 30% to 45% of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our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in our 2025 Annual Report for additional discussion of these tenant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Owned Residual Portfolio</w:t>
      </w:r>
      <w:r>
        <w:rPr>
          <w:rFonts w:ascii="Times New Roman;Times;serif" w:hAnsi="Times New Roman;Times;serif"/>
          <w:sz w:val="20"/>
        </w:rPr>
        <w:t>: We believe that the residual right is a unique feature distinguishing Ground Leases from other fixed income investments and property types. We refer to the value of the land and improvements subject to a Ground Lease in excess of our investment basis as unrealized capital appreciation (“UCA”). We track the UCA in our owned residual portfolio over our basis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that, similar to a loan to value metric, tracking changes in the value of our owned residual portfolio is useful as an indicator of the quality of our cash flows and the safety of our position in a tenant’s capital structure, which, in turn, supports our objective to pay and grow dividends over time. Observing changes in our owned residual portfolio value also helps us monitor changes in the value of the real estate portfolio that reverts to us under the terms of the leases,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either at the expiration or earlier termination of the lease. The value may be realized by us at the relevant time by entering into a new lease reflecting then current market terms and values, selling the building, selling the building with the land, or operating the building directly and leasing the spaces to tenants at prevailing market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engaged an independent valuation firm to prepare: (a) initial reports of the Combined Property Value associated with our Ground Lease portfolio; and (b) periodic updates of such reports, which we use, in part, to determine the current estimated value of our owned residual portfolio. We calculate this estimated value by subtracting our original aggregate cost basis in the Ground Leases from our estimated aggregate Combined Property Value, based on estimates by the valuation firm and by management.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the current estimated UCA in our owned residual portfolio as of March 31, 2026 and December 31, 2025 ($ in millions):</w:t>
      </w:r>
      <w:r>
        <w:rPr>
          <w:rFonts w:ascii="Times New Roman;Times;serif" w:hAnsi="Times New Roman;Times;serif"/>
          <w:sz w:val="15"/>
        </w:rPr>
        <w:t>(1)</w:t>
      </w:r>
    </w:p>
    <w:p>
      <w:pPr>
        <w:pStyle w:val="TextBody"/>
        <w:bidi w:val="0"/>
        <w:spacing w:before="0" w:after="0"/>
        <w:ind w:left="0" w:right="0" w:hanging="0"/>
        <w:jc w:val="left"/>
        <w:rPr/>
      </w:pPr>
      <w:r>
        <w:rPr/>
        <w:t>​</w:t>
      </w:r>
    </w:p>
    <w:tbl>
      <w:tblPr>
        <w:tblW w:w="8960" w:type="dxa"/>
        <w:jc w:val="left"/>
        <w:tblInd w:w="0" w:type="dxa"/>
        <w:tblLayout w:type="fixed"/>
        <w:tblCellMar>
          <w:top w:w="0" w:type="dxa"/>
          <w:left w:w="0" w:type="dxa"/>
          <w:bottom w:w="0" w:type="dxa"/>
          <w:right w:w="0" w:type="dxa"/>
        </w:tblCellMar>
      </w:tblPr>
      <w:tblGrid>
        <w:gridCol w:w="5461"/>
        <w:gridCol w:w="346"/>
        <w:gridCol w:w="299"/>
        <w:gridCol w:w="962"/>
        <w:gridCol w:w="346"/>
        <w:gridCol w:w="350"/>
        <w:gridCol w:w="119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467735" cy="175260"/>
                      <wp:effectExtent l="0" t="0" r="0" b="0"/>
                      <wp:wrapNone/>
                      <wp:docPr id="443" name="Frame443"/>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89865" cy="175260"/>
                      <wp:effectExtent l="0" t="0" r="0" b="0"/>
                      <wp:wrapNone/>
                      <wp:docPr id="445" name="Frame44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10870" cy="175260"/>
                      <wp:effectExtent l="0" t="0" r="0" b="0"/>
                      <wp:wrapNone/>
                      <wp:docPr id="446" name="Frame44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22250" cy="175260"/>
                      <wp:effectExtent l="0" t="0" r="0" b="0"/>
                      <wp:wrapNone/>
                      <wp:docPr id="448" name="Frame448"/>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759460" cy="175260"/>
                      <wp:effectExtent l="0" t="0" r="0" b="0"/>
                      <wp:wrapNone/>
                      <wp:docPr id="449" name="Frame449"/>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Combined Property Value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16,247</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15,947</w:t>
            </w:r>
          </w:p>
        </w:tc>
      </w:tr>
      <w:tr>
        <w:trPr/>
        <w:tc>
          <w:tcPr>
            <w:tcW w:w="54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Cost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Capital Appreciation in Our Owned Residual Portfolio</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9,272</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Please review our Current Report on Form 8-K filed on April 30, 2026 for a discussion of the valuation methodology used and important limitations and qualifications of the calculation of UCA. See “Risk Factors-</w:t>
            </w:r>
            <w:r>
              <w:rPr>
                <w:rFonts w:ascii="Times New Roman;Times;serif" w:hAnsi="Times New Roman;Times;serif"/>
                <w:b w:val="false"/>
                <w:i/>
                <w:sz w:val="16"/>
              </w:rPr>
              <w:t>Certain tenant rights under our Ground Leases may limit the value and the UCA we are able to realize upon lease expiration, sale of our land and Ground Leases or other events</w:t>
            </w:r>
            <w:r>
              <w:rPr>
                <w:caps w:val="false"/>
                <w:smallCaps w:val="false"/>
              </w:rPr>
              <w:t xml:space="preserve">” </w:t>
            </w:r>
            <w:r>
              <w:rPr>
                <w:rFonts w:ascii="Times New Roman;Times;serif" w:hAnsi="Times New Roman;Times;serif"/>
                <w:b w:val="false"/>
                <w:i w:val="false"/>
                <w:caps w:val="false"/>
                <w:smallCaps w:val="false"/>
                <w:sz w:val="16"/>
              </w:rPr>
              <w:t>included in “Risk Factors” of our 2025 Annual Report</w:t>
            </w:r>
            <w:r>
              <w:rPr>
                <w:caps w:val="false"/>
                <w:smallCaps w:val="false"/>
              </w:rPr>
              <w:t xml:space="preserve"> </w:t>
            </w:r>
            <w:r>
              <w:rPr>
                <w:rFonts w:ascii="Times New Roman;Times;serif" w:hAnsi="Times New Roman;Times;serif"/>
                <w:b w:val="false"/>
                <w:i w:val="false"/>
                <w:caps w:val="false"/>
                <w:smallCaps w:val="false"/>
                <w:sz w:val="16"/>
              </w:rPr>
              <w:t xml:space="preserve">for a discussion of certain tenant rights and other terms of the leases that may limit our ability to realize value from the UCA.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 xml:space="preserve">Combined Property Value includes our applicable percentage interests in our unconsolidated Ground Lease </w:t>
            </w:r>
            <w:r>
              <w:rPr>
                <w:rFonts w:ascii="Times New Roman;Times;serif" w:hAnsi="Times New Roman;Times;serif"/>
                <w:b w:val="false"/>
                <w:i w:val="false"/>
                <w:caps w:val="false"/>
                <w:smallCaps w:val="false"/>
                <w:sz w:val="16"/>
              </w:rPr>
              <w:t>ventures and $682.4 million and $616.2 million related to transactions with remaining unfunded commitments as of March 31, 2026 and December 31, 2025, respectively.</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Combined Property Value excludes the term loan to Star Holdings, the assets in the Leasehold Loan Fund (refer to Note 8 to the consolidated financial statements), the assets in the Ground Lease Plus Fund and amounts attributable to noncontrolling interests. Ground Lease Cost includes our applicable percentage interests in our unconsolidated Ground Lease ventures and $137.0 million and $142.3 million of unfunded commitments as of March 31, 2026 and December 31, 2025, respectively. Ground Lease Cost excludes the term loan to Star Holdings, our leasehold loans, the assets in the Leasehold Loan Fund, the assets in the Ground Lease Plus Fund and amounts attributable to noncontrolling interests. </w:t>
            </w:r>
            <w:r>
              <w:rPr>
                <w:rFonts w:ascii="Times New Roman;Times;serif" w:hAnsi="Times New Roman;Times;serif"/>
                <w:b w:val="false"/>
                <w:i w:val="false"/>
                <w:caps w:val="false"/>
                <w:smallCaps w:val="false"/>
                <w:sz w:val="16"/>
              </w:rPr>
              <w:t>As of March 31, 2026, our gross book value as a percentage of combined property value was 51%.</w:t>
            </w:r>
          </w:p>
        </w:tc>
      </w:tr>
    </w:tbl>
    <w:p>
      <w:pPr>
        <w:pStyle w:val="TextBody"/>
        <w:bidi w:val="0"/>
        <w:spacing w:before="0" w:after="0"/>
        <w:ind w:left="36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Caret Program (as defined below) is designed to recognize the two distinct components of value in our Ground Lease portfolio by separating them into:</w:t>
      </w:r>
    </w:p>
    <w:p>
      <w:pPr>
        <w:pStyle w:val="TextBody"/>
        <w:shd w:fill="FFFFFF" w:val="clear"/>
        <w:bidi w:val="0"/>
        <w:spacing w:before="0" w:after="0"/>
        <w:ind w:left="0" w:right="0" w:firstLine="72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“bond component,” which consists of the bond-like income stream we receive from contractual rent payments under our Ground Leases, plus the return of our investment basis in each asset; and</w:t>
            </w:r>
            <w:r>
              <w:rPr>
                <w:caps w:val="false"/>
                <w:smallCaps w:val="false"/>
              </w:rPr>
              <w:t xml:space="preserve">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“Caret component,” which consists of the UCA above our investment basis in our Ground Leases due to our ownership of the land and improvements at the end of the term of the applicable Ground Lease.</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Portfolio Holdings’ two classes of limited liability company interests are designed to track these two components: “GL units” are intended to track the bond component and “Caret units” are designed to track the Caret component (the “Caret Program”). We currently hold all of the issued and outstanding GL units of Portfolio Holdings.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general, all of our Ground Leases are subject to the Caret Program, except for non-commercial Ground Leases and pre-development Ground Leases. Holders of Caret units are generally entitled to amounts equal to the net proceeds from the disposition of a Ground Lease asset in excess of the cost borne by us to acquire such asset (including amounts paid to the tenant in connection with the initial development of improvements at the properties). However, we are entitled to deduct (i) unrecovered acquisition costs borne by Portfolio Holdings following the termination of an applicable Ground Lease by reason of defaults of tenants; (ii) accrued unpaid rent under the applicable Ground Lease; and (iii) unrecovered costs relating to the issuance, maintenance and management of Caret units as a separate security, among other costs, from the amount payable to the holders of Caret units on account of such net proceeds. See “SAFE Proposal 2: The SAFE Caret Amendment Proposal” in our Registration Statement on Form S-4, filed with the SEC on December 16, 2022, for more information on the Caret Program.</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the Caret Performance Incentive Plan (the “Caret Performance Incentive Plan”) pursuant to which Caret units are reserved for grants of performance-based awards to participants, including certain employees of the Company, directors and service providers. As of March 31, 2026, all outstanding Caret units awarded under the Caret Performance Incentive Plan are fully vested except for grants awarded in connection with the merger between Safehold Inc. and iStar Inc. on March 31, 2023 to executive officers and other employees, which are subject to cliff vesting on March 31, 2027 if our common stock has traded at an average price of $60.00 or more for at least 30 consecutive trading days since the grant date, and 50,000 Caret units granted to an employee in December 2025 that will vest pro rata annually over a five-year period, subject to continued employment and service conditions. As of March 31, 2026, vested and unvested Caret units beneficially owned by our officers and other employees represent approximately 14.8% of the outstanding Caret units and 11.8% of the authorized Caret units, including 6.1% held directly and indirectly by Jay Sugarman, our Chairman and Chief Executive Officer, and approximately 78,996 Caret units remain available for issuance under the Caret Performance Incentive Plan.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Caret units awarded or reserved for issuance under our Caret Performance Incentive Plan, we have sold 122,500 Caret units to third-party investors, including affiliates of MSD Partners that remain outstanding as of March 31, 2026. As of March 31, 2026, the Company owned 83.9% of the outstanding Caret units. </w:t>
      </w:r>
    </w:p>
    <w:p>
      <w:pPr>
        <w:pStyle w:val="TextBody"/>
        <w:shd w:fill="FFFFFF" w:val="clear"/>
        <w:bidi w:val="0"/>
        <w:spacing w:before="0" w:after="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Market Opportunity</w:t>
      </w:r>
      <w:r>
        <w:rPr>
          <w:rFonts w:ascii="Times New Roman;Times;serif" w:hAnsi="Times New Roman;Times;serif"/>
          <w:sz w:val="20"/>
        </w:rPr>
        <w:t xml:space="preserve">: We believe that there is a significant market opportunity for a dedicated provider of Ground Lease capital like us. We believe that the market for existing Ground Leases is fragmented with ownership comprised primarily of high net 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we have created additional channels and products that allow us to build a larger, captive pipeline. We have interests in two Ground Lease ecosystem funds, the Ground Lease Plus Fund and the Leasehold Loan Fund (refer to Note 8 to the consolidated financial statements), and in 2025, we also began originating leasehold loans individually. The Ground Lease Plus Fund includes two assets and targets high quality projects in pre-construction development phase with institutional developers. The Leasehold Loan Fund currently includes three assets and allows customers to receive their full capital structure needs in one place. Customers are able to receive a mortgage leasehold loan as well as a Ground Lease through us. We also created “SAFExSWAP,” which is a program that allows real estate investors with existing ground leases to swap into one of our Ground Leases. Additionally, our product “SAFExSELL” provides clients with an opportunity to enter into a Ground Lease at the time of the sale of a real estate asset, generating greater proceeds than would normally be expected in connection with a fee simple sale.</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Additionally, from time to time we may own and operate commercial properties that revert to us, as occurred on January 1, 2026 when we became responsible for operating two hotel properties, which is reflected in our Hotel Operations segment (refer to Note 16 to the consolidated financial statements).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Portfolio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portfolio of properties is diversified by property type and region. Our portfolio is comprised of Ground Leases, leasehold loans, hotel properties that we operate and one master lease (relating to three hotel assets that we refer to as our “Park Hotels Portfolio”) that has many of the characteristics of a Ground Lease. The tenant under our Park Hotels Portfolio elected to extend the leases underlying three of the five hotels past the initial lease maturity of December 2025 (see the "Risk Factors -</w:t>
      </w:r>
      <w:r>
        <w:rPr>
          <w:rFonts w:ascii="Times New Roman;Times;serif" w:hAnsi="Times New Roman;Times;serif"/>
          <w:i/>
          <w:sz w:val="20"/>
        </w:rPr>
        <w:t>We may be unable to renew expiring Ground Leases, re-lease the land or sell the properties on favorable terms or at all</w:t>
      </w:r>
      <w:r>
        <w:rPr>
          <w:rFonts w:ascii="Times New Roman;Times;serif" w:hAnsi="Times New Roman;Times;serif"/>
          <w:sz w:val="20"/>
        </w:rPr>
        <w:t>, -</w:t>
      </w:r>
      <w:r>
        <w:rPr>
          <w:rFonts w:ascii="Times New Roman;Times;serif" w:hAnsi="Times New Roman;Times;serif"/>
          <w:i/>
          <w:sz w:val="20"/>
        </w:rPr>
        <w:t>Percentage rent payable under our master lease relating to the Park Hotels Portfolio is calculated on an aggregate portfolio-wide basis, -We are the tenant of a Ground Lease underlying a majority of our Doubletree Seattle Airport property</w:t>
      </w:r>
      <w:r>
        <w:rPr>
          <w:rFonts w:ascii="Times New Roman;Times;serif" w:hAnsi="Times New Roman;Times;serif"/>
          <w:sz w:val="20"/>
        </w:rPr>
        <w:t xml:space="preserve">" in our 2025 Annual Report for a discussion of our Park Hotels Portfolio). On October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 2025, we sent the tenant under the Park Hotels master lease a termination notice for all five hotels and commenced litigation against our tenant and Park Intermediate Holdings LLC, guarantor under the master lease, for certain breaches, among other things, related to the maintenance and operations of the hotels. There are no assurances that we will be able to terminate the master lease or prevail in our litigation. As of March 31, 2026, our estimated portfolio Ground Rent Coverage was 3.4x (see the "Risk Factors -</w:t>
      </w:r>
      <w:r>
        <w:rPr>
          <w:rFonts w:ascii="Times New Roman;Times;serif" w:hAnsi="Times New Roman;Times;serif"/>
          <w:i/>
          <w:sz w:val="20"/>
        </w:rPr>
        <w:t>Our estimated UCA, Combined Property Value and Ground Rent Coverage, may not reflect current market values, including the decline in office values, and may decline materially in future periods</w:t>
      </w:r>
      <w:r>
        <w:rPr>
          <w:rFonts w:ascii="Times New Roman;Times;serif" w:hAnsi="Times New Roman;Times;serif"/>
          <w:sz w:val="20"/>
        </w:rPr>
        <w:t>, -</w:t>
      </w:r>
      <w:r>
        <w:rPr>
          <w:rFonts w:ascii="Times New Roman;Times;serif" w:hAnsi="Times New Roman;Times;serif"/>
          <w:i/>
          <w:sz w:val="20"/>
        </w:rPr>
        <w:t>We rely on Property NOI as reported to us by our tenants, -Our estimates of Ground Rent Coverage for properties in development or transition, or for which we do not receive current tenant financial information, may prove to be incorrect</w:t>
      </w:r>
      <w:r>
        <w:rPr>
          <w:rFonts w:ascii="Times New Roman;Times;serif" w:hAnsi="Times New Roman;Times;serif"/>
          <w:sz w:val="20"/>
        </w:rPr>
        <w:t>" in our 2025 Annual Report for a discussion of our estimated Ground Rent Coverage).</w:t>
      </w:r>
    </w:p>
    <w:p>
      <w:pPr>
        <w:pStyle w:val="TextBody"/>
        <w:bidi w:val="0"/>
        <w:spacing w:before="0" w:after="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Below is an overview of the top 10 Ground Leases in our portfolio as of March 31, 2026 (based on gross book value and excluding unfunded commitments):</w:t>
      </w:r>
      <w:r>
        <w:rPr>
          <w:rFonts w:ascii="Times New Roman;Times;serif" w:hAnsi="Times New Roman;Times;serif"/>
          <w:sz w:val="15"/>
        </w:rPr>
        <w:t>(1)</w:t>
      </w:r>
    </w:p>
    <w:tbl>
      <w:tblPr>
        <w:tblW w:w="9837" w:type="dxa"/>
        <w:jc w:val="left"/>
        <w:tblInd w:w="0" w:type="dxa"/>
        <w:tblLayout w:type="fixed"/>
        <w:tblCellMar>
          <w:top w:w="0" w:type="dxa"/>
          <w:left w:w="0" w:type="dxa"/>
          <w:bottom w:w="0" w:type="dxa"/>
          <w:right w:w="0" w:type="dxa"/>
        </w:tblCellMar>
      </w:tblPr>
      <w:tblGrid>
        <w:gridCol w:w="1696"/>
        <w:gridCol w:w="346"/>
        <w:gridCol w:w="1306"/>
        <w:gridCol w:w="346"/>
        <w:gridCol w:w="1141"/>
        <w:gridCol w:w="346"/>
        <w:gridCol w:w="871"/>
        <w:gridCol w:w="346"/>
        <w:gridCol w:w="2026"/>
        <w:gridCol w:w="346"/>
        <w:gridCol w:w="811"/>
        <w:gridCol w:w="25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076960" cy="175260"/>
                      <wp:effectExtent l="0" t="0" r="0" b="0"/>
                      <wp:wrapNone/>
                      <wp:docPr id="450" name="Frame45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829310" cy="175260"/>
                      <wp:effectExtent l="0" t="0" r="0" b="0"/>
                      <wp:wrapNone/>
                      <wp:docPr id="452" name="Frame45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24535" cy="175260"/>
                      <wp:effectExtent l="0" t="0" r="0" b="0"/>
                      <wp:wrapNone/>
                      <wp:docPr id="454" name="Frame4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53085" cy="175260"/>
                      <wp:effectExtent l="0" t="0" r="0" b="0"/>
                      <wp:wrapNone/>
                      <wp:docPr id="456" name="Frame4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86510" cy="175260"/>
                      <wp:effectExtent l="0" t="0" r="0" b="0"/>
                      <wp:wrapNone/>
                      <wp:docPr id="458" name="Frame45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14985" cy="175260"/>
                      <wp:effectExtent l="0" t="0" r="0" b="0"/>
                      <wp:wrapNone/>
                      <wp:docPr id="460" name="Frame46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2560" cy="175260"/>
                      <wp:effectExtent l="0" t="0" r="0" b="0"/>
                      <wp:wrapNone/>
                      <wp:docPr id="461" name="Frame46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 </w:t>
            </w:r>
          </w:p>
        </w:tc>
        <w:tc>
          <w:tcPr>
            <w:tcW w:w="346" w:type="dxa"/>
            <w:tcBorders/>
            <w:vAlign w:val="center"/>
          </w:tcPr>
          <w:p>
            <w:pPr>
              <w:pStyle w:val="TableContents"/>
              <w:bidi w:val="0"/>
              <w:spacing w:before="0" w:after="1"/>
              <w:ind w:left="0" w:right="0" w:hanging="0"/>
              <w:jc w:val="center"/>
              <w:rPr/>
            </w:pPr>
            <w:r>
              <w:rPr/>
              <w:t>​</w:t>
            </w:r>
          </w:p>
        </w:tc>
        <w:tc>
          <w:tcPr>
            <w:tcW w:w="20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 / </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Rent Escalation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 Gross </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Name</w:t>
            </w:r>
          </w:p>
        </w:tc>
        <w:tc>
          <w:tcPr>
            <w:tcW w:w="346" w:type="dxa"/>
            <w:tcBorders/>
            <w:vAlign w:val="center"/>
          </w:tcPr>
          <w:p>
            <w:pPr>
              <w:pStyle w:val="TableContents"/>
              <w:bidi w:val="0"/>
              <w:spacing w:before="0" w:after="1"/>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Type</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Extended</w:t>
            </w:r>
          </w:p>
        </w:tc>
        <w:tc>
          <w:tcPr>
            <w:tcW w:w="346" w:type="dxa"/>
            <w:tcBorders/>
            <w:vAlign w:val="center"/>
          </w:tcPr>
          <w:p>
            <w:pPr>
              <w:pStyle w:val="TableContents"/>
              <w:bidi w:val="0"/>
              <w:spacing w:before="0" w:after="1"/>
              <w:ind w:left="0" w:right="0" w:hanging="0"/>
              <w:jc w:val="left"/>
              <w:rPr/>
            </w:pPr>
            <w:r>
              <w:rPr/>
              <w:t>  ​ ​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Structure</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Book Value</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425 Park Avenue</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2090 / 2090</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135 West 50th Street</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195 Broadway</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 Cambridgeside</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Life Science</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Alohilani</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Honolulu, HI</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685 Third Avenue</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Columbia Center</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2120 / 2120</w:t>
            </w:r>
          </w:p>
        </w:tc>
        <w:tc>
          <w:tcPr>
            <w:tcW w:w="34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1111 Pennsylvania Avenue</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2117 / 2117</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100 Cambridgeside</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Mixed Use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Skylark</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Multifamily</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San Francisco, CA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tbl>
      <w:tblPr>
        <w:tblW w:w="7292" w:type="dxa"/>
        <w:jc w:val="left"/>
        <w:tblInd w:w="0" w:type="dxa"/>
        <w:tblLayout w:type="fixed"/>
        <w:tblCellMar>
          <w:top w:w="0" w:type="dxa"/>
          <w:left w:w="0" w:type="dxa"/>
          <w:bottom w:w="0" w:type="dxa"/>
          <w:right w:w="0" w:type="dxa"/>
        </w:tblCellMar>
      </w:tblPr>
      <w:tblGrid>
        <w:gridCol w:w="331"/>
        <w:gridCol w:w="69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represents the historical purchase price plus accrued interest on sales-type leases.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for this property represents our pro rata share of the gross book value of our unconsolidated venture (refer to Note 8 to the consolidated financial statements).</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show our Ground Lease portfolio by top 10 markets and property type as of March 31, 2026, excluding unfunded commitments:</w:t>
      </w:r>
    </w:p>
    <w:p>
      <w:pPr>
        <w:pStyle w:val="TextBody"/>
        <w:bidi w:val="0"/>
        <w:spacing w:before="0" w:after="0"/>
        <w:ind w:left="0" w:right="0" w:hanging="0"/>
        <w:jc w:val="left"/>
        <w:rPr/>
      </w:pPr>
      <w:r>
        <w:rPr/>
        <w:t>​</w:t>
      </w:r>
    </w:p>
    <w:tbl>
      <w:tblPr>
        <w:tblW w:w="3109" w:type="dxa"/>
        <w:jc w:val="left"/>
        <w:tblInd w:w="0" w:type="dxa"/>
        <w:tblLayout w:type="fixed"/>
        <w:tblCellMar>
          <w:top w:w="0" w:type="dxa"/>
          <w:left w:w="0" w:type="dxa"/>
          <w:bottom w:w="0" w:type="dxa"/>
          <w:right w:w="0" w:type="dxa"/>
        </w:tblCellMar>
      </w:tblPr>
      <w:tblGrid>
        <w:gridCol w:w="1471"/>
        <w:gridCol w:w="346"/>
        <w:gridCol w:w="976"/>
        <w:gridCol w:w="31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34085" cy="175260"/>
                      <wp:effectExtent l="0" t="0" r="0" b="0"/>
                      <wp:wrapNone/>
                      <wp:docPr id="462" name="Frame46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19760" cy="175260"/>
                      <wp:effectExtent l="0" t="0" r="0" b="0"/>
                      <wp:wrapNone/>
                      <wp:docPr id="464" name="Frame46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0660" cy="175260"/>
                      <wp:effectExtent l="0" t="0" r="0" b="0"/>
                      <wp:wrapNone/>
                      <wp:docPr id="465" name="Frame4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1"/>
              <w:ind w:left="0" w:right="0" w:hanging="0"/>
              <w:jc w:val="center"/>
              <w:rPr/>
            </w:pPr>
            <w:r>
              <w:rPr/>
              <w:t> </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Market</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1"/>
              <w:ind w:left="0" w:right="0" w:hanging="0"/>
              <w:jc w:val="center"/>
              <w:rPr/>
            </w:pPr>
            <w:r>
              <w:rPr/>
              <w:t>​</w:t>
            </w:r>
          </w:p>
        </w:tc>
      </w:tr>
      <w:tr>
        <w:trPr/>
        <w:tc>
          <w:tcPr>
            <w:tcW w:w="14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Manhattan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Washington, DC</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Boston</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 Angeles</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San Francisco</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Denver</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Honolulu</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Nashville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Miami</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Atlanta</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bl>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New York metropolitan statistical area including areas outside of Manhattan makes up 28% of gross book value.</w:t>
            </w:r>
          </w:p>
        </w:tc>
      </w:tr>
    </w:tbl>
    <w:p>
      <w:pPr>
        <w:pStyle w:val="TextBody"/>
        <w:bidi w:val="0"/>
        <w:spacing w:before="0" w:after="0"/>
        <w:ind w:left="0" w:right="0" w:hanging="0"/>
        <w:jc w:val="left"/>
        <w:rPr/>
      </w:pPr>
      <w:r>
        <w:rPr/>
        <w:t>​</w:t>
      </w:r>
    </w:p>
    <w:tbl>
      <w:tblPr>
        <w:tblW w:w="3484" w:type="dxa"/>
        <w:jc w:val="left"/>
        <w:tblInd w:w="0" w:type="dxa"/>
        <w:tblLayout w:type="fixed"/>
        <w:tblCellMar>
          <w:top w:w="0" w:type="dxa"/>
          <w:left w:w="0" w:type="dxa"/>
          <w:bottom w:w="0" w:type="dxa"/>
          <w:right w:w="0" w:type="dxa"/>
        </w:tblCellMar>
      </w:tblPr>
      <w:tblGrid>
        <w:gridCol w:w="1846"/>
        <w:gridCol w:w="346"/>
        <w:gridCol w:w="97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172210" cy="175260"/>
                      <wp:effectExtent l="0" t="0" r="0" b="0"/>
                      <wp:wrapNone/>
                      <wp:docPr id="466" name="Frame46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19760" cy="175260"/>
                      <wp:effectExtent l="0" t="0" r="0" b="0"/>
                      <wp:wrapNone/>
                      <wp:docPr id="468" name="Frame46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0660" cy="175260"/>
                      <wp:effectExtent l="0" t="0" r="0" b="0"/>
                      <wp:wrapNone/>
                      <wp:docPr id="469" name="Frame4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0"/>
              <w:ind w:left="0" w:right="0" w:hanging="0"/>
              <w:jc w:val="center"/>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Science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Mixed Use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Unfunded Commitments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unfunded commitments to certain of our Ground Lease tenants related to leasehold improvement allowances that we expect to fund upon the completion of certain conditions. As of March 31, 2026, we had $137.0 million of such commitments, excluding commitments to be funded by noncontrolling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w:t>
      </w:r>
      <w:r>
        <w:rPr>
          <w:rFonts w:ascii="Times New Roman;Times;serif" w:hAnsi="Times New Roman;Times;serif"/>
          <w:sz w:val="20"/>
          <w:shd w:fill="FFFFFF" w:val="clear"/>
        </w:rPr>
        <w:t xml:space="preserve"> fund construction and development loans and build-outs of space in real estate assets over a period of time, both individually and </w:t>
      </w:r>
      <w:r>
        <w:rPr>
          <w:rFonts w:ascii="Times New Roman;Times;serif" w:hAnsi="Times New Roman;Times;serif"/>
          <w:sz w:val="20"/>
        </w:rPr>
        <w:t>through the Leasehold Loan Fund,</w:t>
      </w:r>
      <w:r>
        <w:rPr>
          <w:rFonts w:ascii="Times New Roman;Times;serif" w:hAnsi="Times New Roman;Times;serif"/>
          <w:sz w:val="20"/>
          <w:shd w:fill="FFFFFF" w:val="clear"/>
        </w:rPr>
        <w:t xml:space="preserve"> if and when the borrowers and tenants meet established milestones and other performance criteria. We refer to these arrangements as performance-based commitments. As of March 31, 2026, we had $150.3 million of such commitments. </w:t>
      </w:r>
    </w:p>
    <w:p>
      <w:pPr>
        <w:pStyle w:val="TextBody"/>
        <w:bidi w:val="0"/>
        <w:spacing w:before="0" w:after="12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Results of Operations for the Three Months Ended March 31, 2026 compared to the Three Months Ended March 31, 2025</w:t>
      </w:r>
    </w:p>
    <w:tbl>
      <w:tblPr>
        <w:tblW w:w="8374" w:type="dxa"/>
        <w:jc w:val="left"/>
        <w:tblInd w:w="0" w:type="dxa"/>
        <w:tblLayout w:type="fixed"/>
        <w:tblCellMar>
          <w:top w:w="0" w:type="dxa"/>
          <w:left w:w="0" w:type="dxa"/>
          <w:bottom w:w="0" w:type="dxa"/>
          <w:right w:w="0" w:type="dxa"/>
        </w:tblCellMar>
      </w:tblPr>
      <w:tblGrid>
        <w:gridCol w:w="4156"/>
        <w:gridCol w:w="346"/>
        <w:gridCol w:w="232"/>
        <w:gridCol w:w="862"/>
        <w:gridCol w:w="161"/>
        <w:gridCol w:w="232"/>
        <w:gridCol w:w="746"/>
        <w:gridCol w:w="346"/>
        <w:gridCol w:w="211"/>
        <w:gridCol w:w="691"/>
        <w:gridCol w:w="39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639060" cy="175260"/>
                      <wp:effectExtent l="0" t="0" r="0" b="0"/>
                      <wp:wrapNone/>
                      <wp:docPr id="470" name="Frame470"/>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47320" cy="175260"/>
                      <wp:effectExtent l="0" t="0" r="0" b="0"/>
                      <wp:wrapNone/>
                      <wp:docPr id="472" name="Frame47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47370" cy="175260"/>
                      <wp:effectExtent l="0" t="0" r="0" b="0"/>
                      <wp:wrapNone/>
                      <wp:docPr id="473" name="Frame47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02235" cy="175260"/>
                      <wp:effectExtent l="0" t="0" r="0" b="0"/>
                      <wp:wrapNone/>
                      <wp:docPr id="474" name="Frame474"/>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47320" cy="175260"/>
                      <wp:effectExtent l="0" t="0" r="0" b="0"/>
                      <wp:wrapNone/>
                      <wp:docPr id="475" name="Frame47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73710" cy="175260"/>
                      <wp:effectExtent l="0" t="0" r="0" b="0"/>
                      <wp:wrapNone/>
                      <wp:docPr id="476" name="Frame47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38785" cy="175260"/>
                      <wp:effectExtent l="0" t="0" r="0" b="0"/>
                      <wp:wrapNone/>
                      <wp:docPr id="479" name="Frame4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48285" cy="175260"/>
                      <wp:effectExtent l="0" t="0" r="0" b="0"/>
                      <wp:wrapNone/>
                      <wp:docPr id="480" name="Frame4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3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  ​ ​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1" w:type="dxa"/>
            <w:tcBorders/>
            <w:vAlign w:val="center"/>
          </w:tcPr>
          <w:p>
            <w:pPr>
              <w:pStyle w:val="TableContents"/>
              <w:bidi w:val="0"/>
              <w:spacing w:before="0" w:after="0"/>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91" w:type="dxa"/>
            <w:tcBorders/>
            <w:vAlign w:val="center"/>
          </w:tcPr>
          <w:p>
            <w:pPr>
              <w:pStyle w:val="TableContents"/>
              <w:bidi w:val="0"/>
              <w:spacing w:before="0" w:after="0"/>
              <w:ind w:left="0" w:right="0" w:hanging="0"/>
              <w:jc w:val="left"/>
              <w:rPr/>
            </w:pPr>
            <w:r>
              <w:rPr/>
              <w:t>​</w:t>
            </w:r>
          </w:p>
        </w:tc>
      </w:tr>
      <w:tr>
        <w:trPr/>
        <w:tc>
          <w:tcPr>
            <w:tcW w:w="837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75,034</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20,156</w:t>
            </w:r>
          </w:p>
        </w:tc>
        <w:tc>
          <w:tcPr>
            <w:tcW w:w="16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c>
          <w:tcPr>
            <w:tcW w:w="16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110,854</w:t>
            </w:r>
          </w:p>
        </w:tc>
        <w:tc>
          <w:tcPr>
            <w:tcW w:w="161"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13,177</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53,515</w:t>
            </w:r>
          </w:p>
        </w:tc>
        <w:tc>
          <w:tcPr>
            <w:tcW w:w="16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6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15,303</w:t>
            </w:r>
          </w:p>
        </w:tc>
        <w:tc>
          <w:tcPr>
            <w:tcW w:w="16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161"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85,307</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w:t>
            </w:r>
          </w:p>
        </w:tc>
        <w:tc>
          <w:tcPr>
            <w:tcW w:w="161"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29,582</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161"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28,897</w:t>
            </w:r>
          </w:p>
        </w:tc>
        <w:tc>
          <w:tcPr>
            <w:tcW w:w="161"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March 31, 2026 and 2025, general and administrative was partially offset by $2.1 million and $3.6 million, respectively, of management fees earned from Star Holdings, which are included in “Other income” in our consolidated statements of operations.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from sales-type leases increased to $75.0 million for the three months ended March 31, 2026 from $69.7 million for the same period in 2025. The increase was due primarily to originations of Ground Leases and additional fundings on existing Ground Leases classified as sales-type leases and Ground Lease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lease income was $20.2 million and $21.4 million, respectively, for the three months ended March 31, 2026 and 2025. Operating lease income consists of rent from our operating leases and percentage rent from certain properties, including our Park Hotels portfolio. The decrease in 2026 was due primarily to us taking over hotel operations at two hotels on January 1, 2026 (refer to Note 3 to the consolidated financial statements) and a decrease in percentage rent from our Park Hotels portfolio.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revenues were $9.9 million for the three months ended March 31, 2026 and relate to two hotels that we became responsible for operating on January 1, 2026 (refer to Note 3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relates to the Star Holdings Term Loan Facility (refer to Note 7 to the consolidated financial statements) and leasehold loans we originated in connection with Ground Leases. The increase in 2026 was due primarily to the origination of leasehold loans beginning in the second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Other income for the three months ended March 31, 2026 and 2025 includes $2.1 million and $3.6 million, respectively, of management fees from Star Holdings (refer to Note 15 to the consolidated financial statements). Other income for the three months ended March 31, 2025 also includes $0.1 million of other income relating to a Ground Lease in which we are the lessee. Other income for the three months ended March 31, 2026 and 2025 also includes $0.6 million and $0.6 million, respectively, of other ancillary income from our investments. Other ancillary income primarily includes sublease income, recoverable expenses and interest income earned on our cash balances. </w:t>
      </w:r>
    </w:p>
    <w:p>
      <w:pPr>
        <w:pStyle w:val="TextBody"/>
        <w:bidi w:val="0"/>
        <w:spacing w:before="0" w:after="240"/>
        <w:ind w:left="0" w:right="0" w:firstLine="720"/>
        <w:jc w:val="both"/>
        <w:rPr>
          <w:rFonts w:ascii="Times New Roman;Times;serif" w:hAnsi="Times New Roman;Times;serif"/>
          <w:sz w:val="20"/>
        </w:rPr>
      </w:pPr>
      <w:bookmarkStart w:id="1360" w:name="_Hlk211605191"/>
      <w:bookmarkEnd w:id="1360"/>
      <w:r>
        <w:rPr>
          <w:rFonts w:ascii="Times New Roman;Times;serif" w:hAnsi="Times New Roman;Times;serif"/>
          <w:sz w:val="20"/>
        </w:rPr>
        <w:t>During the three months ended March 31, 2026 and 2025, we incurred interest expense from our debt obligations of $53.5 million and $50.4 million, respectively. The increase in 2026 was primarily the result of increased indebtedness to fund acquisition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expenses were $12.2 million for the three months ended March 31, 2026 and relates to two hotels that we became responsible for operating on January 1, 2026 (refer to Note 3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three months ended March 31, 2026 and 2025, we incurred real estate expense of $1.3 million and $1.2 million, respectively, which consisted primarily of the amortization of an operating lease right-of-use asset, legal fees, property taxes and insurance expense. In addition, during the three months ended March 31, 2025, we also recorded $0.1 million of real estate expense relating to a Ground Lease in which we are the lessee.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amortization during the three months ended March 31, 2026 and 2025 was $1.8 million and $2.2 million, respectively. Depreciation and amortization primarily relates to our ownership of the Park Hotels Portfolio and a multi-family property, the amortization of in-place lease assets and depreciation of corporate fixed assets. The decrease in 2026 was primarily the result of the full amortization of lease intangible assets.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primarily includes public company costs such as compensation (including equity-based compensation), occupancy and other costs. The following table presents our general and administrative expenses for the three months ended March 31, 2026 and 2025 ($ in thousands): </w:t>
      </w:r>
    </w:p>
    <w:tbl>
      <w:tblPr>
        <w:tblW w:w="6331" w:type="dxa"/>
        <w:jc w:val="left"/>
        <w:tblInd w:w="0" w:type="dxa"/>
        <w:tblLayout w:type="fixed"/>
        <w:tblCellMar>
          <w:top w:w="0" w:type="dxa"/>
          <w:left w:w="0" w:type="dxa"/>
          <w:bottom w:w="0" w:type="dxa"/>
          <w:right w:w="0" w:type="dxa"/>
        </w:tblCellMar>
      </w:tblPr>
      <w:tblGrid>
        <w:gridCol w:w="3706"/>
        <w:gridCol w:w="346"/>
        <w:gridCol w:w="215"/>
        <w:gridCol w:w="689"/>
        <w:gridCol w:w="353"/>
        <w:gridCol w:w="215"/>
        <w:gridCol w:w="807"/>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353310" cy="175260"/>
                      <wp:effectExtent l="0" t="0" r="0" b="0"/>
                      <wp:wrapNone/>
                      <wp:docPr id="481" name="Frame481"/>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6525" cy="175260"/>
                      <wp:effectExtent l="0" t="0" r="0" b="0"/>
                      <wp:wrapNone/>
                      <wp:docPr id="483" name="Frame48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37515" cy="175260"/>
                      <wp:effectExtent l="0" t="0" r="0" b="0"/>
                      <wp:wrapNone/>
                      <wp:docPr id="484" name="Frame48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24155" cy="175260"/>
                      <wp:effectExtent l="0" t="0" r="0" b="0"/>
                      <wp:wrapNone/>
                      <wp:docPr id="485" name="Frame48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6525" cy="175260"/>
                      <wp:effectExtent l="0" t="0" r="0" b="0"/>
                      <wp:wrapNone/>
                      <wp:docPr id="486" name="Frame48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12445" cy="175260"/>
                      <wp:effectExtent l="0" t="0" r="0" b="0"/>
                      <wp:wrapNone/>
                      <wp:docPr id="487" name="Frame487"/>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3"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11,524</w:t>
            </w:r>
          </w:p>
        </w:tc>
        <w:tc>
          <w:tcPr>
            <w:tcW w:w="353"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10,645</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3,779</w:t>
            </w:r>
          </w:p>
        </w:tc>
        <w:tc>
          <w:tcPr>
            <w:tcW w:w="353"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15,303</w:t>
            </w:r>
          </w:p>
        </w:tc>
        <w:tc>
          <w:tcPr>
            <w:tcW w:w="353"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14,132</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March 31, 2026 and 2025, public company and other costs primarily includes compensation, occupancy, legal, insurance and other office related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March 31, 2026 and 2025, general and administrative expenses were partially offset by $2.1 million and $3.6 million, respectively, of management fees earned from Star Holdings, which are included in “Other income” in our consolidated statements of operations.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three months ended March 31, 2026, we recorded a provision for credit losses of $0.5 million. </w:t>
      </w:r>
      <w:r>
        <w:rPr>
          <w:rFonts w:ascii="Times New Roman;Times;serif" w:hAnsi="Times New Roman;Times;serif"/>
          <w:sz w:val="20"/>
        </w:rPr>
        <w:t xml:space="preserve">The provision for credit losses was due primarily to growth in the carrying value of the Ground Lease portfolio during the period and current market conditions, </w:t>
      </w:r>
      <w:r>
        <w:rPr>
          <w:rFonts w:ascii="Times New Roman;Times;serif" w:hAnsi="Times New Roman;Times;serif"/>
          <w:color w:val="212529"/>
          <w:sz w:val="20"/>
          <w:shd w:fill="FFFFFF" w:val="clear"/>
        </w:rPr>
        <w:t>which was partially offset by a decrease in our Ground Lease cost to value ratios</w:t>
      </w:r>
      <w:r>
        <w:rPr>
          <w:rFonts w:ascii="Times New Roman;Times;serif" w:hAnsi="Times New Roman;Times;serif"/>
          <w:sz w:val="20"/>
        </w:rPr>
        <w:t>.</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During the three months ended March 31, 2025, we recorded a provision for credit losses of $2.3 million. The provision for credit losses was due primarily to current market conditions, </w:t>
      </w:r>
      <w:r>
        <w:rPr>
          <w:rFonts w:ascii="Times New Roman;Times;serif" w:hAnsi="Times New Roman;Times;serif"/>
          <w:color w:val="212529"/>
          <w:sz w:val="20"/>
          <w:shd w:fill="FFFFFF" w:val="clear"/>
        </w:rPr>
        <w:t>including an increase in our Ground Lease cost to value ratios on certain of our assets,</w:t>
      </w:r>
      <w:r>
        <w:rPr>
          <w:rFonts w:ascii="Times New Roman;Times;serif" w:hAnsi="Times New Roman;Times;serif"/>
          <w:sz w:val="20"/>
          <w:shd w:fill="FFFFFF" w:val="clear"/>
        </w:rPr>
        <w:t> and growth in the carrying value of the portfolio during the period.</w:t>
      </w:r>
      <w:r>
        <w:rPr>
          <w:rFonts w:ascii="Times New Roman;Times;serif" w:hAnsi="Times New Roman;Times;serif"/>
          <w:color w:val="212529"/>
          <w:sz w:val="20"/>
          <w:shd w:fill="FFFFFF" w:val="clea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shd w:fill="FFFFFF" w:val="clear"/>
        </w:rPr>
        <w:t>uring the three months ended March 31, 2026, other expense consists primarily of costs incurred with real estate available and held for sale. During the three months ended March 31, 2025, other expense consists primarily of a full write-off of a $1.9 million preferred equity investment in an entity that owned the leasehold interest under one of our Ground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and 2025, earnings from equity method investments (refer to Note 8 to the consolidated financial statements) was $4.0 million and $5.0 million, respectively</w:t>
      </w:r>
      <w:r>
        <w:rPr>
          <w:rFonts w:ascii="Times New Roman;Times;serif" w:hAnsi="Times New Roman;Times;serif"/>
          <w:sz w:val="20"/>
          <w:shd w:fill="FFFFFF" w:val="clea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 xml:space="preserve">During the three months ended March 31, 2026, we recorded consolidated income tax expense of $0.7 million, </w:t>
      </w:r>
      <w:r>
        <w:rPr>
          <w:rFonts w:ascii="Times New Roman;Times;serif" w:hAnsi="Times New Roman;Times;serif"/>
          <w:sz w:val="20"/>
        </w:rPr>
        <w:t>which was primarily attributable to current and deferred tax expense at our taxable REIT subsidiary (“TRS”).  Included in our consolidated income tax expense for the three months ended March 31, 2026, our TRS recorded current income tax expense in the amount of $0.6 million and a deferred income tax expense in the amount of $0.1 million</w:t>
      </w:r>
      <w:r>
        <w:rPr>
          <w:rFonts w:ascii="Times New Roman;Times;serif" w:hAnsi="Times New Roman;Times;serif"/>
          <w:color w:val="212529"/>
          <w:sz w:val="20"/>
        </w:rPr>
        <w:t>. During the three months ended March 31, 2025, we recorded consolidated income tax expense of $0.9 million, which was primarily attributable to a deferred tax expense at our TRS and relates to equity-based compensation</w:t>
      </w:r>
      <w:r>
        <w:rPr>
          <w:rFonts w:ascii="Times New Roman;Times;serif" w:hAnsi="Times New Roman;Times;serif"/>
          <w:sz w:val="20"/>
        </w:rPr>
        <w:t> expense and utilization of net operating loss carryovers to which our TRS is a successor.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Liquidity is a measure of our ability to meet potential cash requirements, including to pay interest and repay borrowings, fund and maintain our assets and operations, complete acquisitions and originations of investments, make distributions to our shareholders and meet other general business needs. In order to qualify as a REIT, we are required under the Internal Revenue Code of 1986 to distribute to our shareholders, on an annual basis, at least 90% of our REIT taxable income, determined without regard to the deduction for dividends paid and excluding net capital gains. We expect to make quarterly cash distributions to our shareholders sufficient to meet REIT qualification requirements.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November 2025, we received a credit ratings upgrade from S&amp;P Global Ratings to A- (from BBB+). We believe the strong credit profile we have established utilizing our modern Ground Leases and our current investment-grade credit ratings from Moody's Investors Services of A3, Fitch Ratings of A- and S&amp;P Global Ratings of A- facilitates our ability to bring commercial real estate owners, developers and sponsors more efficiently priced capital and allows us significant operational and financial flexibility and supports our ability to scale our Ground Lease platform.</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Also in November 2025, we closed on a $400.0 million unsecured term loan with an extended maturity date of November 15, 2030, which includes two one-year extension options (the “2025 Unsecured Term Loan”). The 2025 Unsecured Term Loan replaced the $227.0 million principal amount of debt obligations we defeased in October 2025 that was scheduled to mature in April 2027 and partially repaid the 2024 Unsecured Revolver (as defined below). The 2025 Unsecured Term Loan has a borrowing rate of SOFR plus 0.90%, subject to our credit ratings. The 2025 Unsecured Term Loan also includes an accordion feature to increase the loan up to a maximum amount of $600.0 million, subject to certain conditions.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4, 2025, our Board authorized the repurchase of up to $50.0 million of our common stock. W</w:t>
      </w:r>
      <w:r>
        <w:rPr>
          <w:rFonts w:ascii="Times New Roman;Times;serif" w:hAnsi="Times New Roman;Times;serif"/>
          <w:sz w:val="20"/>
          <w:shd w:fill="FFFFFF" w:val="clear"/>
        </w:rPr>
        <w:t xml:space="preserve">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 During the three months ended March 31, 2026, we repurchased 0.2 million shares of our outstanding common stock for $3.4 million, representing an average cost of $14.39 per share, including fees. As of March 31, 2026, we had $46.6 million remaining under the total share repurchase authorization.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and February 2024, Portfolio Holdings (as issuer) and we (as guarantor), issued an aggregate $700.0 million principal amount of senior notes. In November 2024, we issued $400.0 million aggregate principal amount of 5.65% senior notes due January 2035 (the “5.65% Notes”). The 5.65% Notes were issued at 98.812% of the principal amount. In February 2024, we issued $300.0 million aggregate principal amount of 6.10% senior notes due April 2034 (the “6.10% Notes”). The 6.10% Notes were issued at 98.957% of the principal amount.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2024, we entered into a U.S. commercial paper program (the “Commercial Paper Program”) on a private placement basis, pursuant to which we may issue up to $750.0 million of short-term, unsecured commercial paper notes outstanding at any time, which are guaranteed by us. Under the Commercial Paper Program, we may issue the commercial paper notes from time to time and intend to use the proceeds for general corporate purposes. The Commercial Paper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Program is backed by our 2024 Unsecured Revolver (see below). As of March 31, 2026, we had no outstanding balance under the Commercial Paper Program. Borrowings under the Commercial Paper Program reduce amounts otherwise available under the 2024 Unsecured Revolver.</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2024, we closed on a new $2.0 billion unsecured revolving credit facility (the “2024 Unsecured Revolver”). At the time, $916 million of existing indebtedness was drawn on then existing unsecured credit facilities, all of which rolled over into the 2024 Unsecured Revolver. The 2024 Unsecured Revolver has an extended maturity date of May 1, 2029, which includes two six-month extension options. On September 12, 2025, the Company entered into an amendment to the 2024 Unsecured Revolver that modified the applicable interest rate thereunder by removing the credit spread adjustment to SOFR. As a result of that amendment, the 2024 Unsecured Revolver has a borrowing rate of SOFR plus 0.85%, subject to our credit ratings. The 2024 Unsecured Revolver replaced our nearest term maturities, reduces the overall facility cost and increased our liquidity by $150 million. Additionally, we gained greater financial flexibility through changes to certain financial covenants. As of March 31, 2026, there was $1.1 billion of undrawn capacity on the 2024 Unsecured Revolver.</w:t>
      </w:r>
    </w:p>
    <w:p>
      <w:pPr>
        <w:pStyle w:val="TextBody"/>
        <w:shd w:fill="FFFFFF" w:val="clear"/>
        <w:bidi w:val="0"/>
        <w:spacing w:before="0" w:after="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2023, we entered into an at-the-market equity offering (the “ATM”) pursuant to which we may sell shares of our common stock up to an aggregate purchase price of $300.0 million. We may sell such shares in amounts and at times to be determined by us from time to time, but we have no obligation to sell any of the shares. Actual sales, if any, will depend on a variety of factors to be determined by us from time to time, including, among other things, market conditions, the trading price of our common stock, capital needs, and our determinations of the appropriate sources of funding. As of March 31, 2026, we had not sold any shares under the ATM.</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we had $19.3 million of unrestricted cash. We also have an aggregate $1.1 billion </w:t>
      </w:r>
      <w:r>
        <w:rPr>
          <w:rFonts w:ascii="Times New Roman;Times;serif" w:hAnsi="Times New Roman;Times;serif"/>
          <w:sz w:val="20"/>
          <w:shd w:fill="FFFFFF" w:val="clear"/>
        </w:rPr>
        <w:t>of undrawn capacity on our 2024 Unsecured Revolver (refer to Note 10 to the consolidated financial statements). We refer to this unrestricted cash and additional borrowing capacity on our 2024 Unsecured Revolver as our “equity” liquidity which can be used for general corporate purposes or leveraged to acquire or originate new Ground Lease assets. Our primary sources of cash to date have been proceeds from equity offerings and private placements, proceeds from our initial capitalization by iStar and two institutional investors and borrowings from our debt facilities, unsecured notes, Commercial Paper Program and mortgages. Our primary uses of cash to date have been the acquisition/origination of Ground Leases, repayments on our debt facilities and distributions to our shareholders.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expect our short-term liquidity requirements to include debt service on our debt obligations (refer to Note 10 to the consolidated financial statements), distributions to our shareholders, working capital (including for our hotel operations), new acquisitions and originations of Ground Lease and leasehold loan investments and additional fundings on existing Ground Leases and leasehold loan investments. We expect our long-term liquidity requirements to include debt service on our debt obligations (refer to Note 10 to the consolidated financial statements), distributions to our shareholders, working capital, new acquisitions and originations of Ground Lease and leasehold loan investments (including in respect of unfunded commitments – refer to Note 11 to the consolidated financial statements) and debt maturities. Our primary sources of liquidity going forward will generally consist of cash on hand and cash flows from operations, new financings, asset sales, funds from our joint venture partners, unused borrowing capacity under our 2024 Unsecured Revolver (subject to the conditions set forth in the applicable loan agreement) and Commercial Paper Program, and common and/or preferred equity issuances. We expect that we will be able to meet our liquidity requirements over the next 12 months and beyond.</w:t>
      </w:r>
    </w:p>
    <w:p>
      <w:pPr>
        <w:pStyle w:val="TextBody"/>
        <w:shd w:fill="FFFFFF" w:val="clear"/>
        <w:bidi w:val="0"/>
        <w:spacing w:before="0" w:after="0"/>
        <w:ind w:left="0" w:right="0" w:firstLine="720"/>
        <w:jc w:val="both"/>
        <w:rPr/>
      </w:pPr>
      <w:r>
        <w:rPr/>
        <w:t>​</w:t>
      </w:r>
    </w:p>
    <w:p>
      <w:pPr>
        <w:pStyle w:val="TextBody"/>
        <w:shd w:fill="FFFFFF" w:val="clear"/>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outlines our cash flows provided by (used in) operating activities, cash flows used in investing activities and cash flows provided by financing activities for the three months ended March 31, 2026 and 2025 ($ in thousands):</w:t>
      </w:r>
    </w:p>
    <w:tbl>
      <w:tblPr>
        <w:tblW w:w="7403" w:type="dxa"/>
        <w:jc w:val="left"/>
        <w:tblInd w:w="0" w:type="dxa"/>
        <w:tblLayout w:type="fixed"/>
        <w:tblCellMar>
          <w:top w:w="0" w:type="dxa"/>
          <w:left w:w="0" w:type="dxa"/>
          <w:bottom w:w="0" w:type="dxa"/>
          <w:right w:w="0" w:type="dxa"/>
        </w:tblCellMar>
      </w:tblPr>
      <w:tblGrid>
        <w:gridCol w:w="4411"/>
        <w:gridCol w:w="346"/>
        <w:gridCol w:w="211"/>
        <w:gridCol w:w="796"/>
        <w:gridCol w:w="346"/>
        <w:gridCol w:w="211"/>
        <w:gridCol w:w="691"/>
        <w:gridCol w:w="39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800985" cy="175260"/>
                      <wp:effectExtent l="0" t="0" r="0" b="0"/>
                      <wp:wrapNone/>
                      <wp:docPr id="488" name="Frame488"/>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05460" cy="175260"/>
                      <wp:effectExtent l="0" t="0" r="0" b="0"/>
                      <wp:wrapNone/>
                      <wp:docPr id="491" name="Frame4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38785" cy="175260"/>
                      <wp:effectExtent l="0" t="0" r="0" b="0"/>
                      <wp:wrapNone/>
                      <wp:docPr id="494" name="Frame4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48285" cy="175260"/>
                      <wp:effectExtent l="0" t="0" r="0" b="0"/>
                      <wp:wrapNone/>
                      <wp:docPr id="495" name="Frame4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91" w:type="dxa"/>
            <w:tcBorders/>
            <w:vAlign w:val="center"/>
          </w:tcPr>
          <w:p>
            <w:pPr>
              <w:pStyle w:val="TableContents"/>
              <w:bidi w:val="0"/>
              <w:spacing w:before="0" w:after="0"/>
              <w:ind w:left="0" w:right="0" w:hanging="0"/>
              <w:jc w:val="center"/>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(7,001)</w:t>
            </w:r>
          </w:p>
        </w:tc>
        <w:tc>
          <w:tcPr>
            <w:tcW w:w="39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decrease in cash flows from operating activities during 2026 was due primarily to an increase of cash payments for debt service and costs associated with two hotels that we became responsible for operating on January 1, 2026 (refer to Note 3 to the consolidated financial statements). The increase in cash flows used in investing activities during 2026 was due primarily to an increase in the origination and additional fundings of Ground Leases and the origination and fundings of loans receivable. The increase in cash flows provided by financing activities during 2026 was due primarily to an increase in net borrowings on debt obligations, which was partially offset by the repurchase of common stock.</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Supplemental Guarantor Disclosure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2020, the Securities and Exchange Commission (“SEC”) adopted amendments to Rule 3-10 of Regulation S-X and created Rule 13-01 to simplify disclosure requirements related to certain registered securities. The amendments became effective on January 4, 2021. In April 2023, we and Portfolio Holdings filed a registration statement on Form S-3 with the SEC registering, among other securities, debt securities of Portfolio Holdings, which will be fully and unconditionally guaranteed by us. As of March 31, 2026, Portfolio Holdings had issued and outstanding four tranches of unsecured senior notes with varying fixed-rates and maturities ranging from June 2031 to January 2035, which were registered on the Form S-3 filed in April 2023 or on a Form S-3 filed by Safehold Inc. and Portfolio Holdings (then known as Safehold Operating Partnership LP) prior to its merger with the Company (then known as iStar Inc.). The obligations of Portfolio Holdings to pay principal, premiums, if any, and interest on these unsecured senior notes are guaranteed on a senior basis by us. The guarantee is full and unconditional, and Portfolio Holdings is a consolidated subsidiary of ours. In March 2026, we and Portfolio Holdings filed a registration statement on Form S-3 with the SEC to replace the registration statement filed in April 2023. Any debt securities of Portfolio Holdings registered under this registration statement will be fully and unconditionally guaranteed by us.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amendments to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alternative disclosure required by Rule 13-01 is provided, which includes narrative disclosure and summarized financial information. Accordingly, separate consolidated financial statements of Portfolio Holdings have not been presented. Furthermore, as permitted under Rule 13-01(a)(4)(vi) of Regulation S-X, we have excluded the summarized financial information for Portfolio Holdings because the assets, liabilities and results of operations of Portfolio Holdings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accordance with generally accepted accounting principles in the United States of America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refer to Note 3 to the consolidated financial statements of our 2025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1" w:name="Item3QuantitativeandQualitativeDisclosur"/>
      <w:bookmarkStart w:id="1362" w:name="_60d4faf3_ed0a_462c_aae2_f300de70b52b"/>
      <w:bookmarkEnd w:id="1361"/>
      <w:bookmarkEnd w:id="1362"/>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we had $3.4 billion principal amount of fixed-rate debt outstanding and $1.4 billion principal amount of floating-rate debt outstanding. The following table quantifies the potential changes in annual net income should interest rates decrease or increase by 10, 50 and 100 basis points, assuming no change in our interest earning assets, interest bearing liabilities, derivative contracts or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Estimated Change In Net Income (Loss)</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in thousands)</w:t>
      </w:r>
      <w:r>
        <w:rPr>
          <w:rFonts w:ascii="Times New Roman;Times;serif" w:hAnsi="Times New Roman;Times;serif"/>
          <w:sz w:val="15"/>
        </w:rPr>
        <w:t xml:space="preserve">(1) </w:t>
      </w:r>
    </w:p>
    <w:p>
      <w:pPr>
        <w:pStyle w:val="TextBody"/>
        <w:bidi w:val="0"/>
        <w:spacing w:before="0" w:after="0"/>
        <w:ind w:left="0" w:right="0" w:hanging="0"/>
        <w:jc w:val="left"/>
        <w:rPr/>
      </w:pPr>
      <w:r>
        <w:rPr/>
        <w:t>​</w:t>
      </w:r>
    </w:p>
    <w:tbl>
      <w:tblPr>
        <w:tblW w:w="3707" w:type="dxa"/>
        <w:jc w:val="left"/>
        <w:tblInd w:w="0" w:type="dxa"/>
        <w:tblLayout w:type="fixed"/>
        <w:tblCellMar>
          <w:top w:w="0" w:type="dxa"/>
          <w:left w:w="0" w:type="dxa"/>
          <w:bottom w:w="0" w:type="dxa"/>
          <w:right w:w="0" w:type="dxa"/>
        </w:tblCellMar>
      </w:tblPr>
      <w:tblGrid>
        <w:gridCol w:w="1906"/>
        <w:gridCol w:w="346"/>
        <w:gridCol w:w="346"/>
        <w:gridCol w:w="110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10310" cy="175260"/>
                      <wp:effectExtent l="0" t="0" r="0" b="0"/>
                      <wp:wrapNone/>
                      <wp:docPr id="496" name="Frame49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7"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04215" cy="175260"/>
                      <wp:effectExtent l="0" t="0" r="0" b="0"/>
                      <wp:wrapNone/>
                      <wp:docPr id="499" name="Frame499"/>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Interest Rates</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+ 50 Basis Points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table above includes the effect of our floating-rate debt obligations, interest rate swaps, floating-rate loans receivable and our share of the impact of floating-rate loans in our Leasehold Loan Fund.</w:t>
            </w:r>
          </w:p>
        </w:tc>
      </w:tr>
    </w:tbl>
    <w:p>
      <w:pPr>
        <w:pStyle w:val="TextBody"/>
        <w:bidi w:val="0"/>
        <w:spacing w:before="0" w:after="240"/>
        <w:ind w:left="0" w:right="0" w:hanging="0"/>
        <w:jc w:val="left"/>
        <w:rPr/>
      </w:pPr>
      <w:bookmarkStart w:id="1363" w:name="_fd02b2af_8763_4e61_a914_bae9f6b0799b"/>
      <w:bookmarkEnd w:id="136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4" w:name="Item4ControlsandProcedures_125705"/>
      <w:bookmarkEnd w:id="1364"/>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its Chief Financial Officer</w:t>
      </w:r>
      <w:r>
        <w:rPr>
          <w:rFonts w:ascii="Times New Roman;Times;serif" w:hAnsi="Times New Roman;Times;serif"/>
          <w:sz w:val="20"/>
          <w:shd w:fill="FFFFFF" w:val="clear"/>
        </w:rPr>
        <w:t xml:space="preserve">, </w:t>
      </w:r>
      <w:r>
        <w:rPr>
          <w:rFonts w:ascii="Times New Roman;Times;serif" w:hAnsi="Times New Roman;Times;serif"/>
          <w:sz w:val="20"/>
        </w:rPr>
        <w:t xml:space="preserve">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w:t>
      </w:r>
      <w:r>
        <w:rPr>
          <w:rFonts w:ascii="Times New Roman;Times;serif" w:hAnsi="Times New Roman;Times;serif"/>
          <w:sz w:val="20"/>
          <w:shd w:fill="FFFFFF" w:val="clear"/>
        </w:rPr>
        <w:t>Chief Financial Officer</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disclosure committee and other members of management, including its Chief Executive Officer and Chief Financial Officer</w:t>
      </w:r>
      <w:r>
        <w:rPr>
          <w:rFonts w:ascii="Times New Roman;Times;serif" w:hAnsi="Times New Roman;Times;serif"/>
          <w:sz w:val="20"/>
          <w:shd w:fill="FFFFFF" w:val="clear"/>
        </w:rPr>
        <w:t xml:space="preserve">, </w:t>
      </w:r>
      <w:r>
        <w:rPr>
          <w:rFonts w:ascii="Times New Roman;Times;serif" w:hAnsi="Times New Roman;Times;serif"/>
          <w:sz w:val="20"/>
        </w:rPr>
        <w:t>of the effectiveness of the Company’s disclosure controls and procedures pursuant to Exchange Act Rule 13a-15(b) or Rule 15d-15. Based upon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the period covered by this quarterly report that has materially affected, or is reasonably likely to materially affect, the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65" w:name="PARTIIOTHERINFORMATION_821823"/>
      <w:bookmarkStart w:id="1366" w:name="_aa5c7289_c38d_4b8f_bf49_aa0b781a51ad"/>
      <w:bookmarkEnd w:id="1365"/>
      <w:bookmarkEnd w:id="1366"/>
      <w:r>
        <w:rPr>
          <w:rFonts w:ascii="Times New Roman;Times;serif" w:hAnsi="Times New Roman;Times;serif"/>
          <w:b/>
          <w:sz w:val="20"/>
        </w:rPr>
        <w:t>PART II. OTHER INFORMATION</w:t>
      </w:r>
    </w:p>
    <w:p>
      <w:pPr>
        <w:pStyle w:val="TextBody"/>
        <w:pBdr/>
        <w:bidi w:val="0"/>
        <w:spacing w:before="0" w:after="0"/>
        <w:ind w:left="0" w:right="0" w:hanging="0"/>
        <w:jc w:val="left"/>
        <w:rPr>
          <w:rFonts w:ascii="Times New Roman;Times;serif" w:hAnsi="Times New Roman;Times;serif"/>
          <w:b/>
          <w:sz w:val="20"/>
        </w:rPr>
      </w:pPr>
      <w:bookmarkStart w:id="1367" w:name="Item1LegalProceedings_241327"/>
      <w:bookmarkEnd w:id="1367"/>
      <w:r>
        <w:rPr>
          <w:rFonts w:ascii="Times New Roman;Times;serif" w:hAnsi="Times New Roman;Times;serif"/>
          <w:b/>
          <w:sz w:val="20"/>
        </w:rPr>
        <w:t>Item 1.   Legal Proceedings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Refer to Part I, Item 3, “Legal Proceedings,” of our 2025 Annual Report for a full description of our material pending legal matters.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68" w:name="Item1aRiskFactors_934934"/>
      <w:bookmarkStart w:id="1369" w:name="_706ca7b1_00c1_41f2_9225_b23f69f56fd2"/>
      <w:bookmarkEnd w:id="1368"/>
      <w:bookmarkEnd w:id="1369"/>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from the risk factors previously disclosed in our 2025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0" w:name="Item2UnregisteredSalesofEquitySecurities"/>
      <w:bookmarkStart w:id="1371" w:name="_e894b8dc_acd6_4d83_b87c_2fd110b9d61b"/>
      <w:bookmarkEnd w:id="1370"/>
      <w:bookmarkEnd w:id="1371"/>
      <w:r>
        <w:rPr>
          <w:rFonts w:ascii="Times New Roman;Times;serif" w:hAnsi="Times New Roman;Times;serif"/>
          <w:b/>
          <w:sz w:val="20"/>
        </w:rPr>
        <w:t xml:space="preserve">Item 2.   Unregistered Sales of Equity Securities and Use of Proceeds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did not have any sales of unregistered shares of our common stock during the three months ended March 31, 2026.</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Issuer Purchases of Equity Securities </w:t>
      </w:r>
    </w:p>
    <w:tbl>
      <w:tblPr>
        <w:tblW w:w="9984" w:type="dxa"/>
        <w:jc w:val="left"/>
        <w:tblInd w:w="0" w:type="dxa"/>
        <w:tblLayout w:type="fixed"/>
        <w:tblCellMar>
          <w:top w:w="0" w:type="dxa"/>
          <w:left w:w="0" w:type="dxa"/>
          <w:bottom w:w="0" w:type="dxa"/>
          <w:right w:w="0" w:type="dxa"/>
        </w:tblCellMar>
      </w:tblPr>
      <w:tblGrid>
        <w:gridCol w:w="2221"/>
        <w:gridCol w:w="346"/>
        <w:gridCol w:w="1381"/>
        <w:gridCol w:w="346"/>
        <w:gridCol w:w="320"/>
        <w:gridCol w:w="866"/>
        <w:gridCol w:w="346"/>
        <w:gridCol w:w="1891"/>
        <w:gridCol w:w="346"/>
        <w:gridCol w:w="297"/>
        <w:gridCol w:w="1624"/>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410335" cy="175260"/>
                      <wp:effectExtent l="0" t="0" r="0" b="0"/>
                      <wp:wrapNone/>
                      <wp:docPr id="500" name="Frame50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876935" cy="175260"/>
                      <wp:effectExtent l="0" t="0" r="0" b="0"/>
                      <wp:wrapNone/>
                      <wp:docPr id="502" name="Frame50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3200" cy="175260"/>
                      <wp:effectExtent l="0" t="0" r="0" b="0"/>
                      <wp:wrapNone/>
                      <wp:docPr id="504" name="Frame50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49910" cy="175260"/>
                      <wp:effectExtent l="0" t="0" r="0" b="0"/>
                      <wp:wrapNone/>
                      <wp:docPr id="505" name="Frame50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200785" cy="175260"/>
                      <wp:effectExtent l="0" t="0" r="0" b="0"/>
                      <wp:wrapNone/>
                      <wp:docPr id="507" name="Frame50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88595" cy="175260"/>
                      <wp:effectExtent l="0" t="0" r="0" b="0"/>
                      <wp:wrapNone/>
                      <wp:docPr id="509" name="Frame50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031240" cy="175260"/>
                      <wp:effectExtent l="0" t="0" r="0" b="0"/>
                      <wp:wrapNone/>
                      <wp:docPr id="510" name="Frame510"/>
                      <a:graphic xmlns:a="http://schemas.openxmlformats.org/drawingml/2006/main">
                        <a:graphicData uri="http://schemas.microsoft.com/office/word/2010/wordprocessingShape">
                          <wps:wsp>
                            <wps:cNvSpPr txBox="1"/>
                            <wps:spPr>
                              <a:xfrm>
                                <a:off x="0" y="0"/>
                                <a:ext cx="1031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20"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w:t>
            </w:r>
          </w:p>
        </w:tc>
        <w:tc>
          <w:tcPr>
            <w:tcW w:w="346" w:type="dxa"/>
            <w:tcBorders/>
            <w:vAlign w:val="center"/>
          </w:tcPr>
          <w:p>
            <w:pPr>
              <w:pStyle w:val="TableContents"/>
              <w:bidi w:val="0"/>
              <w:spacing w:before="0" w:after="0"/>
              <w:ind w:left="0" w:right="0" w:hanging="0"/>
              <w:jc w:val="center"/>
              <w:rPr/>
            </w:pPr>
            <w:r>
              <w:rPr/>
              <w:t>  ​ ​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 a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 the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center"/>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b/>
                <w:sz w:val="12"/>
              </w:rPr>
              <w:t>(1)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to January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50,000,000</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to February 28</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50,000,000</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to March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236,328</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236,328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46,600,095</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On February 4, 2025, our Board authorized the repurchase of up to $50.0 million of our common stock. We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The share repurchase program does not have an expiration date. Any repurchased shares will be returned to the status of authorized but unissued shares of common stock. </w:t>
            </w:r>
          </w:p>
        </w:tc>
      </w:tr>
    </w:tbl>
    <w:p>
      <w:pPr>
        <w:pStyle w:val="TextBody"/>
        <w:bidi w:val="0"/>
        <w:spacing w:before="0" w:after="240"/>
        <w:ind w:left="45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72" w:name="Item3DefaultsUponSeniorSecurities_688805"/>
      <w:bookmarkStart w:id="1373" w:name="_9eb41446_f750_442d_bcf2_e241b7bc3797"/>
      <w:bookmarkEnd w:id="1372"/>
      <w:bookmarkEnd w:id="1373"/>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4" w:name="Item4MineSafetyDisclosures_271149"/>
      <w:bookmarkStart w:id="1375" w:name="_01fcf5a2_58dd_47f6_9d46_0b344247df21"/>
      <w:bookmarkEnd w:id="1374"/>
      <w:bookmarkEnd w:id="1375"/>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6" w:name="Item5OtherInformation_293388"/>
      <w:bookmarkStart w:id="1377" w:name="_41798ab1_fb93_4da4_8921_116eca381dee"/>
      <w:bookmarkEnd w:id="1376"/>
      <w:bookmarkEnd w:id="1377"/>
      <w:r>
        <w:rPr>
          <w:rFonts w:ascii="Times New Roman;Times;serif" w:hAnsi="Times New Roman;Times;serif"/>
          <w:b/>
          <w:sz w:val="20"/>
        </w:rPr>
        <w:t>Item 5.   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78" w:name="Item6Exhibits_331758"/>
      <w:bookmarkStart w:id="1379" w:name="_b8fa38e6_5622_4b7e_a1dd_c24041bcdd38"/>
      <w:bookmarkEnd w:id="1378"/>
      <w:bookmarkEnd w:id="1379"/>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1"/>
        <w:gridCol w:w="226"/>
        <w:gridCol w:w="9138"/>
      </w:tblGrid>
      <w:tr>
        <w:trPr/>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226" w:type="dxa"/>
            <w:tcBorders/>
            <w:vAlign w:val="center"/>
          </w:tcPr>
          <w:p>
            <w:pPr>
              <w:pStyle w:val="TableContents"/>
              <w:bidi w:val="0"/>
              <w:spacing w:before="0" w:after="30"/>
              <w:ind w:left="0" w:right="0" w:hanging="0"/>
              <w:jc w:val="center"/>
              <w:rPr/>
            </w:pPr>
            <w:r>
              <w:rPr/>
              <w:t>  ​</w:t>
            </w:r>
          </w:p>
        </w:tc>
        <w:tc>
          <w:tcPr>
            <w:tcW w:w="9138"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Document Description</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 xml:space="preserve">Agreement and Plan of Merger, dated as of August 10, 2022, by and between iStar Inc. and Safehold Inc. </w:t>
              </w:r>
            </w:hyperlink>
            <w:hyperlink r:id="rId3">
              <w:r>
                <w:rPr>
                  <w:rStyle w:val="InternetLink"/>
                  <w:rFonts w:ascii="Times New Roman;Times;serif" w:hAnsi="Times New Roman;Times;serif"/>
                  <w:b w:val="false"/>
                  <w:i w:val="false"/>
                  <w:caps w:val="false"/>
                  <w:smallCaps w:val="false"/>
                  <w:sz w:val="20"/>
                  <w:shd w:fill="FFFFFF" w:val="clear"/>
                </w:rPr>
                <w:t>(incorporated by reference to Exhibit 2.1 of our Current Report on Form 8-K, filed August 11, 2022)</w:t>
              </w:r>
            </w:hyperlink>
            <w:r>
              <w:rPr>
                <w:rFonts w:ascii="Times New Roman;Times;serif" w:hAnsi="Times New Roman;Times;serif"/>
                <w:sz w:val="20"/>
                <w:shd w:fill="FFFFFF" w:val="clear"/>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Charter of Safehold Inc. (incorporated by reference to Exhibit 3.3 to our Current Report on Form 8-K, filed April 4, 2023).</w:t>
              </w:r>
            </w:hyperlink>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Safehold Inc. (incorporated by reference to Exhibit 3.4 to our Current Report on Form 8-K, filed April 4, 2023)</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22.1*</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pPr>
            <w:hyperlink w:anchor="safe-20260331xex22d1.htm">
              <w:r>
                <w:rPr>
                  <w:rStyle w:val="InternetLink"/>
                  <w:rFonts w:ascii="Times New Roman;Times;serif" w:hAnsi="Times New Roman;Times;serif"/>
                  <w:b w:val="false"/>
                  <w:i w:val="false"/>
                  <w:caps w:val="false"/>
                  <w:smallCaps w:val="false"/>
                  <w:sz w:val="20"/>
                </w:rPr>
                <w:t>Subsidiary Guarantors and Issuers of Guaranteed Securities</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31.0*</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pPr>
            <w:hyperlink w:anchor="safe-20260331xex31d0.htm">
              <w:r>
                <w:rPr>
                  <w:rStyle w:val="InternetLink"/>
                  <w:rFonts w:ascii="Times New Roman;Times;serif" w:hAnsi="Times New Roman;Times;serif"/>
                  <w:b w:val="false"/>
                  <w:i w:val="false"/>
                  <w:caps w:val="false"/>
                  <w:smallCaps w:val="false"/>
                  <w:sz w:val="20"/>
                </w:rPr>
                <w:t>Certifications pursuant to Section 302 of the Sarbanes-Oxley Act</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32.0**</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pPr>
            <w:hyperlink w:anchor="safe-20260331xex32d0.htm">
              <w:r>
                <w:rPr>
                  <w:rStyle w:val="InternetLink"/>
                  <w:rFonts w:ascii="Times New Roman;Times;serif" w:hAnsi="Times New Roman;Times;serif"/>
                  <w:b w:val="false"/>
                  <w:i w:val="false"/>
                  <w:caps w:val="false"/>
                  <w:smallCaps w:val="false"/>
                  <w:sz w:val="20"/>
                </w:rPr>
                <w:t>Certifications pursuant to Section 906 of the Sarbanes-Oxley Act</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30"/>
              <w:ind w:left="0" w:right="0" w:hanging="0"/>
              <w:jc w:val="left"/>
              <w:rPr/>
            </w:pPr>
            <w:r>
              <w:rPr/>
              <w:t>​</w:t>
            </w:r>
          </w:p>
        </w:tc>
        <w:tc>
          <w:tcPr>
            <w:tcW w:w="913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2132" w:type="dxa"/>
        <w:jc w:val="left"/>
        <w:tblInd w:w="0" w:type="dxa"/>
        <w:tblLayout w:type="fixed"/>
        <w:tblCellMar>
          <w:top w:w="0" w:type="dxa"/>
          <w:left w:w="0" w:type="dxa"/>
          <w:bottom w:w="0" w:type="dxa"/>
          <w:right w:w="0" w:type="dxa"/>
        </w:tblCellMar>
      </w:tblPr>
      <w:tblGrid>
        <w:gridCol w:w="331"/>
        <w:gridCol w:w="1801"/>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8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Furnished herewith. </w:t>
            </w:r>
          </w:p>
        </w:tc>
      </w:tr>
    </w:tbl>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80" w:name="SIGNATURES_913228"/>
      <w:bookmarkStart w:id="1381" w:name="_6d5a6482_ed8f_4c4e_bec4_e0ebb401c551"/>
      <w:bookmarkEnd w:id="1380"/>
      <w:bookmarkEnd w:id="1381"/>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both"/>
        <w:rPr/>
      </w:pPr>
      <w:r>
        <w:rPr/>
        <w:t>​</w:t>
      </w:r>
    </w:p>
    <w:tbl>
      <w:tblPr>
        <w:tblW w:w="5766" w:type="dxa"/>
        <w:jc w:val="left"/>
        <w:tblInd w:w="0" w:type="dxa"/>
        <w:tblLayout w:type="fixed"/>
        <w:tblCellMar>
          <w:top w:w="0" w:type="dxa"/>
          <w:left w:w="0" w:type="dxa"/>
          <w:bottom w:w="0" w:type="dxa"/>
          <w:right w:w="0" w:type="dxa"/>
        </w:tblCellMar>
      </w:tblPr>
      <w:tblGrid>
        <w:gridCol w:w="601"/>
        <w:gridCol w:w="1141"/>
        <w:gridCol w:w="1914"/>
        <w:gridCol w:w="1956"/>
        <w:gridCol w:w="154"/>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381635" cy="175260"/>
                      <wp:effectExtent l="0" t="0" r="0" b="0"/>
                      <wp:wrapNone/>
                      <wp:docPr id="511" name="Frame5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24535" cy="175260"/>
                      <wp:effectExtent l="0" t="0" r="0" b="0"/>
                      <wp:wrapNone/>
                      <wp:docPr id="512" name="Frame5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457450" cy="175260"/>
                      <wp:effectExtent l="0" t="0" r="0" b="0"/>
                      <wp:wrapNone/>
                      <wp:docPr id="513" name="Frame513"/>
                      <a:graphic xmlns:a="http://schemas.openxmlformats.org/drawingml/2006/main">
                        <a:graphicData uri="http://schemas.microsoft.com/office/word/2010/wordprocessingShape">
                          <wps:wsp>
                            <wps:cNvSpPr txBox="1"/>
                            <wps:spPr>
                              <a:xfrm>
                                <a:off x="0" y="0"/>
                                <a:ext cx="2457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106170" cy="175260"/>
                      <wp:effectExtent l="0" t="0" r="0" b="0"/>
                      <wp:wrapNone/>
                      <wp:docPr id="514" name="Frame514"/>
                      <a:graphic xmlns:a="http://schemas.openxmlformats.org/drawingml/2006/main">
                        <a:graphicData uri="http://schemas.microsoft.com/office/word/2010/wordprocessingShape">
                          <wps:wsp>
                            <wps:cNvSpPr txBox="1"/>
                            <wps:spPr>
                              <a:xfrm>
                                <a:off x="0" y="0"/>
                                <a:ext cx="1106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457450" cy="175260"/>
                      <wp:effectExtent l="0" t="0" r="0" b="0"/>
                      <wp:wrapNone/>
                      <wp:docPr id="515" name="Frame515"/>
                      <a:graphic xmlns:a="http://schemas.openxmlformats.org/drawingml/2006/main">
                        <a:graphicData uri="http://schemas.microsoft.com/office/word/2010/wordprocessingShape">
                          <wps:wsp>
                            <wps:cNvSpPr txBox="1"/>
                            <wps:spPr>
                              <a:xfrm>
                                <a:off x="0" y="0"/>
                                <a:ext cx="2457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3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JAY SUGARMAN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 and Chief</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Executive Officer (principal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3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pPr>
            <w:r>
              <w:rPr/>
              <w:t>​</w:t>
            </w:r>
          </w:p>
        </w:tc>
        <w:tc>
          <w:tcPr>
            <w:tcW w:w="3055" w:type="dxa"/>
            <w:gridSpan w:val="2"/>
            <w:tcBorders/>
            <w:vAlign w:val="center"/>
          </w:tcPr>
          <w:p>
            <w:pPr>
              <w:pStyle w:val="TableContents"/>
              <w:bidi w:val="0"/>
              <w:spacing w:before="0" w:after="0"/>
              <w:ind w:left="0" w:right="0" w:hanging="0"/>
              <w:jc w:val="left"/>
              <w:rPr/>
            </w:pPr>
            <w:r>
              <w:rPr/>
              <w:t>​</w:t>
            </w:r>
          </w:p>
        </w:tc>
        <w:tc>
          <w:tcPr>
            <w:tcW w:w="2110" w:type="dxa"/>
            <w:gridSpan w:val="2"/>
            <w:tcBorders/>
            <w:vAlign w:val="center"/>
          </w:tcPr>
          <w:p>
            <w:pPr>
              <w:pStyle w:val="TableContents"/>
              <w:bidi w:val="0"/>
              <w:spacing w:before="0" w:after="0"/>
              <w:ind w:left="0" w:right="0" w:hanging="0"/>
              <w:jc w:val="center"/>
              <w:rPr/>
            </w:pPr>
            <w:r>
              <w:rPr/>
              <w:t>​</w:t>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2"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240"/>
        <w:ind w:left="0" w:right="0" w:hanging="0"/>
        <w:jc w:val="right"/>
        <w:rPr>
          <w:rFonts w:ascii="Times New Roman;Times;serif" w:hAnsi="Times New Roman;Times;serif"/>
          <w:b/>
          <w:sz w:val="24"/>
        </w:rPr>
      </w:pPr>
      <w:bookmarkStart w:id="1382" w:name="safe-20260331xex22d1.htm"/>
      <w:bookmarkStart w:id="1383" w:name="kssafe20260331xex22d1"/>
      <w:bookmarkEnd w:id="1382"/>
      <w:bookmarkEnd w:id="1383"/>
      <w:r>
        <w:rPr>
          <w:rFonts w:ascii="Times New Roman;Times;serif" w:hAnsi="Times New Roman;Times;serif"/>
          <w:b/>
          <w:sz w:val="24"/>
        </w:rPr>
        <w:t>Exhibit 22.1</w:t>
      </w:r>
      <w:r>
        <w:br w:type="page"/>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List of Issuers of Guaranteed Securities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As of March 31, 2026, the following subsidiary was the issuer of the 2.80% senior notes due June 2031, the 2.85% senior notes due January 2032, the 6.10% senior notes due April 2034 and the 5.65% senior notes due January 2035 guaranteed by Safehold Inc.</w:t>
      </w:r>
    </w:p>
    <w:tbl>
      <w:tblPr>
        <w:tblW w:w="5807" w:type="dxa"/>
        <w:jc w:val="center"/>
        <w:tblInd w:w="0" w:type="dxa"/>
        <w:tblLayout w:type="fixed"/>
        <w:tblCellMar>
          <w:top w:w="0" w:type="dxa"/>
          <w:left w:w="0" w:type="dxa"/>
          <w:bottom w:w="0" w:type="dxa"/>
          <w:right w:w="0" w:type="dxa"/>
        </w:tblCellMar>
      </w:tblPr>
      <w:tblGrid>
        <w:gridCol w:w="2806"/>
        <w:gridCol w:w="3001"/>
      </w:tblGrid>
      <w:tr>
        <w:trPr/>
        <w:tc>
          <w:tcPr>
            <w:tcW w:w="280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Name of Subsidiary</w:t>
            </w:r>
          </w:p>
        </w:tc>
        <w:tc>
          <w:tcPr>
            <w:tcW w:w="300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Jurisdiction of Organization</w:t>
            </w:r>
          </w:p>
        </w:tc>
      </w:tr>
      <w:tr>
        <w:trPr/>
        <w:tc>
          <w:tcPr>
            <w:tcW w:w="2806"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Safehold GL Holdings LLC</w:t>
            </w:r>
          </w:p>
        </w:tc>
        <w:tc>
          <w:tcPr>
            <w:tcW w:w="3001"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Delaware</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84" w:name="safe-20260331xex31d0.htm"/>
      <w:bookmarkStart w:id="1385" w:name="kssafe20260331xex31d0"/>
      <w:bookmarkEnd w:id="1384"/>
      <w:bookmarkEnd w:id="1385"/>
      <w:r>
        <w:rPr>
          <w:rFonts w:ascii="Times New Roman;Times;serif" w:hAnsi="Times New Roman;Times;serif"/>
          <w:b/>
          <w:sz w:val="20"/>
        </w:rPr>
        <w:t>Exhibit 31.0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4790" w:type="dxa"/>
        <w:jc w:val="center"/>
        <w:tblInd w:w="0" w:type="dxa"/>
        <w:tblLayout w:type="fixed"/>
        <w:tblCellMar>
          <w:top w:w="0" w:type="dxa"/>
          <w:left w:w="0" w:type="dxa"/>
          <w:bottom w:w="0" w:type="dxa"/>
          <w:right w:w="0" w:type="dxa"/>
        </w:tblCellMar>
      </w:tblPr>
      <w:tblGrid>
        <w:gridCol w:w="556"/>
        <w:gridCol w:w="1141"/>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53060" cy="175260"/>
                      <wp:effectExtent l="0" t="0" r="0" b="0"/>
                      <wp:wrapNone/>
                      <wp:docPr id="516" name="Frame51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24535" cy="175260"/>
                      <wp:effectExtent l="0" t="0" r="0" b="0"/>
                      <wp:wrapNone/>
                      <wp:docPr id="517" name="Frame5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57810" cy="175260"/>
                      <wp:effectExtent l="0" t="0" r="0" b="0"/>
                      <wp:wrapNone/>
                      <wp:docPr id="518" name="Frame51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706880" cy="175260"/>
                      <wp:effectExtent l="0" t="0" r="0" b="0"/>
                      <wp:wrapNone/>
                      <wp:docPr id="519" name="Frame519"/>
                      <a:graphic xmlns:a="http://schemas.openxmlformats.org/drawingml/2006/main">
                        <a:graphicData uri="http://schemas.microsoft.com/office/word/2010/wordprocessingShape">
                          <wps:wsp>
                            <wps:cNvSpPr txBox="1"/>
                            <wps:spPr>
                              <a:xfrm>
                                <a:off x="0" y="0"/>
                                <a:ext cx="170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7115" w:type="dxa"/>
        <w:jc w:val="center"/>
        <w:tblInd w:w="0" w:type="dxa"/>
        <w:tblLayout w:type="fixed"/>
        <w:tblCellMar>
          <w:top w:w="0" w:type="dxa"/>
          <w:left w:w="0" w:type="dxa"/>
          <w:bottom w:w="0" w:type="dxa"/>
          <w:right w:w="0" w:type="dxa"/>
        </w:tblCellMar>
      </w:tblPr>
      <w:tblGrid>
        <w:gridCol w:w="556"/>
        <w:gridCol w:w="1141"/>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53060" cy="175260"/>
                      <wp:effectExtent l="0" t="0" r="0" b="0"/>
                      <wp:wrapNone/>
                      <wp:docPr id="520" name="Frame52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24535" cy="175260"/>
                      <wp:effectExtent l="0" t="0" r="0" b="0"/>
                      <wp:wrapNone/>
                      <wp:docPr id="521" name="Frame5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57810" cy="175260"/>
                      <wp:effectExtent l="0" t="0" r="0" b="0"/>
                      <wp:wrapNone/>
                      <wp:docPr id="522" name="Frame52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182620" cy="175260"/>
                      <wp:effectExtent l="0" t="0" r="0" b="0"/>
                      <wp:wrapNone/>
                      <wp:docPr id="523" name="Frame523"/>
                      <a:graphic xmlns:a="http://schemas.openxmlformats.org/drawingml/2006/main">
                        <a:graphicData uri="http://schemas.microsoft.com/office/word/2010/wordprocessingShape">
                          <wps:wsp>
                            <wps:cNvSpPr txBox="1"/>
                            <wps:spPr>
                              <a:xfrm>
                                <a:off x="0" y="0"/>
                                <a:ext cx="318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86" w:name="safe-20260331xex32d0.htm"/>
      <w:bookmarkStart w:id="1387" w:name="kssafe20260331xex32d0"/>
      <w:bookmarkEnd w:id="1386"/>
      <w:bookmarkEnd w:id="1387"/>
      <w:r>
        <w:rPr>
          <w:rFonts w:ascii="Times New Roman;Times;serif" w:hAnsi="Times New Roman;Times;serif"/>
          <w:b/>
          <w:sz w:val="20"/>
        </w:rPr>
        <w:t>Exhibit 32.0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Safehold Inc. (the "Company"), hereby certifies on the date hereof, pursuant to 18 U.S.C. 1350, as adopted pursuant to Section 906 of The Sarbanes-Oxley Act of 2002, that the Quarterly Report on Form 10-Q for the quarter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790" w:type="dxa"/>
        <w:jc w:val="center"/>
        <w:tblInd w:w="0" w:type="dxa"/>
        <w:tblLayout w:type="fixed"/>
        <w:tblCellMar>
          <w:top w:w="0" w:type="dxa"/>
          <w:left w:w="0" w:type="dxa"/>
          <w:bottom w:w="0" w:type="dxa"/>
          <w:right w:w="0" w:type="dxa"/>
        </w:tblCellMar>
      </w:tblPr>
      <w:tblGrid>
        <w:gridCol w:w="556"/>
        <w:gridCol w:w="1141"/>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53060" cy="175260"/>
                      <wp:effectExtent l="0" t="0" r="0" b="0"/>
                      <wp:wrapNone/>
                      <wp:docPr id="524" name="Frame52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724535" cy="175260"/>
                      <wp:effectExtent l="0" t="0" r="0" b="0"/>
                      <wp:wrapNone/>
                      <wp:docPr id="525" name="Frame5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57810" cy="175260"/>
                      <wp:effectExtent l="0" t="0" r="0" b="0"/>
                      <wp:wrapNone/>
                      <wp:docPr id="526" name="Frame52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706880" cy="175260"/>
                      <wp:effectExtent l="0" t="0" r="0" b="0"/>
                      <wp:wrapNone/>
                      <wp:docPr id="527" name="Frame527"/>
                      <a:graphic xmlns:a="http://schemas.openxmlformats.org/drawingml/2006/main">
                        <a:graphicData uri="http://schemas.microsoft.com/office/word/2010/wordprocessingShape">
                          <wps:wsp>
                            <wps:cNvSpPr txBox="1"/>
                            <wps:spPr>
                              <a:xfrm>
                                <a:off x="0" y="0"/>
                                <a:ext cx="170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Safehold Inc. (the "Company"), hereby certifies on the date hereof, pursuant to 18 U.S.C. 1350, as adopted pursuant to Section 906 of The Sarbanes-Oxley Act of 2002, that the Quarterly Report on Form 10-Q for the quarter ended March 31,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7115" w:type="dxa"/>
        <w:jc w:val="center"/>
        <w:tblInd w:w="0" w:type="dxa"/>
        <w:tblLayout w:type="fixed"/>
        <w:tblCellMar>
          <w:top w:w="0" w:type="dxa"/>
          <w:left w:w="0" w:type="dxa"/>
          <w:bottom w:w="0" w:type="dxa"/>
          <w:right w:w="0" w:type="dxa"/>
        </w:tblCellMar>
      </w:tblPr>
      <w:tblGrid>
        <w:gridCol w:w="556"/>
        <w:gridCol w:w="1141"/>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353060" cy="175260"/>
                      <wp:effectExtent l="0" t="0" r="0" b="0"/>
                      <wp:wrapNone/>
                      <wp:docPr id="528" name="Frame52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724535" cy="175260"/>
                      <wp:effectExtent l="0" t="0" r="0" b="0"/>
                      <wp:wrapNone/>
                      <wp:docPr id="529" name="Frame5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57810" cy="175260"/>
                      <wp:effectExtent l="0" t="0" r="0" b="0"/>
                      <wp:wrapNone/>
                      <wp:docPr id="530" name="Frame5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3182620" cy="175260"/>
                      <wp:effectExtent l="0" t="0" r="0" b="0"/>
                      <wp:wrapNone/>
                      <wp:docPr id="531" name="Frame531"/>
                      <a:graphic xmlns:a="http://schemas.openxmlformats.org/drawingml/2006/main">
                        <a:graphicData uri="http://schemas.microsoft.com/office/word/2010/wordprocessingShape">
                          <wps:wsp>
                            <wps:cNvSpPr txBox="1"/>
                            <wps:spPr>
                              <a:xfrm>
                                <a:off x="0" y="0"/>
                                <a:ext cx="318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651/000110465922089422/tm2223188d1_ex2-1.htm" TargetMode="External"/><Relationship Id="rId3" Type="http://schemas.openxmlformats.org/officeDocument/2006/relationships/hyperlink" Target="https://www.sec.gov/Archives/edgar/data/1095651/000110465922089422/tm2223188d1_ex2-1.htm" TargetMode="External"/><Relationship Id="rId4" Type="http://schemas.openxmlformats.org/officeDocument/2006/relationships/hyperlink" Target="https://www.sec.gov/Archives/edgar/data/1095651/000110465923041210/tm2310731d1_ex3-3.htm" TargetMode="External"/><Relationship Id="rId5" Type="http://schemas.openxmlformats.org/officeDocument/2006/relationships/hyperlink" Target="https://www.sec.gov/Archives/edgar/data/1095651/000110465923041210/tm2310731d1_ex3-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26100</Words>
  <Characters>142502</Characters>
  <CharactersWithSpaces>170890</CharactersWithSpaces>
  <Paragraphs>6483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