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6635d1_8k.htm"/>
      <w:bookmarkStart w:id="1" w:name="kstm2626635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4"/>
        </w:rPr>
      </w:pPr>
      <w:r>
        <w:rPr>
          <w:rFonts w:ascii="Times New Roman;Times;Serif" w:hAnsi="Times New Roman;Times;Serif"/>
          <w:b/>
          <w:i w:val="false"/>
          <w:caps w:val="false"/>
          <w:smallCaps w:val="false"/>
          <w:sz w:val="34"/>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4"/>
        </w:rPr>
      </w:pPr>
      <w:r>
        <w:rPr>
          <w:rFonts w:ascii="Times New Roman;Times;Serif" w:hAnsi="Times New Roman;Times;Serif"/>
          <w:b/>
          <w:i w:val="false"/>
          <w:caps w:val="false"/>
          <w:smallCaps w:val="false"/>
          <w:sz w:val="3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4"/>
        </w:rPr>
      </w:pPr>
      <w:r>
        <w:rPr>
          <w:rFonts w:ascii="Times New Roman;Times;Serif" w:hAnsi="Times New Roman;Times;Serif"/>
          <w:b/>
          <w:i w:val="false"/>
          <w:caps w:val="false"/>
          <w:smallCaps w:val="false"/>
          <w:sz w:val="34"/>
        </w:rPr>
        <w:t>FORM </w:t>
      </w:r>
      <w:bookmarkStart w:id="2" w:name="xdx_901_edei--DocumentType_c20260929__20"/>
      <w:bookmarkEnd w:id="2"/>
      <w:r>
        <w:rPr>
          <w:rFonts w:ascii="Times New Roman;Times;Serif" w:hAnsi="Times New Roman;Times;Serif"/>
          <w:b/>
          <w:i w:val="false"/>
          <w:caps w:val="false"/>
          <w:smallCaps w:val="false"/>
          <w:sz w:val="34"/>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September 29, 2026</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c2026"/>
      <w:bookmarkEnd w:id="4"/>
      <w:r>
        <w:rPr>
          <w:rFonts w:ascii="Times New Roman;Times;Serif" w:hAnsi="Times New Roman;Times;Serif"/>
          <w:b/>
          <w:i w:val="false"/>
          <w:caps w:val="false"/>
          <w:smallCaps w:val="false"/>
          <w:sz w:val="36"/>
        </w:rPr>
        <w:t>Safehold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295" w:type="dxa"/>
        <w:jc w:val="left"/>
        <w:tblInd w:w="0" w:type="dxa"/>
        <w:tblLayout w:type="fixed"/>
        <w:tblCellMar>
          <w:top w:w="0" w:type="dxa"/>
          <w:left w:w="0" w:type="dxa"/>
          <w:bottom w:w="0" w:type="dxa"/>
          <w:right w:w="0" w:type="dxa"/>
        </w:tblCellMar>
      </w:tblPr>
      <w:tblGrid>
        <w:gridCol w:w="2375"/>
        <w:gridCol w:w="60"/>
        <w:gridCol w:w="2360"/>
        <w:gridCol w:w="60"/>
        <w:gridCol w:w="3440"/>
      </w:tblGrid>
      <w:tr>
        <w:trPr/>
        <w:tc>
          <w:tcPr>
            <w:tcW w:w="2375" w:type="dxa"/>
            <w:tcBorders/>
            <w:vAlign w:val="center"/>
          </w:tcPr>
          <w:p>
            <w:pPr>
              <w:pStyle w:val="TableContents"/>
              <w:bidi w:val="0"/>
              <w:spacing w:before="0" w:after="283"/>
              <w:jc w:val="center"/>
              <w:rPr>
                <w:rFonts w:ascii="Times New Roman;Times;Serif" w:hAnsi="Times New Roman;Times;Serif"/>
                <w:b/>
                <w:sz w:val="20"/>
              </w:rPr>
            </w:pPr>
            <w:bookmarkStart w:id="5" w:name="xdx_908_edei--EntityIncorporationStateCo"/>
            <w:bookmarkEnd w:id="5"/>
            <w:r>
              <w:rPr>
                <w:rFonts w:ascii="Times New Roman;Times;Serif" w:hAnsi="Times New Roman;Times;Serif"/>
                <w:b/>
                <w:sz w:val="20"/>
              </w:rPr>
              <w:t>Maryland</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rFonts w:ascii="Times New Roman;Times;Serif" w:hAnsi="Times New Roman;Times;Serif"/>
                <w:b/>
                <w:sz w:val="20"/>
              </w:rPr>
            </w:pPr>
            <w:bookmarkStart w:id="6" w:name="xdx_906_edei--EntityFileNumber_c20260929"/>
            <w:bookmarkEnd w:id="6"/>
            <w:r>
              <w:rPr>
                <w:rFonts w:ascii="Times New Roman;Times;Serif" w:hAnsi="Times New Roman;Times;Serif"/>
                <w:b/>
                <w:sz w:val="20"/>
              </w:rPr>
              <w:t>001-15371</w:t>
            </w:r>
          </w:p>
        </w:tc>
        <w:tc>
          <w:tcPr>
            <w:tcW w:w="6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center"/>
              <w:rPr>
                <w:rFonts w:ascii="Times New Roman;Times;Serif" w:hAnsi="Times New Roman;Times;Serif"/>
                <w:b/>
                <w:sz w:val="20"/>
              </w:rPr>
            </w:pPr>
            <w:bookmarkStart w:id="7" w:name="xdx_90B_edei--EntityTaxIdentificationNum"/>
            <w:bookmarkEnd w:id="7"/>
            <w:r>
              <w:rPr>
                <w:rFonts w:ascii="Times New Roman;Times;Serif" w:hAnsi="Times New Roman;Times;Serif"/>
                <w:b/>
                <w:sz w:val="20"/>
              </w:rPr>
              <w:t>95-6881527</w:t>
            </w:r>
          </w:p>
        </w:tc>
      </w:tr>
      <w:tr>
        <w:trPr/>
        <w:tc>
          <w:tcPr>
            <w:tcW w:w="2375" w:type="dxa"/>
            <w:tcBorders/>
            <w:vAlign w:val="center"/>
          </w:tcPr>
          <w:p>
            <w:pPr>
              <w:pStyle w:val="TableContents"/>
              <w:bidi w:val="0"/>
              <w:spacing w:before="0" w:after="283"/>
              <w:jc w:val="center"/>
              <w:rPr/>
            </w:pPr>
            <w:r>
              <w:rPr>
                <w:rFonts w:ascii="Times New Roman;Times;Serif" w:hAnsi="Times New Roman;Times;Serif"/>
                <w:sz w:val="20"/>
              </w:rPr>
              <w:t>(State or other jurisdiction of</w:t>
              <w:br/>
            </w:r>
            <w:r>
              <w:rPr/>
              <w:t>incorporation)</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rFonts w:ascii="Times New Roman;Times;Serif" w:hAnsi="Times New Roman;Times;Serif"/>
                <w:sz w:val="20"/>
              </w:rPr>
              <w:t xml:space="preserve">(Commission File </w:t>
            </w:r>
            <w:r>
              <w:rPr/>
              <w:t>Number)</w:t>
            </w:r>
          </w:p>
        </w:tc>
        <w:tc>
          <w:tcPr>
            <w:tcW w:w="6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center"/>
              <w:rPr/>
            </w:pPr>
            <w:r>
              <w:rPr>
                <w:rFonts w:ascii="Times New Roman;Times;Serif" w:hAnsi="Times New Roman;Times;Serif"/>
                <w:sz w:val="20"/>
              </w:rPr>
              <w:t xml:space="preserve">(IRS Employer </w:t>
            </w:r>
            <w:r>
              <w:rPr/>
              <w:t>Identification Number)</w:t>
            </w:r>
          </w:p>
        </w:tc>
      </w:tr>
    </w:tbl>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3215"/>
        <w:gridCol w:w="920"/>
      </w:tblGrid>
      <w:tr>
        <w:trPr/>
        <w:tc>
          <w:tcPr>
            <w:tcW w:w="3215" w:type="dxa"/>
            <w:tcBorders/>
            <w:vAlign w:val="center"/>
          </w:tcPr>
          <w:p>
            <w:pPr>
              <w:pStyle w:val="TableContents"/>
              <w:bidi w:val="0"/>
              <w:spacing w:before="0" w:after="283"/>
              <w:jc w:val="center"/>
              <w:rPr/>
            </w:pPr>
            <w:bookmarkStart w:id="8" w:name="xdx_90B_edei--EntityAddressAddressLine1_"/>
            <w:bookmarkEnd w:id="8"/>
            <w:r>
              <w:rPr>
                <w:rFonts w:ascii="Times New Roman;Times;Serif" w:hAnsi="Times New Roman;Times;Serif"/>
                <w:b/>
                <w:sz w:val="20"/>
              </w:rPr>
              <w:t>One Penn Plaza</w:t>
            </w:r>
            <w:r>
              <w:rPr>
                <w:b/>
              </w:rPr>
              <w:t>,</w:t>
            </w:r>
          </w:p>
        </w:tc>
        <w:tc>
          <w:tcPr>
            <w:tcW w:w="92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center"/>
              <w:rPr>
                <w:rFonts w:ascii="Times New Roman;Times;Serif" w:hAnsi="Times New Roman;Times;Serif"/>
                <w:b/>
                <w:sz w:val="20"/>
              </w:rPr>
            </w:pPr>
            <w:bookmarkStart w:id="9" w:name="xdx_90E_edei--EntityAddressAddressLine2_"/>
            <w:bookmarkEnd w:id="9"/>
            <w:r>
              <w:rPr>
                <w:rFonts w:ascii="Times New Roman;Times;Serif" w:hAnsi="Times New Roman;Times;Serif"/>
                <w:b/>
                <w:sz w:val="20"/>
              </w:rPr>
              <w:t>51st Floor</w:t>
            </w:r>
          </w:p>
        </w:tc>
        <w:tc>
          <w:tcPr>
            <w:tcW w:w="92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center"/>
              <w:rPr/>
            </w:pPr>
            <w:bookmarkStart w:id="10" w:name="xdx_90E_edei--EntityAddressCityOrTown_c2"/>
            <w:bookmarkEnd w:id="10"/>
            <w:r>
              <w:rPr>
                <w:rFonts w:ascii="Times New Roman;Times;Serif" w:hAnsi="Times New Roman;Times;Serif"/>
                <w:b/>
                <w:sz w:val="20"/>
              </w:rPr>
              <w:t>New York</w:t>
            </w:r>
            <w:r>
              <w:rPr>
                <w:b/>
              </w:rPr>
              <w:t xml:space="preserve">, </w:t>
            </w:r>
            <w:bookmarkStart w:id="11" w:name="xdx_90A_edei--EntityAddressStateOrProvin"/>
            <w:bookmarkEnd w:id="11"/>
            <w:r>
              <w:rPr>
                <w:rFonts w:ascii="Times New Roman;Times;Serif" w:hAnsi="Times New Roman;Times;Serif"/>
                <w:b/>
                <w:sz w:val="20"/>
              </w:rPr>
              <w:t>New York</w:t>
            </w:r>
          </w:p>
        </w:tc>
        <w:tc>
          <w:tcPr>
            <w:tcW w:w="920" w:type="dxa"/>
            <w:tcBorders/>
            <w:vAlign w:val="center"/>
          </w:tcPr>
          <w:p>
            <w:pPr>
              <w:pStyle w:val="TableContents"/>
              <w:bidi w:val="0"/>
              <w:spacing w:before="0" w:after="283"/>
              <w:jc w:val="center"/>
              <w:rPr>
                <w:rFonts w:ascii="Times New Roman;Times;Serif" w:hAnsi="Times New Roman;Times;Serif"/>
                <w:b/>
                <w:sz w:val="20"/>
              </w:rPr>
            </w:pPr>
            <w:bookmarkStart w:id="12" w:name="xdx_901_edei--EntityAddressPostalZipCode"/>
            <w:bookmarkEnd w:id="12"/>
            <w:r>
              <w:rPr>
                <w:rFonts w:ascii="Times New Roman;Times;Serif" w:hAnsi="Times New Roman;Times;Serif"/>
                <w:b/>
                <w:sz w:val="20"/>
              </w:rPr>
              <w:t>10119</w:t>
            </w:r>
          </w:p>
        </w:tc>
      </w:tr>
      <w:tr>
        <w:trPr/>
        <w:tc>
          <w:tcPr>
            <w:tcW w:w="3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F_edei--CityAreaCode_c20260929__20"/>
      <w:bookmarkEnd w:id="13"/>
      <w:r>
        <w:rPr>
          <w:rFonts w:ascii="Times New Roman;Times;Serif" w:hAnsi="Times New Roman;Times;Serif"/>
          <w:b/>
          <w:i w:val="false"/>
          <w:caps w:val="false"/>
          <w:smallCaps w:val="false"/>
          <w:sz w:val="20"/>
        </w:rPr>
        <w:t xml:space="preserve">212) </w:t>
      </w:r>
      <w:bookmarkStart w:id="14" w:name="xdx_907_edei--LocalPhoneNumber_c20260929"/>
      <w:bookmarkEnd w:id="14"/>
      <w:r>
        <w:rPr>
          <w:rFonts w:ascii="Times New Roman;Times;Serif" w:hAnsi="Times New Roman;Times;Serif"/>
          <w:b/>
          <w:i w:val="false"/>
          <w:caps w:val="false"/>
          <w:smallCaps w:val="false"/>
          <w:sz w:val="20"/>
        </w:rPr>
        <w:t>930-9400</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4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2_edei--SolicitingMaterial_c202609"/>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3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F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975" w:type="dxa"/>
        <w:jc w:val="left"/>
        <w:tblInd w:w="0" w:type="dxa"/>
        <w:tblLayout w:type="fixed"/>
        <w:tblCellMar>
          <w:top w:w="0" w:type="dxa"/>
          <w:left w:w="0" w:type="dxa"/>
          <w:bottom w:w="30" w:type="dxa"/>
          <w:right w:w="0" w:type="dxa"/>
        </w:tblCellMar>
      </w:tblPr>
      <w:tblGrid>
        <w:gridCol w:w="1535"/>
        <w:gridCol w:w="60"/>
        <w:gridCol w:w="1610"/>
        <w:gridCol w:w="60"/>
        <w:gridCol w:w="3710"/>
      </w:tblGrid>
      <w:tr>
        <w:trPr/>
        <w:tc>
          <w:tcPr>
            <w:tcW w:w="153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1535" w:type="dxa"/>
            <w:tcBorders/>
            <w:tcMar>
              <w:bottom w:w="0" w:type="dxa"/>
            </w:tcMar>
            <w:vAlign w:val="center"/>
          </w:tcPr>
          <w:p>
            <w:pPr>
              <w:pStyle w:val="TableContents"/>
              <w:bidi w:val="0"/>
              <w:spacing w:before="0" w:after="283"/>
              <w:jc w:val="center"/>
              <w:rPr>
                <w:sz w:val="20"/>
              </w:rPr>
            </w:pPr>
            <w:bookmarkStart w:id="19" w:name="xdx_903_edei--Security12bTitle_c20260929"/>
            <w:bookmarkEnd w:id="19"/>
            <w:r>
              <w:rPr>
                <w:sz w:val="20"/>
              </w:rPr>
              <w:t>Common Stock</w:t>
            </w:r>
          </w:p>
        </w:tc>
        <w:tc>
          <w:tcPr>
            <w:tcW w:w="6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sz w:val="20"/>
              </w:rPr>
            </w:pPr>
            <w:bookmarkStart w:id="20" w:name="xdx_90C_edei--TradingSymbol_c20260929__2"/>
            <w:bookmarkEnd w:id="20"/>
            <w:r>
              <w:rPr>
                <w:sz w:val="20"/>
              </w:rPr>
              <w:t>SAFE</w:t>
            </w:r>
          </w:p>
        </w:tc>
        <w:tc>
          <w:tcPr>
            <w:tcW w:w="60" w:type="dxa"/>
            <w:tcBorders/>
            <w:tcMar>
              <w:bottom w:w="0" w:type="dxa"/>
            </w:tcMar>
            <w:vAlign w:val="center"/>
          </w:tcPr>
          <w:p>
            <w:pPr>
              <w:pStyle w:val="TableContents"/>
              <w:bidi w:val="0"/>
              <w:spacing w:before="0" w:after="283"/>
              <w:jc w:val="center"/>
              <w:rPr/>
            </w:pPr>
            <w:r>
              <w:rPr/>
              <w:t> </w:t>
            </w:r>
          </w:p>
        </w:tc>
        <w:tc>
          <w:tcPr>
            <w:tcW w:w="3710" w:type="dxa"/>
            <w:tcBorders/>
            <w:tcMar>
              <w:bottom w:w="0" w:type="dxa"/>
            </w:tcMar>
            <w:vAlign w:val="center"/>
          </w:tcPr>
          <w:p>
            <w:pPr>
              <w:pStyle w:val="TableContents"/>
              <w:bidi w:val="0"/>
              <w:spacing w:before="0" w:after="283"/>
              <w:jc w:val="center"/>
              <w:rPr>
                <w:sz w:val="20"/>
              </w:rPr>
            </w:pPr>
            <w:bookmarkStart w:id="21" w:name="xdx_900_edei--SecurityExchangeName_c2026"/>
            <w:bookmarkEnd w:id="21"/>
            <w:r>
              <w:rPr>
                <w:sz w:val="20"/>
              </w:rPr>
              <w:t>NYSE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9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83"/>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388" w:type="dxa"/>
        <w:jc w:val="left"/>
        <w:tblInd w:w="0" w:type="dxa"/>
        <w:tblLayout w:type="fixed"/>
        <w:tblCellMar>
          <w:top w:w="0" w:type="dxa"/>
          <w:left w:w="0" w:type="dxa"/>
          <w:bottom w:w="0" w:type="dxa"/>
          <w:right w:w="0" w:type="dxa"/>
        </w:tblCellMar>
      </w:tblPr>
      <w:tblGrid>
        <w:gridCol w:w="38"/>
        <w:gridCol w:w="965"/>
        <w:gridCol w:w="138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8.01</w:t>
            </w:r>
          </w:p>
        </w:tc>
        <w:tc>
          <w:tcPr>
            <w:tcW w:w="1385" w:type="dxa"/>
            <w:tcBorders/>
            <w:vAlign w:val="center"/>
          </w:tcPr>
          <w:p>
            <w:pPr>
              <w:pStyle w:val="TableContents"/>
              <w:bidi w:val="0"/>
              <w:spacing w:before="0" w:after="283"/>
              <w:jc w:val="both"/>
              <w:rPr>
                <w:b/>
              </w:rPr>
            </w:pPr>
            <w:r>
              <w:rPr>
                <w:b/>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 Loan Credit Agreement with Star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2026, Safehold Inc. (the “Company”), as lender, entered into an amendment (the “Third Amendment”) to its previously disclosed term loan credit agreement, dated March 31, 2023, amended on October 4, 2023, and further amended on March 28, 2025, with Star Holdings, as borrower. The Third Amendment, among other things: (i) extends the maturity date of the underlying term loan facilities by one year, to March 31, 2029, with the option for Star Holdings to extend the maturity date to September 30, 2029, subject to the satisfaction of certain conditions, including the payment of an extension fee equal to 0.5% of the then outstanding loans, and with the interest rate on outstanding borrowings increasing 1.0% per annum during the extension period; (ii) permits Star Holdings to make one or more voluntary prepayments of up to $50.0 million in the aggregate, plus the amount of any restricted cash held by the margin loan lender on its margin loan facility that is currently secured by all of the shares of Safehold common stock owned by Star Holdings; and (iii) provides a new restricted payments basket that will permit Star Holdings to repurchase up to $10.0 million of its common shares for cash after it has prepaid its margin loan facility by at least $40.0 million (exclusive of prepayments using restricted cash held by the margin loan lender). Star Holdings has agreed that it will not make any additional borrowings under the margin loan facility. In connection with the Third Amendment, Star Holdings paid the Company a maturity extension fee of $2.4 million. As of September 29, 2026, the outstanding term loan had a principal balance of $115.0 million and no outstanding borrowings on the incremental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the Third Amendment does not purport to be complete and is qualified in its entirety by reference to the full text of the Third Amendment, which is included as Exhibit 10.1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Management Agreement with Star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2026, Safehold Management Services Inc. (the “Manager”), a wholly-owned subsidiary of the Company, entered into an amendment to its previously disclosed management agreement, dated March 31, 2023 and amended on March 28, 2025, with Star Holdings (the “Second Amendment,” and the management agreement, as amended, the “Management Agreement”) pursuant to which (i) the management fee payable in respect of the annual terms running from April 1, 2027 through March 31, 2028 and April 1, 2028 through March 31, 2029 will be subject to minimum quarterly amounts of $1.25 million and $625,000, respectively; (ii) the “Termination Fee” payable to the Manager in certain circumstances has been increased from $55.0 million to $62.5 million, in each case less the aggregate amount of management fees paid prior to the termination date; and (iii) the period during which a termination of the Management Agreement by Star Holdings without cause would require payment of the Termination Fee has been extended to March 31,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the Second Amendment does not purport to be complete and is qualified in its entirety by reference to the full text of the Second Amendment, which is included as Exhibit 10.2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bottom w:val="single" w:sz="8" w:space="0" w:color="FFFFFF"/>
            </w:tcBorders>
            <w:vAlign w:val="center"/>
          </w:tcPr>
          <w:p>
            <w:pPr>
              <w:pStyle w:val="TableContents"/>
              <w:bidi w:val="0"/>
              <w:spacing w:before="0" w:after="283"/>
              <w:jc w:val="left"/>
              <w:rPr/>
            </w:pPr>
            <w:r>
              <w:rPr/>
              <w:t> </w:t>
            </w:r>
          </w:p>
        </w:tc>
        <w:tc>
          <w:tcPr>
            <w:tcW w:w="91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hyperlink w:anchor="tm2626635d1_ex10-1.htm">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both"/>
              <w:rPr/>
            </w:pPr>
            <w:hyperlink w:anchor="tm2626635d1_ex10-1.htm">
              <w:r>
                <w:rPr>
                  <w:rStyle w:val="InternetLink"/>
                  <w:rFonts w:ascii="Times New Roman;Times;Serif" w:hAnsi="Times New Roman;Times;Serif"/>
                  <w:sz w:val="20"/>
                </w:rPr>
                <w:t>Third Amendment to Amended and Restated Credit Agreement, dated as of September 29, 2026, between Safehold Inc., as lender, and Star Holdings, as borrower.</w:t>
              </w:r>
            </w:hyperlink>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both"/>
              <w:rPr/>
            </w:pPr>
            <w:r>
              <w:rPr/>
              <w:t> </w:t>
            </w:r>
          </w:p>
        </w:tc>
      </w:tr>
      <w:tr>
        <w:trPr/>
        <w:tc>
          <w:tcPr>
            <w:tcW w:w="995" w:type="dxa"/>
            <w:tcBorders/>
            <w:tcMar>
              <w:bottom w:w="0" w:type="dxa"/>
            </w:tcMar>
            <w:vAlign w:val="center"/>
          </w:tcPr>
          <w:p>
            <w:pPr>
              <w:pStyle w:val="TableContents"/>
              <w:bidi w:val="0"/>
              <w:spacing w:before="0" w:after="283"/>
              <w:jc w:val="left"/>
              <w:rPr/>
            </w:pPr>
            <w:hyperlink w:anchor="tm2626635d1_ex10-2.htm">
              <w:r>
                <w:rPr>
                  <w:rStyle w:val="InternetLink"/>
                  <w:rFonts w:ascii="Times New Roman;Times;Serif" w:hAnsi="Times New Roman;Times;Serif"/>
                  <w:sz w:val="20"/>
                </w:rPr>
                <w:t>10.2</w:t>
              </w:r>
            </w:hyperlink>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both"/>
              <w:rPr/>
            </w:pPr>
            <w:hyperlink w:anchor="tm2626635d1_ex10-2.htm">
              <w:r>
                <w:rPr>
                  <w:rStyle w:val="InternetLink"/>
                  <w:rFonts w:ascii="Times New Roman;Times;Serif" w:hAnsi="Times New Roman;Times;Serif"/>
                  <w:sz w:val="20"/>
                </w:rPr>
                <w:t>Second Amendment to Management Agreement, dated as of September 29, 2026, between Safehold Management Services Inc. and Star Holdings.</w:t>
              </w:r>
            </w:hyperlink>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both"/>
              <w:rPr/>
            </w:pPr>
            <w:r>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File (the cover page tags are embedded with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470"/>
        <w:gridCol w:w="1565"/>
        <w:gridCol w:w="320"/>
        <w:gridCol w:w="2240"/>
      </w:tblGrid>
      <w:tr>
        <w:trPr/>
        <w:tc>
          <w:tcPr>
            <w:tcW w:w="47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Safehold Inc.</w:t>
            </w:r>
          </w:p>
        </w:tc>
      </w:tr>
      <w:tr>
        <w:trPr/>
        <w:tc>
          <w:tcPr>
            <w:tcW w:w="47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565" w:type="dxa"/>
            <w:tcBorders/>
            <w:vAlign w:val="center"/>
          </w:tcPr>
          <w:p>
            <w:pPr>
              <w:pStyle w:val="TableContents"/>
              <w:bidi w:val="0"/>
              <w:spacing w:before="0" w:after="283"/>
              <w:jc w:val="left"/>
              <w:rPr/>
            </w:pPr>
            <w:r>
              <w:rPr/>
              <w:t>October 2,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BRETT ASNAS</w:t>
            </w:r>
          </w:p>
        </w:tc>
      </w:tr>
      <w:tr>
        <w:trPr/>
        <w:tc>
          <w:tcPr>
            <w:tcW w:w="47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center"/>
              <w:rPr/>
            </w:pPr>
            <w:r>
              <w:rPr/>
              <w:t>Brett Asnas</w:t>
              <w:br/>
            </w:r>
            <w:r>
              <w:rPr>
                <w:i/>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26635d1_ex10-1.htm"/>
      <w:bookmarkStart w:id="24" w:name="kstm2626635d1_ex101"/>
      <w:bookmarkEnd w:id="23"/>
      <w:bookmarkEnd w:id="24"/>
      <w:r>
        <w:rPr/>
        <w:t> </w:t>
      </w:r>
      <w:r>
        <w:br w:type="page"/>
      </w:r>
    </w:p>
    <w:p>
      <w:pPr>
        <w:pStyle w:val="TextBody"/>
        <w:bidi w:val="0"/>
        <w:jc w:val="right"/>
        <w:rPr>
          <w:b/>
        </w:rPr>
      </w:pPr>
      <w:r>
        <w:rPr>
          <w:b/>
        </w:rPr>
        <w:t>Exhibit 10.1</w:t>
      </w:r>
    </w:p>
    <w:p>
      <w:pPr>
        <w:pStyle w:val="TextBody"/>
        <w:bidi w:val="0"/>
        <w:jc w:val="righ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AMENDMENT TO</w:t>
        <w:br/>
        <w:t>AMENDED AND RESTATED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THIRD AMENDMENT TO AMENDED AND RESTATED CREDIT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 xml:space="preserve">Amendment” </w:t>
      </w:r>
      <w:r>
        <w:rPr>
          <w:rFonts w:ascii="Times New Roman;Times;Serif" w:hAnsi="Times New Roman;Times;Serif"/>
          <w:b w:val="false"/>
          <w:i w:val="false"/>
          <w:caps w:val="false"/>
          <w:smallCaps w:val="false"/>
          <w:sz w:val="20"/>
        </w:rPr>
        <w:t>or the “</w:t>
      </w:r>
      <w:r>
        <w:rPr>
          <w:rFonts w:ascii="Times New Roman;Times;Serif" w:hAnsi="Times New Roman;Times;Serif"/>
          <w:b/>
          <w:i w:val="false"/>
          <w:caps w:val="false"/>
          <w:smallCaps w:val="false"/>
          <w:sz w:val="20"/>
        </w:rPr>
        <w:t>Third Amendment”</w:t>
      </w:r>
      <w:r>
        <w:rPr>
          <w:rFonts w:ascii="Times New Roman;Times;Serif" w:hAnsi="Times New Roman;Times;Serif"/>
          <w:b w:val="false"/>
          <w:i w:val="false"/>
          <w:caps w:val="false"/>
          <w:smallCaps w:val="false"/>
          <w:sz w:val="20"/>
        </w:rPr>
        <w:t xml:space="preserve">) is dated as of September 29, 2026, is entered into by </w:t>
      </w:r>
      <w:r>
        <w:rPr>
          <w:rFonts w:ascii="Times New Roman;Times;Serif" w:hAnsi="Times New Roman;Times;Serif"/>
          <w:b w:val="false"/>
          <w:i w:val="false"/>
          <w:caps/>
          <w:sz w:val="20"/>
        </w:rPr>
        <w:t>STAR HOLDINGS</w:t>
      </w:r>
      <w:r>
        <w:rPr>
          <w:rFonts w:ascii="Times New Roman;Times;Serif" w:hAnsi="Times New Roman;Times;Serif"/>
          <w:b w:val="false"/>
          <w:i w:val="false"/>
          <w:caps w:val="false"/>
          <w:smallCaps w:val="false"/>
          <w:sz w:val="20"/>
        </w:rPr>
        <w:t>, a Maryland statutory trust (together with its successors and permitted assigns, the “</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sz w:val="20"/>
        </w:rPr>
        <w:t>SAFEHOLD INC.</w:t>
      </w:r>
      <w:r>
        <w:rPr>
          <w:rFonts w:ascii="Times New Roman;Times;Serif" w:hAnsi="Times New Roman;Times;Serif"/>
          <w:b w:val="false"/>
          <w:i w:val="false"/>
          <w:caps w:val="false"/>
          <w:smallCaps w:val="false"/>
          <w:sz w:val="20"/>
        </w:rPr>
        <w:t>, a Maryland corporation (together with its successors and permitted assigns, “</w:t>
      </w:r>
      <w:r>
        <w:rPr>
          <w:rFonts w:ascii="Times New Roman;Times;Serif" w:hAnsi="Times New Roman;Times;Serif"/>
          <w:b/>
          <w:i w:val="false"/>
          <w:caps w:val="false"/>
          <w:smallCaps w:val="false"/>
          <w:sz w:val="20"/>
        </w:rPr>
        <w:t>Lender</w:t>
      </w:r>
      <w:r>
        <w:rPr>
          <w:rFonts w:ascii="Times New Roman;Times;Serif" w:hAnsi="Times New Roman;Times;Serif"/>
          <w:b w:val="false"/>
          <w:i w:val="false"/>
          <w:caps w:val="false"/>
          <w:smallCaps w:val="false"/>
          <w:sz w:val="20"/>
        </w:rPr>
        <w:t xml:space="preserve">”), and is made with reference to that certain </w:t>
      </w:r>
      <w:r>
        <w:rPr>
          <w:rFonts w:ascii="Times New Roman;Times;Serif" w:hAnsi="Times New Roman;Times;Serif"/>
          <w:b/>
          <w:i w:val="false"/>
          <w:caps w:val="false"/>
          <w:smallCaps w:val="false"/>
          <w:sz w:val="20"/>
        </w:rPr>
        <w:t>AMENDED AND RESTATED CREDIT AGREEMENT,</w:t>
      </w:r>
      <w:r>
        <w:rPr>
          <w:rFonts w:ascii="Times New Roman;Times;Serif" w:hAnsi="Times New Roman;Times;Serif"/>
          <w:b w:val="false"/>
          <w:i w:val="false"/>
          <w:caps w:val="false"/>
          <w:smallCaps w:val="false"/>
          <w:sz w:val="20"/>
        </w:rPr>
        <w:t xml:space="preserve"> dated as of March 31, 2023 (as amended, restated, amended and restated, supplemented or otherwise modified from time to time prior to the date hereof, the “</w:t>
      </w:r>
      <w:r>
        <w:rPr>
          <w:rFonts w:ascii="Times New Roman;Times;Serif" w:hAnsi="Times New Roman;Times;Serif"/>
          <w:b/>
          <w:i w:val="false"/>
          <w:caps w:val="false"/>
          <w:smallCaps w:val="false"/>
          <w:sz w:val="20"/>
        </w:rPr>
        <w:t>Credit Agreement</w:t>
      </w:r>
      <w:r>
        <w:rPr>
          <w:rFonts w:ascii="Times New Roman;Times;Serif" w:hAnsi="Times New Roman;Times;Serif"/>
          <w:b w:val="false"/>
          <w:i w:val="false"/>
          <w:caps w:val="false"/>
          <w:smallCaps w:val="false"/>
          <w:sz w:val="20"/>
        </w:rPr>
        <w:t>”, and as amended by this Amendment, the “</w:t>
      </w:r>
      <w:r>
        <w:rPr>
          <w:rFonts w:ascii="Times New Roman;Times;Serif" w:hAnsi="Times New Roman;Times;Serif"/>
          <w:b/>
          <w:i w:val="false"/>
          <w:caps w:val="false"/>
          <w:smallCaps w:val="false"/>
          <w:sz w:val="20"/>
        </w:rPr>
        <w:t>Amended Credit Agreement</w:t>
      </w:r>
      <w:r>
        <w:rPr>
          <w:rFonts w:ascii="Times New Roman;Times;Serif" w:hAnsi="Times New Roman;Times;Serif"/>
          <w:b w:val="false"/>
          <w:i w:val="false"/>
          <w:caps w:val="false"/>
          <w:smallCaps w:val="false"/>
          <w:sz w:val="20"/>
        </w:rPr>
        <w:t>”), by and among the Borrower and the Lender. Capitalized terms used herein without definition shall have the same meanings herein as set forth in the Credit Agreement after giving effect to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Borrower has requested the Lender’s consent to make one or more voluntary prepayments of the Margin Loan Facility from and after the Third Amendment Effective Date of up to $50.0 million in the aggregate plus the amount of restricted cash held by the lender under the Margin Loan Facility from time to time (the “</w:t>
      </w:r>
      <w:r>
        <w:rPr>
          <w:rFonts w:ascii="Times New Roman;Times;Serif" w:hAnsi="Times New Roman;Times;Serif"/>
          <w:b/>
          <w:i w:val="false"/>
          <w:caps w:val="false"/>
          <w:smallCaps w:val="false"/>
          <w:sz w:val="20"/>
        </w:rPr>
        <w:t>Third Amendment Consent Request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Borrower has requested, pursuant to Section 9.02(b) of the Credit Agreement, that certain provisions of the Credit Agreement be amended as set forth in this Amendment;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Borrower and the Lender desire to amend the Credit Agreement on the terms as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premises and the agreements, provisions and covenants herein contained, the parties hereto agree as follows effective as of the Third Amendment Effective Date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I. </w:t>
      </w:r>
      <w:r>
        <w:rPr>
          <w:rFonts w:ascii="Times New Roman;Times;Serif" w:hAnsi="Times New Roman;Times;Serif"/>
          <w:b/>
          <w:i w:val="false"/>
          <w:caps/>
          <w:sz w:val="20"/>
        </w:rPr>
        <w:t>Consent;</w:t>
      </w:r>
      <w:r>
        <w:rPr>
          <w:rFonts w:ascii="Times New Roman;Times;Serif" w:hAnsi="Times New Roman;Times;Serif"/>
          <w:b/>
          <w:i w:val="false"/>
          <w:caps w:val="false"/>
          <w:smallCaps w:val="false"/>
          <w:sz w:val="20"/>
        </w:rPr>
        <w:t xml:space="preserve">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Subject to the satisfaction of the conditions set forth in Section II below, the Lender hereby irrevocably agrees to the terms of the Third Amendment Consent Request. Such agreement and authorization by the Lender shall be irrevocably binding on any of the Lender’s subsequent transferees, participants, successors and assigns with respect to the Lender’s Loans or unused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parties hereto further agree that the Credit Agreement shall hereby be amended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following definitions appearing in Section 1.01 of the Credit Agreement is hereby added or amended and restated in its entirety to read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Applicable Rate</w:t>
      </w:r>
      <w:r>
        <w:rPr>
          <w:rFonts w:ascii="Times New Roman;Times;Serif" w:hAnsi="Times New Roman;Times;Serif"/>
          <w:b w:val="false"/>
          <w:i w:val="false"/>
          <w:caps w:val="false"/>
          <w:smallCaps w:val="false"/>
          <w:sz w:val="20"/>
        </w:rPr>
        <w:t>" means (a) 8.00% per annum at any time other than during the Extension Period, (b) 9.00% per annum at any time during the Extension Period, or (c) to the extent any Loan remains outstanding under an Incremental Facility at such time, 10.00% per annum.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Extension Option</w:t>
      </w:r>
      <w:r>
        <w:rPr>
          <w:rFonts w:ascii="Times New Roman;Times;Serif" w:hAnsi="Times New Roman;Times;Serif"/>
          <w:b w:val="false"/>
          <w:i w:val="false"/>
          <w:caps w:val="false"/>
          <w:smallCaps w:val="false"/>
          <w:sz w:val="20"/>
        </w:rPr>
        <w:t>” has the meaning specified in Section 2.15.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Extension Period</w:t>
      </w:r>
      <w:r>
        <w:rPr>
          <w:rFonts w:ascii="Times New Roman;Times;Serif" w:hAnsi="Times New Roman;Times;Serif"/>
          <w:b w:val="false"/>
          <w:i w:val="false"/>
          <w:caps w:val="false"/>
          <w:smallCaps w:val="false"/>
          <w:sz w:val="20"/>
        </w:rPr>
        <w:t>" means the period from and including April 1, 2029 to and including September 30,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means March 31, 2029; provided, however, that if the Extension Option is exercised by the Borrower, “Maturity Date” shall mean September 30, 2029 (except that, in each case if such date is not a Business Day, the Maturity Date shall be the next preceding Business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Notice to Extend</w:t>
      </w:r>
      <w:r>
        <w:rPr>
          <w:rFonts w:ascii="Times New Roman;Times;Serif" w:hAnsi="Times New Roman;Times;Serif"/>
          <w:b w:val="false"/>
          <w:i w:val="false"/>
          <w:caps w:val="false"/>
          <w:smallCaps w:val="false"/>
          <w:sz w:val="20"/>
        </w:rPr>
        <w:t>" has the meaning specified in Section 2.15.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Section 2.06(a) of the Credit Agreement is hereby amended and restated in its entirety to read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Optional Prepayments</w:t>
      </w:r>
      <w:r>
        <w:rPr>
          <w:rFonts w:ascii="Times New Roman;Times;Serif" w:hAnsi="Times New Roman;Times;Serif"/>
          <w:b w:val="false"/>
          <w:i w:val="false"/>
          <w:caps w:val="false"/>
          <w:smallCaps w:val="false"/>
          <w:sz w:val="20"/>
        </w:rPr>
        <w:t>. The Borrower may, upon notice to the Lender, at any time and from time to time prepay the Loans in whole or in part without premium or penalty, subject to the requirements of this Section; provided, however, that each prepayment may not be in an amount less than the lesser of (i) $20.0 million or (ii) the then Outstanding Amount of the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new Section 2.15 is hereby added to the Credit Agreement to read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2.15</w:t>
        <w:tab/>
        <w:t>     </w:t>
      </w:r>
      <w:r>
        <w:rPr>
          <w:rFonts w:ascii="Times New Roman;Times;Serif" w:hAnsi="Times New Roman;Times;Serif"/>
          <w:b w:val="false"/>
          <w:i w:val="false"/>
          <w:caps w:val="false"/>
          <w:smallCaps w:val="false"/>
          <w:sz w:val="20"/>
          <w:u w:val="single"/>
        </w:rPr>
        <w:t>Extension of Maturity Date</w:t>
      </w:r>
      <w:r>
        <w:rPr>
          <w:rFonts w:ascii="Times New Roman;Times;Serif" w:hAnsi="Times New Roman;Times;Serif"/>
          <w:b w:val="false"/>
          <w:i w:val="false"/>
          <w:caps w:val="false"/>
          <w:smallCaps w:val="false"/>
          <w:sz w:val="20"/>
        </w:rPr>
        <w:t>. The Borrower shall have the option (the "</w:t>
      </w:r>
      <w:r>
        <w:rPr>
          <w:rFonts w:ascii="Times New Roman;Times;Serif" w:hAnsi="Times New Roman;Times;Serif"/>
          <w:b/>
          <w:i w:val="false"/>
          <w:caps w:val="false"/>
          <w:smallCaps w:val="false"/>
          <w:sz w:val="20"/>
        </w:rPr>
        <w:t>Extension Option</w:t>
      </w:r>
      <w:r>
        <w:rPr>
          <w:rFonts w:ascii="Times New Roman;Times;Serif" w:hAnsi="Times New Roman;Times;Serif"/>
          <w:b w:val="false"/>
          <w:i w:val="false"/>
          <w:caps w:val="false"/>
          <w:smallCaps w:val="false"/>
          <w:sz w:val="20"/>
        </w:rPr>
        <w:t>") to extend the Maturity Date. Subject to the conditions set forth below, the Borrower may exercise the Extension Option by delivering a written notice to the Lender not more than (90) days and not less than thirty (30) days prior to March 31, 2029 (a "</w:t>
      </w:r>
      <w:r>
        <w:rPr>
          <w:rFonts w:ascii="Times New Roman;Times;Serif" w:hAnsi="Times New Roman;Times;Serif"/>
          <w:b/>
          <w:i w:val="false"/>
          <w:caps w:val="false"/>
          <w:smallCaps w:val="false"/>
          <w:sz w:val="20"/>
        </w:rPr>
        <w:t>Notice to Extend</w:t>
      </w:r>
      <w:r>
        <w:rPr>
          <w:rFonts w:ascii="Times New Roman;Times;Serif" w:hAnsi="Times New Roman;Times;Serif"/>
          <w:b w:val="false"/>
          <w:i w:val="false"/>
          <w:caps w:val="false"/>
          <w:smallCaps w:val="false"/>
          <w:sz w:val="20"/>
        </w:rPr>
        <w:t>"), stating that the Borrower has elected to extend the Maturity Date to September 30, 2029. The Borrower's right to exercise the Extension Option shall be subject to the following terms and conditions: (i) there shall exist no Default or Event of Default on both (x) the date the Borrower delivers the Notice to Extend to the Lender and (y) on March 31, 2029, (ii) the Borrower shall have paid to Lender not less than five days before March 31, 2029 an extension fee equal to 0.5% of the then Outstanding Amount of the Loans, and (iii) without limiting the conditions set forth in the foregoing clause (i), the Borrower shall have delivered to the Lender a duly completed certificate signed by a Responsible Officer, dated as of the date of the Notice to Extend, certifying that no Default or Event of Default exists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Section 6.11(a) of the Credit Agreement is hereby amended by adding the following subclause (z) to the end of the Section to read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(z) the Third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Section 6.01(b) of the Credit Agreement is hereby amended and restated in its entirety to read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Indebtedness outstanding on the date hereof and listed on Schedule 6.01 and any refinancings, refundings, renewals or extensions thereof; provided, however, that (i) after the Third Amendment Effective Date, Borrower shall not, and shall not permit any Subsidiary to, request or receive any additional Advances under the Margin Loan Facility (including Delayed Draw Advances), as such terms are defined under the Margin Loan Facility; and (ii) the amount of such Indebtedness is not increased at the time of such refinancing, refunding, renewal or extension except by an amount equal to a reasonable premium or other reasonable amount paid, and fees and expenses reasonably incurred, in connection with such refinancing in connection with such refinancing; provided further that, for the avoidance of doubt, the capitalization of accrued interest as principal under the Margin Loan Facility pursuant to any payment-in-kind election permitted by the terms of the Margin Loan Facility as in effect on the Third Amendment Effective Date shall not constitute an Advance or an increase in Indebtedness prohibited by this Section 6.01(b).</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- 2 -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Section 6.05(c) of the Credit Agreement is hereby amended and restated to read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may purchase, redeem or otherwise acquire Equity Interests issued by it for aggregate payments in cash not to exceed $10,000,000 beginning after the date on which the Margin Loan Borrower has paid down the amounts outstanding on the Margin Loan Facility by at least $40.0 million (in addition to, and exclusive of, any restricted cash held by the lender under the Margin Loan Facility applied to such paydown) pursuant to the Third Amendment Consent Request; provided that, following such prepayment, such amounts may not be re-borrowed.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II. CONDITIONS TO EFFECTIVENESS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this Amendment is subject to the satisfaction or waiver by the Lender of the following conditions (the date upon which all of such conditions are satisfied or waived, the “</w:t>
      </w:r>
      <w:r>
        <w:rPr>
          <w:rFonts w:ascii="Times New Roman;Times;Serif" w:hAnsi="Times New Roman;Times;Serif"/>
          <w:b/>
          <w:i w:val="false"/>
          <w:caps w:val="false"/>
          <w:smallCaps w:val="false"/>
          <w:sz w:val="20"/>
        </w:rPr>
        <w:t>Third Amendment Effective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Lender (or its counsel) shall have received a counterpart signature page to this Amendment, duly executed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Lender shall have received payment in full of a maturity extension fee of $2.4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representations and warranties of the Borrower contained in Section III below and ‎Article III of the Credit Agreement or any other Loan Document shall be true and correct in all material respects (and in all respects if any such representation or warranty is already qualified by materiality) on and as of the Third Amendment Effective Date,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Default or Event of Default shall exist, or would result from the consummation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in his capacity as a Responsible Officer of the Borrower and not in any individual capacity, hereby certifies that, as of the date first written above, the conditions set forth in the foregoing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III. 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its execution of this Amendment, the Borrower hereby represents and warrants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execution, delivery and performance by the Borrower of this Amendment has been duly authorized by all necessary corporate or other organizational action, and do not and will not (a) contravene the terms of its Organizational Documents, (b) conflict with or result in any breach or contravention of, or the creation of any Lien under, or require any payment to be made under (i) any material Contractual Obligation to which the Borrower is a party or affecting the Borrower or the properties of the Borrower or any Subsidiary or (ii) any material order, injunction, writ or decree of any Governmental Authority or any arbitral award to which the Borrower or any Subsidiary or its property is subject or (c) violate any Law in any material respect; and</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- 3 -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Amendment has been duly executed and delivered by the Borrower and constitutes a legal, valid and binding obligation of the Borrower, enforceable against the Borrower in accordance with its terms, except as such enforceability may be limited by bankruptcy, insolvency, reorganization, receivership, moratorium or other Laws affecting creditors’ rights generally and by general principles of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IV.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i w:val="false"/>
          <w:caps w:val="false"/>
          <w:smallCaps w:val="false"/>
          <w:sz w:val="20"/>
          <w:u w:val="single"/>
        </w:rPr>
        <w:t>Reference to and Effect on the Credit Agreement and the Other Loan Documents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and after the Third Amendment Effective Date, each reference in the Credit Agreement to “this Agreement”, “hereunder”, “hereof”, “herein” or words of like import referring to the Credit Agreement, and each reference in the other Loan Documents to the “Credit Agreement”, “thereunder”, “thereof” or words of like import referring to the Credit Agreement, shall mean and be a reference to the Credit Agreement as modified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Except for the consent, waiver, amendments and modifications expressly set forth herein, the Credit Agreement and the other Loan Documents shall remain unchanged and in full force and effect and are hereby ratified and confirmed and this Amendment shall not be considered a novation. The consent, waiver, amendments and modifications set forth herein are limited to the specifics hereof (including facts or occurrences on which the same are based), shall not apply with respect to any facts or occurrences other than those on which the same are based, shall neither excuse any future non-compliance with the Loan Documents nor operate as a waiver of any Default or Event of Default, shall not operate as a consent to any further waiver, consent or amendment or other matter under the Loan Documents, and shall not be construed as an indication that any future waiver or amendment of covenants or any other provision of the Credit Agreement will be agreed to, it being understood that the granting or denying of any waiver or amendment which may hereafter be requested by the Borrower remains subject to the terms of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execution, delivery and performance of this Amendment shall not, except as expressly provided herein, constitute a waiver of any provision of, or operate as a waiver of any right, power or remedy of the Lender under, the Credit Agreement or any of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Borrower hereby (a) affirms and confirms its guarantees, pledges, grants and other undertakings under the Credit Agreement and the other Loan Documents to which it is a party, and (b) agrees that (i) each Loan Document to which it is a party shall continue to be in full force and effect and (ii) all guarantees, pledges, grants and other undertakings thereunder shall continue to be in full force and effect and shall accrue to the benefit of the Lender.</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- 4 -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This Amendment shall be deemed to be a Loan Document as defined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i w:val="false"/>
          <w:caps w:val="false"/>
          <w:smallCaps w:val="false"/>
          <w:sz w:val="20"/>
          <w:u w:val="single"/>
        </w:rPr>
        <w:t>Headings</w:t>
      </w:r>
      <w:r>
        <w:rPr>
          <w:rFonts w:ascii="Times New Roman;Times;Serif" w:hAnsi="Times New Roman;Times;Serif"/>
          <w:b w:val="false"/>
          <w:i w:val="false"/>
          <w:caps w:val="false"/>
          <w:smallCaps w:val="false"/>
          <w:sz w:val="20"/>
        </w:rPr>
        <w:t>. Section and subsection headings in this Amendment are included herein for convenience of reference only and shall not constitute a part of this Amendment for any other purpose or be given any substantive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i w:val="false"/>
          <w:caps w:val="false"/>
          <w:smallCaps w:val="false"/>
          <w:sz w:val="20"/>
          <w:u w:val="single"/>
        </w:rPr>
        <w:t>Applicable Law</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THIS AMENDMENT SHALL BE CONSTRUED IN ACCORDANCE WITH AND GOVERNED BY THE LAW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i w:val="false"/>
          <w:caps w:val="false"/>
          <w:smallCaps w:val="false"/>
          <w:sz w:val="20"/>
          <w:u w:val="single"/>
        </w:rPr>
        <w:t>Jurisdiction; Waiver of Jury Trial</w:t>
      </w:r>
      <w:r>
        <w:rPr>
          <w:rFonts w:ascii="Times New Roman;Times;Serif" w:hAnsi="Times New Roman;Times;Serif"/>
          <w:b w:val="false"/>
          <w:i w:val="false"/>
          <w:caps w:val="false"/>
          <w:smallCaps w:val="false"/>
          <w:sz w:val="20"/>
        </w:rPr>
        <w:t xml:space="preserve">. The provisions of Sections 9.09 and 9.10 of the Credit Agreement pertaining to consent to jurisdiction, service of process and waiver of jury trial are hereby incorporated by reference herein,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i w:val="false"/>
          <w:caps w:val="false"/>
          <w:smallCaps w:val="false"/>
          <w:sz w:val="20"/>
          <w:u w:val="single"/>
        </w:rPr>
        <w:t>Indemnification.</w:t>
      </w:r>
      <w:r>
        <w:rPr>
          <w:rFonts w:ascii="Times New Roman;Times;Serif" w:hAnsi="Times New Roman;Times;Serif"/>
          <w:b w:val="false"/>
          <w:i w:val="false"/>
          <w:caps w:val="false"/>
          <w:smallCaps w:val="false"/>
          <w:sz w:val="20"/>
        </w:rPr>
        <w:t xml:space="preserve"> The Borrower hereby confirms that the indemnification provisions set forth in Section 9.03(b) of the Credit Agreement shall apply to this Amendment and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i w:val="false"/>
          <w:caps w:val="false"/>
          <w:smallCaps w:val="false"/>
          <w:sz w:val="20"/>
          <w:u w:val="single"/>
        </w:rPr>
        <w:t>Counterparts</w:t>
      </w:r>
      <w:r>
        <w:rPr>
          <w:rFonts w:ascii="Times New Roman;Times;Serif" w:hAnsi="Times New Roman;Times;Serif"/>
          <w:b w:val="false"/>
          <w:i w:val="false"/>
          <w:caps w:val="false"/>
          <w:smallCaps w:val="false"/>
          <w:sz w:val="20"/>
        </w:rPr>
        <w:t>. This Amendment may be executed in any number of counterparts and by different parties hereto in separate counterparts, each of which when so executed and delivered shall be deemed an original, but all such counterparts together shall constitute one and the same instrument; signature pages may be detached from multiple separate counterparts and attached to a single counterpart so that all signature pages are deemed attached to the same document. Delivery of an executed counterpart of a signature page of this Amendment by facsimile or in electronic format (e.g. “pdf” or “tif” file format) shall be effective as delivery of a manually executed counterpart of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i w:val="false"/>
          <w:caps w:val="false"/>
          <w:smallCaps w:val="false"/>
          <w:sz w:val="20"/>
          <w:u w:val="single"/>
        </w:rPr>
        <w:t>Entire Agreement</w:t>
      </w:r>
      <w:r>
        <w:rPr>
          <w:rFonts w:ascii="Times New Roman;Times;Serif" w:hAnsi="Times New Roman;Times;Serif"/>
          <w:b w:val="false"/>
          <w:i w:val="false"/>
          <w:caps w:val="false"/>
          <w:smallCaps w:val="false"/>
          <w:sz w:val="20"/>
        </w:rPr>
        <w:t>. This Amendment, the Amended Credit Agreement and the other Loan Documents constitute the entire agreement among the parties with respect to the subject matter hereof and thereof and supersede all other prior agreements and understandings, both written and verbal, among the parties or any of them with respect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Any term or provision of this Amendment which is invalid or unenforceable in any jurisdiction shall, as to that jurisdiction, be ineffective to the extent of such invalidity or unenforceability without rendering invalid or unenforceable the remaining terms and provisions of this Amendment or affecting the validity or enforceability of any of the terms or provisions of this Amendment in any other jurisdiction. If any provision of this Amendment is so broad as to be unenforceable, such provision shall be interpreted to be only so broad as would be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- 5 -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Amendment to be duly executed and delivered by their respective officers thereunto duly authorized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2479" w:type="dxa"/>
        <w:jc w:val="left"/>
        <w:tblInd w:w="0" w:type="dxa"/>
        <w:tblLayout w:type="fixed"/>
        <w:tblCellMar>
          <w:top w:w="0" w:type="dxa"/>
          <w:left w:w="0" w:type="dxa"/>
          <w:bottom w:w="0" w:type="dxa"/>
          <w:right w:w="0" w:type="dxa"/>
        </w:tblCellMar>
      </w:tblPr>
      <w:tblGrid>
        <w:gridCol w:w="75"/>
        <w:gridCol w:w="327"/>
        <w:gridCol w:w="2077"/>
      </w:tblGrid>
      <w:tr>
        <w:trPr/>
        <w:tc>
          <w:tcPr>
            <w:tcW w:w="75" w:type="dxa"/>
            <w:tcBorders/>
            <w:vAlign w:val="center"/>
          </w:tcPr>
          <w:p>
            <w:pPr>
              <w:pStyle w:val="TableContents"/>
              <w:bidi w:val="0"/>
              <w:spacing w:before="0" w:after="283"/>
              <w:jc w:val="left"/>
              <w:rPr/>
            </w:pPr>
            <w:r>
              <w:rPr/>
              <w:t> </w:t>
            </w:r>
          </w:p>
        </w:tc>
        <w:tc>
          <w:tcPr>
            <w:tcW w:w="24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 HOLDINGS</w:t>
            </w:r>
          </w:p>
        </w:tc>
      </w:tr>
      <w:tr>
        <w:trPr/>
        <w:tc>
          <w:tcPr>
            <w:tcW w:w="75" w:type="dxa"/>
            <w:tcBorders/>
            <w:vAlign w:val="center"/>
          </w:tcPr>
          <w:p>
            <w:pPr>
              <w:pStyle w:val="TableContents"/>
              <w:bidi w:val="0"/>
              <w:spacing w:before="0" w:after="283"/>
              <w:jc w:val="left"/>
              <w:rPr/>
            </w:pPr>
            <w:r>
              <w:rPr/>
              <w:t> </w:t>
            </w:r>
          </w:p>
        </w:tc>
        <w:tc>
          <w:tcPr>
            <w:tcW w:w="24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Borrower</w:t>
            </w:r>
          </w:p>
        </w:tc>
      </w:tr>
      <w:tr>
        <w:trPr/>
        <w:tc>
          <w:tcPr>
            <w:tcW w:w="75" w:type="dxa"/>
            <w:tcBorders/>
            <w:vAlign w:val="center"/>
          </w:tcPr>
          <w:p>
            <w:pPr>
              <w:pStyle w:val="TableContents"/>
              <w:bidi w:val="0"/>
              <w:spacing w:before="0" w:after="283"/>
              <w:jc w:val="left"/>
              <w:rPr/>
            </w:pPr>
            <w:r>
              <w:rPr/>
              <w:t> </w:t>
            </w:r>
          </w:p>
        </w:tc>
        <w:tc>
          <w:tcPr>
            <w:tcW w:w="24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7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/s/Brett Asnas</w:t>
            </w:r>
          </w:p>
        </w:tc>
      </w:tr>
      <w:tr>
        <w:trPr/>
        <w:tc>
          <w:tcPr>
            <w:tcW w:w="75" w:type="dxa"/>
            <w:tcBorders/>
            <w:vAlign w:val="center"/>
          </w:tcPr>
          <w:p>
            <w:pPr>
              <w:pStyle w:val="TableContents"/>
              <w:bidi w:val="0"/>
              <w:spacing w:before="0" w:after="283"/>
              <w:jc w:val="left"/>
              <w:rPr/>
            </w:pPr>
            <w:r>
              <w:rPr/>
              <w:t> </w:t>
            </w:r>
          </w:p>
        </w:tc>
        <w:tc>
          <w:tcPr>
            <w:tcW w:w="24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Brett Asnas</w:t>
            </w:r>
          </w:p>
        </w:tc>
      </w:tr>
      <w:tr>
        <w:trPr/>
        <w:tc>
          <w:tcPr>
            <w:tcW w:w="75" w:type="dxa"/>
            <w:tcBorders/>
            <w:vAlign w:val="center"/>
          </w:tcPr>
          <w:p>
            <w:pPr>
              <w:pStyle w:val="TableContents"/>
              <w:bidi w:val="0"/>
              <w:spacing w:before="0" w:after="283"/>
              <w:jc w:val="left"/>
              <w:rPr/>
            </w:pPr>
            <w:r>
              <w:rPr/>
              <w:t> </w:t>
            </w:r>
          </w:p>
        </w:tc>
        <w:tc>
          <w:tcPr>
            <w:tcW w:w="24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w:t>
            </w:r>
          </w:p>
        </w:tc>
      </w:tr>
      <w:tr>
        <w:trPr/>
        <w:tc>
          <w:tcPr>
            <w:tcW w:w="75" w:type="dxa"/>
            <w:tcBorders/>
            <w:vAlign w:val="center"/>
          </w:tcPr>
          <w:p>
            <w:pPr>
              <w:pStyle w:val="TableContents"/>
              <w:bidi w:val="0"/>
              <w:spacing w:before="0" w:after="283"/>
              <w:jc w:val="left"/>
              <w:rPr/>
            </w:pPr>
            <w:r>
              <w:rPr/>
              <w:t> </w:t>
            </w:r>
          </w:p>
        </w:tc>
        <w:tc>
          <w:tcPr>
            <w:tcW w:w="24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4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SAFEHOLD INC.,</w:t>
            </w:r>
          </w:p>
        </w:tc>
      </w:tr>
      <w:tr>
        <w:trPr/>
        <w:tc>
          <w:tcPr>
            <w:tcW w:w="75" w:type="dxa"/>
            <w:tcBorders/>
            <w:vAlign w:val="center"/>
          </w:tcPr>
          <w:p>
            <w:pPr>
              <w:pStyle w:val="TableContents"/>
              <w:bidi w:val="0"/>
              <w:spacing w:before="0" w:after="283"/>
              <w:jc w:val="left"/>
              <w:rPr/>
            </w:pPr>
            <w:r>
              <w:rPr/>
              <w:t> </w:t>
            </w:r>
          </w:p>
        </w:tc>
        <w:tc>
          <w:tcPr>
            <w:tcW w:w="24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Lender</w:t>
            </w:r>
          </w:p>
        </w:tc>
      </w:tr>
      <w:tr>
        <w:trPr/>
        <w:tc>
          <w:tcPr>
            <w:tcW w:w="75" w:type="dxa"/>
            <w:tcBorders/>
            <w:vAlign w:val="center"/>
          </w:tcPr>
          <w:p>
            <w:pPr>
              <w:pStyle w:val="TableContents"/>
              <w:bidi w:val="0"/>
              <w:spacing w:before="0" w:after="283"/>
              <w:jc w:val="left"/>
              <w:rPr/>
            </w:pPr>
            <w:r>
              <w:rPr/>
              <w:t> </w:t>
            </w:r>
          </w:p>
        </w:tc>
        <w:tc>
          <w:tcPr>
            <w:tcW w:w="24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7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/s/Michael Trachtenberg</w:t>
            </w:r>
          </w:p>
        </w:tc>
      </w:tr>
      <w:tr>
        <w:trPr/>
        <w:tc>
          <w:tcPr>
            <w:tcW w:w="75" w:type="dxa"/>
            <w:tcBorders/>
            <w:vAlign w:val="center"/>
          </w:tcPr>
          <w:p>
            <w:pPr>
              <w:pStyle w:val="TableContents"/>
              <w:bidi w:val="0"/>
              <w:spacing w:before="0" w:after="283"/>
              <w:jc w:val="left"/>
              <w:rPr/>
            </w:pPr>
            <w:r>
              <w:rPr/>
              <w:t> </w:t>
            </w:r>
          </w:p>
        </w:tc>
        <w:tc>
          <w:tcPr>
            <w:tcW w:w="24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Michael Trachtenberg</w:t>
            </w:r>
          </w:p>
        </w:tc>
      </w:tr>
      <w:tr>
        <w:trPr/>
        <w:tc>
          <w:tcPr>
            <w:tcW w:w="75" w:type="dxa"/>
            <w:tcBorders/>
            <w:vAlign w:val="center"/>
          </w:tcPr>
          <w:p>
            <w:pPr>
              <w:pStyle w:val="TableContents"/>
              <w:bidi w:val="0"/>
              <w:spacing w:before="0" w:after="283"/>
              <w:jc w:val="left"/>
              <w:rPr/>
            </w:pPr>
            <w:r>
              <w:rPr/>
              <w:t> </w:t>
            </w:r>
          </w:p>
        </w:tc>
        <w:tc>
          <w:tcPr>
            <w:tcW w:w="24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First Incremental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r>
        <w:rPr/>
        <w:t> </w:t>
      </w:r>
    </w:p>
    <w:p>
      <w:pPr>
        <w:pStyle w:val="TextBody"/>
        <w:bidi w:val="0"/>
        <w:jc w:val="left"/>
        <w:rPr/>
      </w:pPr>
      <w:bookmarkStart w:id="25" w:name="tm2626635d1_ex10-2.htm"/>
      <w:bookmarkStart w:id="26" w:name="kstm2626635d1_ex102"/>
      <w:bookmarkEnd w:id="25"/>
      <w:bookmarkEnd w:id="26"/>
      <w:r>
        <w:rPr/>
        <w:t> </w:t>
      </w:r>
      <w:r>
        <w:br w:type="page"/>
      </w:r>
    </w:p>
    <w:p>
      <w:pPr>
        <w:pStyle w:val="TextBody"/>
        <w:bidi w:val="0"/>
        <w:jc w:val="right"/>
        <w:rPr>
          <w:b/>
        </w:rPr>
      </w:pPr>
      <w:r>
        <w:rPr>
          <w:b/>
        </w:rPr>
        <w:t>Exhibit 10.2</w:t>
      </w:r>
    </w:p>
    <w:p>
      <w:pPr>
        <w:pStyle w:val="TextBody"/>
        <w:bidi w:val="0"/>
        <w:spacing w:before="0" w:after="283"/>
        <w:jc w:val="left"/>
        <w:rPr/>
      </w:pPr>
      <w:r>
        <w:rPr/>
        <w:t> </w:t>
      </w:r>
    </w:p>
    <w:p>
      <w:pPr>
        <w:pStyle w:val="TextBody"/>
        <w:bidi w:val="0"/>
        <w:jc w:val="right"/>
        <w:rPr>
          <w:b/>
        </w:rPr>
      </w:pPr>
      <w:r>
        <w:rPr>
          <w:b/>
        </w:rPr>
        <w:t>Execution Version</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AMENDMENT TO MANAGEMENT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SECOND AMENDMENT (this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to MANAGEMENT AGREEMENT is entered into as of September 29, 2026 by and among STAR HOLDINGS, a Maryland statutory trust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SAFEHOLD MANAGEMENT SERVICES INC., a Delaware corporation (with its permitted assigns, the "</w:t>
      </w:r>
      <w:r>
        <w:rPr>
          <w:rFonts w:ascii="Times New Roman;Times;Serif" w:hAnsi="Times New Roman;Times;Serif"/>
          <w:b w:val="false"/>
          <w:i w:val="false"/>
          <w:caps w:val="false"/>
          <w:smallCaps w:val="false"/>
          <w:sz w:val="20"/>
          <w:u w:val="single"/>
        </w:rPr>
        <w:t>Manager</w:t>
      </w:r>
      <w:r>
        <w:rPr>
          <w:rFonts w:ascii="Times New Roman;Times;Serif" w:hAnsi="Times New Roman;Times;Serif"/>
          <w:b w:val="false"/>
          <w:i w:val="false"/>
          <w:caps w:val="false"/>
          <w:smallCaps w:val="false"/>
          <w:sz w:val="20"/>
        </w:rPr>
        <w:t>"). Capitalized terms used but not otherwise defined herein have the meanings set forth in the Existing Management Agreement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Manager have previously entered into the Management Agreement, dated as of March 31, 2023, as amended by the First Amendment to Management Agreement, dated as of March 28, 2025 (the "</w:t>
      </w:r>
      <w:r>
        <w:rPr>
          <w:rFonts w:ascii="Times New Roman;Times;Serif" w:hAnsi="Times New Roman;Times;Serif"/>
          <w:b w:val="false"/>
          <w:i w:val="false"/>
          <w:caps w:val="false"/>
          <w:smallCaps w:val="false"/>
          <w:sz w:val="20"/>
          <w:u w:val="single"/>
        </w:rPr>
        <w:t>Existing Management Agreement</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Manager have agreed to amend certain terms of the Existing Management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mutual covenants herein contained, and other good and valuable consideration, the receipt and sufficiency of which are hereby acknowledged, the parties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definition of "Management Fee" in </w:t>
      </w:r>
      <w:r>
        <w:rPr>
          <w:rFonts w:ascii="Times New Roman;Times;Serif" w:hAnsi="Times New Roman;Times;Serif"/>
          <w:b w:val="false"/>
          <w:i w:val="false"/>
          <w:caps w:val="false"/>
          <w:smallCaps w:val="false"/>
          <w:sz w:val="20"/>
          <w:u w:val="single"/>
        </w:rPr>
        <w:t>Section 1(y)</w:t>
      </w:r>
      <w:r>
        <w:rPr>
          <w:rFonts w:ascii="Times New Roman;Times;Serif" w:hAnsi="Times New Roman;Times;Serif"/>
          <w:b w:val="false"/>
          <w:i w:val="false"/>
          <w:caps w:val="false"/>
          <w:smallCaps w:val="false"/>
          <w:sz w:val="20"/>
        </w:rPr>
        <w:t> of the Existing Management Agreement is hereby amended by replacing the row for the period "Thereafter" with new rows for a Fourth Annual Renewal Term, a Fifth Annual Renewal Term and Thereafter, as set forth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1291"/>
        <w:gridCol w:w="8914"/>
      </w:tblGrid>
      <w:tr>
        <w:trPr/>
        <w:tc>
          <w:tcPr>
            <w:tcW w:w="12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Annual Term</w:t>
            </w:r>
          </w:p>
        </w:tc>
        <w:tc>
          <w:tcPr>
            <w:tcW w:w="891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Annual Fee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Fourth Annual Renewal Term</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2.0% of the gross book value of SpinCo's Assets, excluding shares of common stock or other securities of SAFE, as of the end of each fiscal quarter, as reported in its SEC filings (the </w:t>
            </w:r>
            <w:r>
              <w:rPr>
                <w:rFonts w:ascii="Times New Roman;Times;Serif" w:hAnsi="Times New Roman;Times;Serif"/>
                <w:b/>
                <w:sz w:val="20"/>
              </w:rPr>
              <w:t>"2.0% Base Fee"</w:t>
            </w:r>
            <w:r>
              <w:rPr>
                <w:rFonts w:ascii="Times New Roman;Times;Serif" w:hAnsi="Times New Roman;Times;Serif"/>
                <w:sz w:val="20"/>
              </w:rPr>
              <w:t>), subject to a minimum quarterly fee for each quarter of $1.25 million, prorated for any period in such quarter in which this Agreement is not in effect.</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Fifth Annual Renewal Term</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2.0% Base Fee, subject to a minimum quarterly fee for each quarter of $625,000,  prorated for any period in such quarter in which this Agreement is not in effect. </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Thereafter</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2.0% Base Fee.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definition of "Termination Fee" in </w:t>
      </w:r>
      <w:r>
        <w:rPr>
          <w:rFonts w:ascii="Times New Roman;Times;Serif" w:hAnsi="Times New Roman;Times;Serif"/>
          <w:b w:val="false"/>
          <w:i w:val="false"/>
          <w:caps w:val="false"/>
          <w:smallCaps w:val="false"/>
          <w:sz w:val="20"/>
          <w:u w:val="single"/>
        </w:rPr>
        <w:t>Section 1(mm)</w:t>
      </w:r>
      <w:r>
        <w:rPr>
          <w:rFonts w:ascii="Times New Roman;Times;Serif" w:hAnsi="Times New Roman;Times;Serif"/>
          <w:b w:val="false"/>
          <w:i w:val="false"/>
          <w:caps w:val="false"/>
          <w:smallCaps w:val="false"/>
          <w:sz w:val="20"/>
        </w:rPr>
        <w:t xml:space="preserve"> of the Existing Management Agreement is hereby amended by changing the amount in clause (i)(x) of such definition from $55.0 million to </w:t>
      </w:r>
      <w:r>
        <w:rPr>
          <w:rFonts w:ascii="Times New Roman;Times;Serif" w:hAnsi="Times New Roman;Times;Serif"/>
          <w:b w:val="false"/>
          <w:i w:val="false"/>
          <w:caps w:val="false"/>
          <w:smallCaps w:val="false"/>
          <w:sz w:val="20"/>
          <w:u w:val="single"/>
        </w:rPr>
        <w:t>$62.5 million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Section 14(b) of the Existing Management Agreement is hereby amended by replacing the words "prior to the fourth anniversary of the Spin-Off" with the words "prior to the sixth anniversary of the Spin-Off".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Amendment and the rights and obligations of the parties under this Amendment shall be governed by, and construed and interpreted in accordance with, the laws of the State of New York without regard to conflicts of law principles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Conflict</w:t>
      </w:r>
      <w:r>
        <w:rPr>
          <w:rFonts w:ascii="Times New Roman;Times;Serif" w:hAnsi="Times New Roman;Times;Serif"/>
          <w:b w:val="false"/>
          <w:i w:val="false"/>
          <w:caps w:val="false"/>
          <w:smallCaps w:val="false"/>
          <w:sz w:val="20"/>
        </w:rPr>
        <w:t>. In the event of a conflict between the terms and conditions of this Amendment and the terms and conditions of the Existing Management Agreement, such conflict shall be resolved in favor of the terms and conditions of this Amendment and the Existing Management Agreement shall be construed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Ratification</w:t>
      </w:r>
      <w:r>
        <w:rPr>
          <w:rFonts w:ascii="Times New Roman;Times;Serif" w:hAnsi="Times New Roman;Times;Serif"/>
          <w:b w:val="false"/>
          <w:i w:val="false"/>
          <w:caps w:val="false"/>
          <w:smallCaps w:val="false"/>
          <w:sz w:val="20"/>
        </w:rPr>
        <w:t>. Except as modified hereby, the Existing Management Agreement remain in full force and effect in accordance with its terms and is hereby ratified and confirmed in all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Amendment may be executed in any number of counterparts, each of which shall be deemed an original as against any party whose signature appears thereon, and all of which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Facsimile/PDF Signatures</w:t>
      </w:r>
      <w:r>
        <w:rPr>
          <w:rFonts w:ascii="Times New Roman;Times;Serif" w:hAnsi="Times New Roman;Times;Serif"/>
          <w:b w:val="false"/>
          <w:i w:val="false"/>
          <w:caps w:val="false"/>
          <w:smallCaps w:val="false"/>
          <w:sz w:val="20"/>
        </w:rPr>
        <w:t>. In order to expedite the transaction contemplated herein, telecopied, facsimile, or .pdf (exchanged via e-mail) signatures may be used in place of original signatures on this Amendment. The parties intend to be bound by the signatures on the telecopied, facsimile or pdf document, are aware that the other parties will rely on the telecopied, facsimile or .pdf signatures, and hereby waive any defenses to the enforcement of the terms of this Amendment based on the form of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Binding Effect</w:t>
      </w:r>
      <w:r>
        <w:rPr>
          <w:rFonts w:ascii="Times New Roman;Times;Serif" w:hAnsi="Times New Roman;Times;Serif"/>
          <w:b w:val="false"/>
          <w:i w:val="false"/>
          <w:caps w:val="false"/>
          <w:smallCaps w:val="false"/>
          <w:sz w:val="20"/>
        </w:rPr>
        <w:t>. This Amendment shall be binding upon and inure to the benefit of the parties hereto and their respective heirs, legal representatives, successors and permitted assignees.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br/>
        <w:t>Signature page follows.]</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- 2 -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hereto have duly executed this Second Amendment to Management Agreement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3920" w:type="dxa"/>
        <w:jc w:val="left"/>
        <w:tblInd w:w="0" w:type="dxa"/>
        <w:tblLayout w:type="fixed"/>
        <w:tblCellMar>
          <w:top w:w="0" w:type="dxa"/>
          <w:left w:w="0" w:type="dxa"/>
          <w:bottom w:w="0" w:type="dxa"/>
          <w:right w:w="0" w:type="dxa"/>
        </w:tblCellMar>
      </w:tblPr>
      <w:tblGrid>
        <w:gridCol w:w="75"/>
        <w:gridCol w:w="3845"/>
      </w:tblGrid>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 HOLDINGS</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/s/Brett Asnas</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Brett Asnas</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SAFEHOLD MANAGEMENT SERVICES INC.</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/s/Michael Trachtenberg</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Michael Trachtenberg</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4188</Words>
  <Characters>21948</Characters>
  <CharactersWithSpaces>26349</CharactersWithSpaces>
  <Paragraphs>398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