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71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RIDINGS BARRY W</w:t>
              </w:r>
            </w:hyperlink>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Safehold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SAFE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00" w:type="dxa"/>
            <w:vAlign w:val="bottom"/>
            <w:tcBorders>
              <w:bottom w:val="single" w:sz="8" w:color="0000EE"/>
            </w:tcBorders>
            <w:gridSpan w:val="2"/>
            <w:vMerge w:val="continue"/>
          </w:tcPr>
          <w:p>
            <w:pPr>
              <w:spacing w:after="0"/>
              <w:rPr>
                <w:sz w:val="5"/>
                <w:szCs w:val="5"/>
                <w:color w:val="auto"/>
              </w:rPr>
            </w:pPr>
          </w:p>
        </w:tc>
        <w:tc>
          <w:tcPr>
            <w:tcW w:w="1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2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7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00" w:type="dxa"/>
            <w:vAlign w:val="bottom"/>
            <w:tcBorders>
              <w:bottom w:val="single" w:sz="8" w:color="2C2C2C"/>
            </w:tcBorders>
          </w:tcPr>
          <w:p>
            <w:pPr>
              <w:spacing w:after="0"/>
              <w:rPr>
                <w:sz w:val="16"/>
                <w:szCs w:val="16"/>
                <w:color w:val="auto"/>
              </w:rPr>
            </w:pPr>
          </w:p>
        </w:tc>
        <w:tc>
          <w:tcPr>
            <w:tcW w:w="262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1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740" w:type="dxa"/>
            <w:vAlign w:val="bottom"/>
            <w:tcBorders>
              <w:top w:val="single" w:sz="8" w:color="EEEEEE"/>
            </w:tcBorders>
            <w:vMerge w:val="restart"/>
          </w:tcPr>
          <w:p>
            <w:pPr>
              <w:ind w:left="5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740" w:type="dxa"/>
            <w:vAlign w:val="bottom"/>
            <w:vMerge w:val="continue"/>
          </w:tcPr>
          <w:p>
            <w:pPr>
              <w:spacing w:after="0"/>
              <w:rPr>
                <w:sz w:val="19"/>
                <w:szCs w:val="19"/>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10/15/2025</w:t>
            </w:r>
          </w:p>
        </w:tc>
        <w:tc>
          <w:tcPr>
            <w:tcW w:w="2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1114 AVE OF THE AMERICAS 39TH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10/15/2025</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32</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center"/>
              <w:ind w:left="67"/>
              <w:spacing w:after="0"/>
              <w:rPr>
                <w:sz w:val="20"/>
                <w:szCs w:val="20"/>
                <w:color w:val="auto"/>
              </w:rPr>
            </w:pPr>
            <w:r>
              <w:rPr>
                <w:rFonts w:ascii="Times New Roman" w:cs="Times New Roman" w:eastAsia="Times New Roman" w:hAnsi="Times New Roman"/>
                <w:sz w:val="17"/>
                <w:szCs w:val="17"/>
                <w:color w:val="0000FF"/>
              </w:rPr>
              <w:t>52,851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7"/>
              <w:spacing w:after="0"/>
              <w:rPr>
                <w:sz w:val="20"/>
                <w:szCs w:val="20"/>
                <w:color w:val="auto"/>
              </w:rPr>
            </w:pPr>
            <w:r>
              <w:rPr>
                <w:rFonts w:ascii="Times New Roman" w:cs="Times New Roman" w:eastAsia="Times New Roman" w:hAnsi="Times New Roman"/>
                <w:sz w:val="17"/>
                <w:szCs w:val="17"/>
                <w:color w:val="0000FF"/>
                <w:w w:val="99"/>
              </w:rPr>
              <w:t>4,665</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7"/>
              <w:spacing w:after="0"/>
              <w:rPr>
                <w:sz w:val="20"/>
                <w:szCs w:val="20"/>
                <w:color w:val="auto"/>
              </w:rPr>
            </w:pPr>
            <w:r>
              <w:rPr>
                <w:rFonts w:ascii="Times New Roman" w:cs="Times New Roman" w:eastAsia="Times New Roman" w:hAnsi="Times New Roman"/>
                <w:sz w:val="17"/>
                <w:szCs w:val="17"/>
                <w:color w:val="0000FF"/>
                <w:w w:val="99"/>
              </w:rPr>
              <w:t>1,775</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center"/>
              <w:ind w:left="47"/>
              <w:spacing w:after="0"/>
              <w:rPr>
                <w:sz w:val="20"/>
                <w:szCs w:val="20"/>
                <w:color w:val="auto"/>
              </w:rPr>
            </w:pPr>
            <w:r>
              <w:rPr>
                <w:rFonts w:ascii="Times New Roman" w:cs="Times New Roman" w:eastAsia="Times New Roman" w:hAnsi="Times New Roman"/>
                <w:sz w:val="17"/>
                <w:szCs w:val="17"/>
                <w:color w:val="0000FF"/>
                <w:w w:val="99"/>
              </w:rPr>
              <w:t>1,775</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15, 2025, the Reporting Person acquired 32 Common Stock Equivalents (CSEs) in accordance with the provisions of the Non-Employee Directors' Deferral Plan (Plan). Under the Plan, as dividends are declared and paid on Safehold Inc. common stock, the Reporting Person's holdings of outstanding CSEs are credited with additional CSEs based on the amount of the dividend and the value of a share of Safehold Inc. Common Stock on the dividend date. Each CSE is convertible on a one-for-one basis into shares of Safehold Inc. common stock.</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Austin Lee, as Attorney-in- </w:t>
      </w:r>
      <w:r>
        <w:rPr>
          <w:rFonts w:ascii="Times New Roman" w:cs="Times New Roman" w:eastAsia="Times New Roman" w:hAnsi="Times New Roman"/>
          <w:sz w:val="33"/>
          <w:szCs w:val="33"/>
          <w:color w:val="0000FF"/>
          <w:vertAlign w:val="subscript"/>
        </w:rPr>
        <w:t>10/17/2025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11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Barry Ridings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92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44258" TargetMode="External"/><Relationship Id="rId14" Type="http://schemas.openxmlformats.org/officeDocument/2006/relationships/hyperlink" Target="http://www.sec.gov/cgi-bin/browse-edgar?action=getcompany&amp;CIK=00010956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2025-10-17T07:33:01Z</dcterms:created>
  <dcterms:modified xsi:type="dcterms:W3CDTF">2025-10-17T07:33:01Z</dcterms:modified>
</cp:coreProperties>
</file>