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safe-20250630x10q.htm"/>
        <w:bookmarkStart w:id="1" w:name="kssafe2025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pBdr>
        <w:bidi w:val="0"/>
        <w:spacing w:before="0" w:after="240"/>
        <w:ind w:left="0" w:right="0" w:hanging="0"/>
        <w:jc w:val="center"/>
        <w:rPr/>
      </w:pPr>
      <w:r>
        <w:rPr/>
        <w:t>​</w:t>
      </w:r>
    </w:p>
    <w:p>
      <w:pPr>
        <w:pStyle w:val="TextBody"/>
        <w:pBdr>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26d4f333_904f_4c2a_87cd_9275075404b1"/>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bidi w:val="0"/>
        <w:spacing w:before="0" w:after="120"/>
        <w:ind w:left="60" w:right="0" w:hanging="0"/>
        <w:jc w:val="left"/>
        <w:rPr>
          <w:rFonts w:ascii="Times New Roman;Times;serif" w:hAnsi="Times New Roman;Times;serif"/>
          <w:b/>
          <w:sz w:val="16"/>
        </w:rPr>
      </w:pPr>
      <w:r>
        <w:rPr>
          <w:rFonts w:ascii="Times New Roman;Times;serif" w:hAnsi="Times New Roman;Times;serif"/>
          <w:b/>
          <w:sz w:val="16"/>
        </w:rPr>
        <w:t>(Mark One)</w:t>
      </w:r>
    </w:p>
    <w:p>
      <w:pPr>
        <w:pStyle w:val="TextBody"/>
        <w:bidi w:val="0"/>
        <w:spacing w:before="0" w:after="120"/>
        <w:ind w:left="60" w:right="0" w:hanging="0"/>
        <w:jc w:val="left"/>
        <w:rPr/>
      </w:pPr>
      <w:r>
        <w:rPr>
          <w:caps w:val="false"/>
          <w:smallCaps w:val="false"/>
        </w:rPr>
        <w:t>☒</w:t>
      </w:r>
      <w:r>
        <w:rPr>
          <w:rFonts w:ascii="Times New Roman;Times;serif" w:hAnsi="Times New Roman;Times;serif"/>
          <w:b/>
          <w:sz w:val="20"/>
        </w:rPr>
        <w:t>QUARTERLY REPORT PURSUANT TO SECTION 13 OR 15(d) OF THE SECURITIES EXCHANGE ACT OF 1934</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For the quarterly period ended</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June 30, 2025</w:t>
      </w:r>
    </w:p>
    <w:p>
      <w:pPr>
        <w:pStyle w:val="TextBody"/>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120"/>
        <w:ind w:left="60" w:right="0" w:hanging="0"/>
        <w:jc w:val="left"/>
        <w:rPr/>
      </w:pPr>
      <w:r>
        <w:rPr>
          <w:caps w:val="false"/>
          <w:smallCaps w:val="false"/>
        </w:rPr>
        <w:t>☐</w:t>
      </w:r>
      <w:r>
        <w:rPr>
          <w:rFonts w:ascii="Times New Roman;Times;serif" w:hAnsi="Times New Roman;Times;serif"/>
          <w:b/>
          <w:sz w:val="20"/>
        </w:rPr>
        <w:t>TRANSITION REPORT PURSUANT TO SECTION 13 OR 15(d) OF THE SECURITIES EXCHANGE ACT OF 1934</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Commission File No. 001-15371</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Safehold Inc.</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s3NWJeUGKU29S48iHx6QCw_6_3"/>
      <w:bookmarkStart w:id="4" w:name="Tc_9r7bMVMFW0uqJTIbxcYvOA_6_0"/>
      <w:bookmarkStart w:id="5" w:name="Tc_w3Dxq8I1qUG90ETZCrMe4g_5_1"/>
      <w:bookmarkStart w:id="6" w:name="Tc_ij0lrj6p_Em9Q7W3KYQwjA_2_3"/>
      <w:bookmarkStart w:id="7" w:name="Tc_IW1AhLAgNkuRB2M3giQijw_2_0"/>
      <w:bookmarkStart w:id="8" w:name="_7ab5ba50_7312_476f_94ed_44540d1f7f32"/>
      <w:bookmarkStart w:id="9" w:name="Tc_s3NWJeUGKU29S48iHx6QCw_6_3"/>
      <w:bookmarkStart w:id="10" w:name="Tc_9r7bMVMFW0uqJTIbxcYvOA_6_0"/>
      <w:bookmarkStart w:id="11" w:name="Tc_w3Dxq8I1qUG90ETZCrMe4g_5_1"/>
      <w:bookmarkStart w:id="12" w:name="Tc_ij0lrj6p_Em9Q7W3KYQwjA_2_3"/>
      <w:bookmarkStart w:id="13" w:name="Tc_IW1AhLAgNkuRB2M3giQijw_2_0"/>
      <w:bookmarkStart w:id="14" w:name="_7ab5ba50_7312_476f_94ed_44540d1f7f32"/>
      <w:bookmarkEnd w:id="9"/>
      <w:bookmarkEnd w:id="10"/>
      <w:bookmarkEnd w:id="11"/>
      <w:bookmarkEnd w:id="12"/>
      <w:bookmarkEnd w:id="13"/>
      <w:bookmarkEnd w:id="14"/>
    </w:p>
    <w:tbl>
      <w:tblPr>
        <w:tblW w:w="533" w:type="dxa"/>
        <w:jc w:val="left"/>
        <w:tblInd w:w="0" w:type="dxa"/>
        <w:tblLayout w:type="fixed"/>
        <w:tblCellMar>
          <w:top w:w="0" w:type="dxa"/>
          <w:left w:w="0" w:type="dxa"/>
          <w:bottom w:w="0" w:type="dxa"/>
          <w:right w:w="0" w:type="dxa"/>
        </w:tblCellMar>
      </w:tblPr>
      <w:tblGrid>
        <w:gridCol w:w="124"/>
        <w:gridCol w:w="109"/>
        <w:gridCol w:w="109"/>
        <w:gridCol w:w="191"/>
      </w:tblGrid>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42"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17170" cy="350520"/>
                      <wp:effectExtent l="0" t="0" r="0" b="0"/>
                      <wp:wrapNone/>
                      <wp:docPr id="1" name="Frame1"/>
                      <a:graphic xmlns:a="http://schemas.openxmlformats.org/drawingml/2006/main">
                        <a:graphicData uri="http://schemas.microsoft.com/office/word/2010/wordprocessingShape">
                          <wps:wsp>
                            <wps:cNvSpPr txBox="1"/>
                            <wps:spPr>
                              <a:xfrm>
                                <a:off x="0" y="0"/>
                                <a:ext cx="217170" cy="35052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Maryland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Maryland</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21285" cy="701040"/>
                      <wp:effectExtent l="0" t="0" r="0" b="0"/>
                      <wp:wrapNone/>
                      <wp:docPr id="2" name="Frame2"/>
                      <a:graphic xmlns:a="http://schemas.openxmlformats.org/drawingml/2006/main">
                        <a:graphicData uri="http://schemas.microsoft.com/office/word/2010/wordprocessingShape">
                          <wps:wsp>
                            <wps:cNvSpPr txBox="1"/>
                            <wps:spPr>
                              <a:xfrm>
                                <a:off x="0" y="0"/>
                                <a:ext cx="121285" cy="70104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95-6881527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95-6881527</w:t>
                            </w:r>
                          </w:p>
                        </w:txbxContent>
                      </v:textbox>
                      <w10:wrap type="none"/>
                    </v:rect>
                  </w:pict>
                </mc:Fallback>
              </mc:AlternateContent>
            </w:r>
          </w:p>
        </w:tc>
      </w:tr>
      <w:tr>
        <w:trPr/>
        <w:tc>
          <w:tcPr>
            <w:tcW w:w="342"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17170" cy="1518920"/>
                      <wp:effectExtent l="0" t="0" r="0" b="0"/>
                      <wp:wrapNone/>
                      <wp:docPr id="3" name="Frame3"/>
                      <a:graphic xmlns:a="http://schemas.openxmlformats.org/drawingml/2006/main">
                        <a:graphicData uri="http://schemas.microsoft.com/office/word/2010/wordprocessingShape">
                          <wps:wsp>
                            <wps:cNvSpPr txBox="1"/>
                            <wps:spPr>
                              <a:xfrm>
                                <a:off x="0" y="0"/>
                                <a:ext cx="217170" cy="151892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w:t>
                                    <w:br/>
                                    <w:t>incorporation or organization)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19.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w:t>
                              <w:br/>
                              <w:t>incorporation or organization)</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21285" cy="2219960"/>
                      <wp:effectExtent l="0" t="0" r="0" b="0"/>
                      <wp:wrapNone/>
                      <wp:docPr id="4" name="Frame4"/>
                      <a:graphic xmlns:a="http://schemas.openxmlformats.org/drawingml/2006/main">
                        <a:graphicData uri="http://schemas.microsoft.com/office/word/2010/wordprocessingShape">
                          <wps:wsp>
                            <wps:cNvSpPr txBox="1"/>
                            <wps:spPr>
                              <a:xfrm>
                                <a:off x="0" y="0"/>
                                <a:ext cx="121285" cy="221996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w:t>
                                    <w:br/>
                                    <w:t>Identification Number)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74.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w:t>
                              <w:br/>
                              <w:t>Identification Number)</w:t>
                            </w:r>
                          </w:p>
                        </w:txbxContent>
                      </v:textbox>
                      <w10:wrap type="none"/>
                    </v:rect>
                  </w:pict>
                </mc:Fallback>
              </mc:AlternateContent>
            </w:r>
          </w:p>
        </w:tc>
      </w:tr>
      <w:tr>
        <w:trPr/>
        <w:tc>
          <w:tcPr>
            <w:tcW w:w="342"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7170" cy="817880"/>
                      <wp:effectExtent l="0" t="0" r="0" b="0"/>
                      <wp:wrapNone/>
                      <wp:docPr id="5" name="Frame5"/>
                      <a:graphic xmlns:a="http://schemas.openxmlformats.org/drawingml/2006/main">
                        <a:graphicData uri="http://schemas.microsoft.com/office/word/2010/wordprocessingShape">
                          <wps:wsp>
                            <wps:cNvSpPr txBox="1"/>
                            <wps:spPr>
                              <a:xfrm>
                                <a:off x="0" y="0"/>
                                <a:ext cx="217170" cy="81788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1114 Avenue of the Americas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64.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1114 Avenue of the Americas</w:t>
                            </w:r>
                          </w:p>
                        </w:txbxContent>
                      </v:textbox>
                      <w10:wrap type="none"/>
                    </v:rect>
                  </w:pict>
                </mc:Fallback>
              </mc:AlternateContent>
            </w:r>
          </w:p>
        </w:tc>
        <w:tc>
          <w:tcPr>
            <w:tcW w:w="191" w:type="dxa"/>
            <w:tcBorders/>
            <w:vAlign w:val="center"/>
          </w:tcPr>
          <w:p>
            <w:pPr>
              <w:pStyle w:val="TableContents"/>
              <w:bidi w:val="0"/>
              <w:spacing w:before="0" w:after="40"/>
              <w:ind w:left="0" w:right="0" w:hanging="0"/>
              <w:jc w:val="left"/>
              <w:rPr/>
            </w:pPr>
            <w:r>
              <w:rPr/>
              <w:t> </w:t>
            </w:r>
          </w:p>
        </w:tc>
      </w:tr>
      <w:tr>
        <w:trPr/>
        <w:tc>
          <w:tcPr>
            <w:tcW w:w="342"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7170" cy="350520"/>
                      <wp:effectExtent l="0" t="0" r="0" b="0"/>
                      <wp:wrapNone/>
                      <wp:docPr id="6" name="Frame6"/>
                      <a:graphic xmlns:a="http://schemas.openxmlformats.org/drawingml/2006/main">
                        <a:graphicData uri="http://schemas.microsoft.com/office/word/2010/wordprocessingShape">
                          <wps:wsp>
                            <wps:cNvSpPr txBox="1"/>
                            <wps:spPr>
                              <a:xfrm>
                                <a:off x="0" y="0"/>
                                <a:ext cx="217170" cy="35052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39th Floor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39th Floor</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21285" cy="175260"/>
                      <wp:effectExtent l="0" t="0" r="0" b="0"/>
                      <wp:wrapNone/>
                      <wp:docPr id="7" name="Frame7"/>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78740" cy="817880"/>
                      <wp:effectExtent l="0" t="0" r="0" b="0"/>
                      <wp:wrapNone/>
                      <wp:docPr id="8" name="Frame8"/>
                      <a:graphic xmlns:a="http://schemas.openxmlformats.org/drawingml/2006/main">
                        <a:graphicData uri="http://schemas.microsoft.com/office/word/2010/wordprocessingShape">
                          <wps:wsp>
                            <wps:cNvSpPr txBox="1"/>
                            <wps:spPr>
                              <a:xfrm>
                                <a:off x="0" y="0"/>
                                <a:ext cx="78740" cy="817880"/>
                              </a:xfrm>
                              <a:prstGeom prst="rect"/>
                              <a:solidFill>
                                <a:srgbClr val="FFFFFF"/>
                              </a:solidFill>
                            </wps:spPr>
                            <wps:txbx>
                              <w:txbxContent>
                                <w:p>
                                  <w:pPr>
                                    <w:pStyle w:val="TableContents"/>
                                    <w:bidi w:val="0"/>
                                    <w:spacing w:before="0" w:after="40"/>
                                    <w:ind w:left="0" w:right="0" w:hanging="0"/>
                                    <w:jc w:val="right"/>
                                    <w:rPr>
                                      <w:rFonts w:ascii="Times New Roman;Times;serif" w:hAnsi="Times New Roman;Times;serif"/>
                                      <w:b/>
                                      <w:sz w:val="16"/>
                                    </w:rPr>
                                  </w:pPr>
                                  <w:r>
                                    <w:rPr>
                                      <w:rFonts w:ascii="Times New Roman;Times;serif" w:hAnsi="Times New Roman;Times;serif"/>
                                      <w:b/>
                                      <w:sz w:val="16"/>
                                    </w:rPr>
                                    <w:t>New York</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64.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right"/>
                              <w:rPr>
                                <w:rFonts w:ascii="Times New Roman;Times;serif" w:hAnsi="Times New Roman;Times;serif"/>
                                <w:b/>
                                <w:sz w:val="16"/>
                              </w:rPr>
                            </w:pPr>
                            <w:r>
                              <w:rPr>
                                <w:rFonts w:ascii="Times New Roman;Times;serif" w:hAnsi="Times New Roman;Times;serif"/>
                                <w:b/>
                                <w:sz w:val="16"/>
                              </w:rPr>
                              <w:t>New York</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9215" cy="116840"/>
                      <wp:effectExtent l="0" t="0" r="0" b="0"/>
                      <wp:wrapNone/>
                      <wp:docPr id="9" name="Frame9"/>
                      <a:graphic xmlns:a="http://schemas.openxmlformats.org/drawingml/2006/main">
                        <a:graphicData uri="http://schemas.microsoft.com/office/word/2010/wordprocessingShape">
                          <wps:wsp>
                            <wps:cNvSpPr txBox="1"/>
                            <wps:spPr>
                              <a:xfrm>
                                <a:off x="0" y="0"/>
                                <a:ext cx="69215" cy="116840"/>
                              </a:xfrm>
                              <a:prstGeom prst="rect"/>
                              <a:solidFill>
                                <a:srgbClr val="FFFFFF"/>
                              </a:solidFill>
                            </wps:spPr>
                            <wps:txbx>
                              <w:txbxContent>
                                <w:p>
                                  <w:pPr>
                                    <w:pStyle w:val="TableContents"/>
                                    <w:bidi w:val="0"/>
                                    <w:spacing w:before="0" w:after="40"/>
                                    <w:ind w:left="0" w:right="0" w:hanging="0"/>
                                    <w:jc w:val="left"/>
                                    <w:rPr>
                                      <w:rFonts w:ascii="Times New Roman;Times;serif" w:hAnsi="Times New Roman;Times;serif"/>
                                      <w:b/>
                                      <w:sz w:val="16"/>
                                    </w:rPr>
                                  </w:pPr>
                                  <w:r>
                                    <w:rPr>
                                      <w:rFonts w:ascii="Times New Roman;Times;serif" w:hAnsi="Times New Roman;Times;serif"/>
                                      <w:b/>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rFonts w:ascii="Times New Roman;Times;serif" w:hAnsi="Times New Roman;Times;serif"/>
                                <w:b/>
                                <w:sz w:val="16"/>
                              </w:rPr>
                            </w:pPr>
                            <w:r>
                              <w:rPr>
                                <w:rFonts w:ascii="Times New Roman;Times;serif" w:hAnsi="Times New Roman;Times;serif"/>
                                <w:b/>
                                <w:sz w:val="16"/>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9215" cy="233680"/>
                      <wp:effectExtent l="0" t="0" r="0" b="0"/>
                      <wp:wrapNone/>
                      <wp:docPr id="10" name="Frame10"/>
                      <a:graphic xmlns:a="http://schemas.openxmlformats.org/drawingml/2006/main">
                        <a:graphicData uri="http://schemas.microsoft.com/office/word/2010/wordprocessingShape">
                          <wps:wsp>
                            <wps:cNvSpPr txBox="1"/>
                            <wps:spPr>
                              <a:xfrm>
                                <a:off x="0" y="0"/>
                                <a:ext cx="69215" cy="233680"/>
                              </a:xfrm>
                              <a:prstGeom prst="rect"/>
                              <a:solidFill>
                                <a:srgbClr val="FFFFFF"/>
                              </a:solidFill>
                            </wps:spPr>
                            <wps:txbx>
                              <w:txbxContent>
                                <w:p>
                                  <w:pPr>
                                    <w:pStyle w:val="TableContents"/>
                                    <w:bidi w:val="0"/>
                                    <w:spacing w:before="0" w:after="40"/>
                                    <w:ind w:left="0" w:right="0" w:hanging="0"/>
                                    <w:jc w:val="left"/>
                                    <w:rPr>
                                      <w:rFonts w:ascii="Times New Roman;Times;serif" w:hAnsi="Times New Roman;Times;serif"/>
                                      <w:b/>
                                      <w:sz w:val="16"/>
                                    </w:rPr>
                                  </w:pPr>
                                  <w:r>
                                    <w:rPr>
                                      <w:rFonts w:ascii="Times New Roman;Times;serif" w:hAnsi="Times New Roman;Times;serif"/>
                                      <w:b/>
                                      <w:sz w:val="16"/>
                                    </w:rPr>
                                    <w:t>NY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8.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rFonts w:ascii="Times New Roman;Times;serif" w:hAnsi="Times New Roman;Times;serif"/>
                                <w:b/>
                                <w:sz w:val="16"/>
                              </w:rPr>
                            </w:pPr>
                            <w:r>
                              <w:rPr>
                                <w:rFonts w:ascii="Times New Roman;Times;serif" w:hAnsi="Times New Roman;Times;serif"/>
                                <w:b/>
                                <w:sz w:val="16"/>
                              </w:rPr>
                              <w:t>NY</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21285" cy="350520"/>
                      <wp:effectExtent l="0" t="0" r="0" b="0"/>
                      <wp:wrapNone/>
                      <wp:docPr id="11" name="Frame11"/>
                      <a:graphic xmlns:a="http://schemas.openxmlformats.org/drawingml/2006/main">
                        <a:graphicData uri="http://schemas.microsoft.com/office/word/2010/wordprocessingShape">
                          <wps:wsp>
                            <wps:cNvSpPr txBox="1"/>
                            <wps:spPr>
                              <a:xfrm>
                                <a:off x="0" y="0"/>
                                <a:ext cx="121285" cy="35052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10036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10036</w:t>
                            </w:r>
                          </w:p>
                        </w:txbxContent>
                      </v:textbox>
                      <w10:wrap type="none"/>
                    </v:rect>
                  </w:pict>
                </mc:Fallback>
              </mc:AlternateContent>
            </w:r>
          </w:p>
        </w:tc>
      </w:tr>
      <w:tr>
        <w:trPr/>
        <w:tc>
          <w:tcPr>
            <w:tcW w:w="342"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7170" cy="1051560"/>
                      <wp:effectExtent l="0" t="0" r="0" b="0"/>
                      <wp:wrapNone/>
                      <wp:docPr id="12" name="Frame12"/>
                      <a:graphic xmlns:a="http://schemas.openxmlformats.org/drawingml/2006/main">
                        <a:graphicData uri="http://schemas.microsoft.com/office/word/2010/wordprocessingShape">
                          <wps:wsp>
                            <wps:cNvSpPr txBox="1"/>
                            <wps:spPr>
                              <a:xfrm>
                                <a:off x="0" y="0"/>
                                <a:ext cx="217170" cy="105156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82.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xbxContent>
                      </v:textbox>
                      <w10:wrap type="none"/>
                    </v:rect>
                  </w:pict>
                </mc:Fallback>
              </mc:AlternateContent>
            </w:r>
          </w:p>
        </w:tc>
        <w:tc>
          <w:tcPr>
            <w:tcW w:w="191"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21285" cy="584200"/>
                      <wp:effectExtent l="0" t="0" r="0" b="0"/>
                      <wp:wrapNone/>
                      <wp:docPr id="13" name="Frame13"/>
                      <a:graphic xmlns:a="http://schemas.openxmlformats.org/drawingml/2006/main">
                        <a:graphicData uri="http://schemas.microsoft.com/office/word/2010/wordprocessingShape">
                          <wps:wsp>
                            <wps:cNvSpPr txBox="1"/>
                            <wps:spPr>
                              <a:xfrm>
                                <a:off x="0" y="0"/>
                                <a:ext cx="121285" cy="58420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(Zip code)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4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(Zip code)</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60"/>
        <w:ind w:left="0" w:right="0" w:hanging="0"/>
        <w:jc w:val="center"/>
        <w:rPr>
          <w:rFonts w:ascii="Times New Roman;Times;serif" w:hAnsi="Times New Roman;Times;serif"/>
          <w:sz w:val="20"/>
        </w:rPr>
      </w:pPr>
      <w:r>
        <w:rPr>
          <w:rFonts w:ascii="Times New Roman;Times;serif" w:hAnsi="Times New Roman;Times;serif"/>
          <w:sz w:val="16"/>
        </w:rPr>
        <w:t xml:space="preserve">Registrant’s telephone number, including area code: </w:t>
      </w:r>
      <w:r>
        <w:rPr>
          <w:rFonts w:ascii="Times New Roman;Times;serif" w:hAnsi="Times New Roman;Times;serif"/>
          <w:b/>
          <w:sz w:val="16"/>
        </w:rPr>
        <w:t>(212) 930-9400</w:t>
      </w:r>
    </w:p>
    <w:p>
      <w:pPr>
        <w:pStyle w:val="TextBody"/>
        <w:bidi w:val="0"/>
        <w:spacing w:before="0" w:after="0"/>
        <w:ind w:left="0" w:right="0" w:firstLine="450"/>
        <w:jc w:val="both"/>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5" w:name="Tc_hET64ACV0EqjCoVy85EBmA_1_4"/>
      <w:bookmarkStart w:id="16" w:name="Tc_1PnhYJJIzUajObHsdCw1ig_1_2"/>
      <w:bookmarkStart w:id="17" w:name="Tc_muWfS78Mn0uvZm6feJiWvg_1_0"/>
      <w:bookmarkStart w:id="18" w:name="_31b2f3f8_692f_4215_a6b5_799114ea70c9"/>
      <w:bookmarkStart w:id="19" w:name="Tc_hET64ACV0EqjCoVy85EBmA_1_4"/>
      <w:bookmarkStart w:id="20" w:name="Tc_1PnhYJJIzUajObHsdCw1ig_1_2"/>
      <w:bookmarkStart w:id="21" w:name="Tc_muWfS78Mn0uvZm6feJiWvg_1_0"/>
      <w:bookmarkStart w:id="22" w:name="_31b2f3f8_692f_4215_a6b5_799114ea70c9"/>
      <w:bookmarkEnd w:id="19"/>
      <w:bookmarkEnd w:id="20"/>
      <w:bookmarkEnd w:id="21"/>
      <w:bookmarkEnd w:id="22"/>
    </w:p>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78740" cy="1518920"/>
                      <wp:effectExtent l="0" t="0" r="0" b="0"/>
                      <wp:wrapNone/>
                      <wp:docPr id="14" name="Frame14"/>
                      <a:graphic xmlns:a="http://schemas.openxmlformats.org/drawingml/2006/main">
                        <a:graphicData uri="http://schemas.microsoft.com/office/word/2010/wordprocessingShape">
                          <wps:wsp>
                            <wps:cNvSpPr txBox="1"/>
                            <wps:spPr>
                              <a:xfrm>
                                <a:off x="0" y="0"/>
                                <a:ext cx="78740" cy="151892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Title of each class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19.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Title of each class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9215" cy="175260"/>
                      <wp:effectExtent l="0" t="0" r="0" b="0"/>
                      <wp:wrapNone/>
                      <wp:docPr id="15" name="Frame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40"/>
                                    <w:ind w:left="0" w:right="0" w:hanging="0"/>
                                    <w:jc w:val="center"/>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pPr>
                            <w:r>
                              <w:rPr/>
                              <w:t> </w:t>
                            </w:r>
                          </w:p>
                        </w:txbxContent>
                      </v:textbox>
                      <w10:wrap type="none"/>
                    </v:rect>
                  </w:pict>
                </mc:Fallback>
              </mc:AlternateContent>
            </w:r>
          </w:p>
        </w:tc>
        <w:tc>
          <w:tcPr>
            <w:tcW w:w="109"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9215" cy="1752600"/>
                      <wp:effectExtent l="0" t="0" r="0" b="0"/>
                      <wp:wrapNone/>
                      <wp:docPr id="16" name="Frame16"/>
                      <a:graphic xmlns:a="http://schemas.openxmlformats.org/drawingml/2006/main">
                        <a:graphicData uri="http://schemas.microsoft.com/office/word/2010/wordprocessingShape">
                          <wps:wsp>
                            <wps:cNvSpPr txBox="1"/>
                            <wps:spPr>
                              <a:xfrm>
                                <a:off x="0" y="0"/>
                                <a:ext cx="69215" cy="175260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Trading Symbol(s)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Trading Symbol(s)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9215" cy="175260"/>
                      <wp:effectExtent l="0" t="0" r="0" b="0"/>
                      <wp:wrapNone/>
                      <wp:docPr id="17" name="Frame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40"/>
                                    <w:ind w:left="0" w:right="0" w:hanging="0"/>
                                    <w:jc w:val="center"/>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pPr>
                            <w:r>
                              <w:rPr/>
                              <w:t> </w:t>
                            </w:r>
                          </w:p>
                        </w:txbxContent>
                      </v:textbox>
                      <w10:wrap type="none"/>
                    </v:rect>
                  </w:pict>
                </mc:Fallback>
              </mc:AlternateContent>
            </w:r>
          </w:p>
        </w:tc>
        <w:tc>
          <w:tcPr>
            <w:tcW w:w="154"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97790" cy="2930525"/>
                      <wp:effectExtent l="0" t="0" r="0" b="0"/>
                      <wp:wrapNone/>
                      <wp:docPr id="18" name="Frame18"/>
                      <a:graphic xmlns:a="http://schemas.openxmlformats.org/drawingml/2006/main">
                        <a:graphicData uri="http://schemas.microsoft.com/office/word/2010/wordprocessingShape">
                          <wps:wsp>
                            <wps:cNvSpPr txBox="1"/>
                            <wps:spPr>
                              <a:xfrm>
                                <a:off x="0" y="0"/>
                                <a:ext cx="97790" cy="2930525"/>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0.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xbxContent>
                      </v:textbox>
                      <w10:wrap type="none"/>
                    </v:rect>
                  </w:pict>
                </mc:Fallback>
              </mc:AlternateContent>
            </w:r>
          </w:p>
        </w:tc>
      </w:tr>
      <w:tr>
        <w:trPr/>
        <w:tc>
          <w:tcPr>
            <w:tcW w:w="124"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78740" cy="1285240"/>
                      <wp:effectExtent l="0" t="0" r="0" b="0"/>
                      <wp:wrapNone/>
                      <wp:docPr id="19" name="Frame19"/>
                      <a:graphic xmlns:a="http://schemas.openxmlformats.org/drawingml/2006/main">
                        <a:graphicData uri="http://schemas.microsoft.com/office/word/2010/wordprocessingShape">
                          <wps:wsp>
                            <wps:cNvSpPr txBox="1"/>
                            <wps:spPr>
                              <a:xfrm>
                                <a:off x="0" y="0"/>
                                <a:ext cx="78740" cy="128524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Common Stock</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01.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Common Stock</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9215" cy="175260"/>
                      <wp:effectExtent l="0" t="0" r="0" b="0"/>
                      <wp:wrapNone/>
                      <wp:docPr id="20" name="Frame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40"/>
                                    <w:ind w:left="0" w:right="0" w:hanging="0"/>
                                    <w:jc w:val="lef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r>
                              <w:rPr/>
                              <w:t> </w:t>
                            </w:r>
                          </w:p>
                        </w:txbxContent>
                      </v:textbox>
                      <w10:wrap type="none"/>
                    </v:rect>
                  </w:pict>
                </mc:Fallback>
              </mc:AlternateContent>
            </w:r>
          </w:p>
        </w:tc>
        <w:tc>
          <w:tcPr>
            <w:tcW w:w="109"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9215" cy="467360"/>
                      <wp:effectExtent l="0" t="0" r="0" b="0"/>
                      <wp:wrapNone/>
                      <wp:docPr id="21" name="Frame21"/>
                      <a:graphic xmlns:a="http://schemas.openxmlformats.org/drawingml/2006/main">
                        <a:graphicData uri="http://schemas.microsoft.com/office/word/2010/wordprocessingShape">
                          <wps:wsp>
                            <wps:cNvSpPr txBox="1"/>
                            <wps:spPr>
                              <a:xfrm>
                                <a:off x="0" y="0"/>
                                <a:ext cx="69215" cy="46736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SAFE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SAFE</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9215" cy="175260"/>
                      <wp:effectExtent l="0" t="0" r="0" b="0"/>
                      <wp:wrapNone/>
                      <wp:docPr id="22" name="Frame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40"/>
                                    <w:ind w:left="0" w:right="0" w:hanging="0"/>
                                    <w:jc w:val="lef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r>
                              <w:rPr/>
                              <w:t> </w:t>
                            </w:r>
                          </w:p>
                        </w:txbxContent>
                      </v:textbox>
                      <w10:wrap type="none"/>
                    </v:rect>
                  </w:pict>
                </mc:Fallback>
              </mc:AlternateContent>
            </w:r>
          </w:p>
        </w:tc>
        <w:tc>
          <w:tcPr>
            <w:tcW w:w="15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97790" cy="467360"/>
                      <wp:effectExtent l="0" t="0" r="0" b="0"/>
                      <wp:wrapNone/>
                      <wp:docPr id="23" name="Frame23"/>
                      <a:graphic xmlns:a="http://schemas.openxmlformats.org/drawingml/2006/main">
                        <a:graphicData uri="http://schemas.microsoft.com/office/word/2010/wordprocessingShape">
                          <wps:wsp>
                            <wps:cNvSpPr txBox="1"/>
                            <wps:spPr>
                              <a:xfrm>
                                <a:off x="0" y="0"/>
                                <a:ext cx="97790" cy="46736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NYSE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NYSE</w:t>
                            </w:r>
                          </w:p>
                        </w:txbxContent>
                      </v:textbox>
                      <w10:wrap type="none"/>
                    </v:rect>
                  </w:pict>
                </mc:Fallback>
              </mc:AlternateContent>
            </w:r>
          </w:p>
        </w:tc>
      </w:tr>
    </w:tbl>
    <w:p>
      <w:pPr>
        <w:pStyle w:val="TextBody"/>
        <w:bidi w:val="0"/>
        <w:spacing w:before="0" w:after="160"/>
        <w:ind w:left="0" w:right="0" w:firstLine="495"/>
        <w:jc w:val="both"/>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160"/>
        <w:ind w:left="0" w:right="0" w:firstLine="495"/>
        <w:jc w:val="both"/>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twelve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firstLine="495"/>
        <w:jc w:val="both"/>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3" w:name="Tc_Z6p66zwfsUmhQ1DijqJGOg_2_4"/>
      <w:bookmarkStart w:id="24" w:name="Tc_VkKbfivYTkmQJAruoH5Cmw_2_2"/>
      <w:bookmarkStart w:id="25" w:name="Tc_-RcT2_sk7km1TcVulDCb4w_2_0"/>
      <w:bookmarkStart w:id="26" w:name="Tc_wHc1IxYUUEix3MLj5APXng_1_8"/>
      <w:bookmarkStart w:id="27" w:name="Tc_S9NStJ2VYUuu9vC0kxweEg_1_6"/>
      <w:bookmarkStart w:id="28" w:name="Tc_eMmx81P-m06zsEzbwpZvqw_1_4"/>
      <w:bookmarkStart w:id="29" w:name="Tc_iZwmA5ilDkmC-FOk6cEP6g_1_2"/>
      <w:bookmarkStart w:id="30" w:name="_24dd7b9e_9857_4cc0_8f88_d788eda50413"/>
      <w:bookmarkStart w:id="31" w:name="Tc_Z6p66zwfsUmhQ1DijqJGOg_2_4"/>
      <w:bookmarkStart w:id="32" w:name="Tc_VkKbfivYTkmQJAruoH5Cmw_2_2"/>
      <w:bookmarkStart w:id="33" w:name="Tc_-RcT2_sk7km1TcVulDCb4w_2_0"/>
      <w:bookmarkStart w:id="34" w:name="Tc_wHc1IxYUUEix3MLj5APXng_1_8"/>
      <w:bookmarkStart w:id="35" w:name="Tc_S9NStJ2VYUuu9vC0kxweEg_1_6"/>
      <w:bookmarkStart w:id="36" w:name="Tc_eMmx81P-m06zsEzbwpZvqw_1_4"/>
      <w:bookmarkStart w:id="37" w:name="Tc_iZwmA5ilDkmC-FOk6cEP6g_1_2"/>
      <w:bookmarkStart w:id="38" w:name="_24dd7b9e_9857_4cc0_8f88_d788eda50413"/>
      <w:bookmarkEnd w:id="31"/>
      <w:bookmarkEnd w:id="32"/>
      <w:bookmarkEnd w:id="33"/>
      <w:bookmarkEnd w:id="34"/>
      <w:bookmarkEnd w:id="35"/>
      <w:bookmarkEnd w:id="36"/>
      <w:bookmarkEnd w:id="37"/>
      <w:bookmarkEnd w:id="38"/>
    </w:p>
    <w:tbl>
      <w:tblPr>
        <w:tblW w:w="9327" w:type="dxa"/>
        <w:jc w:val="left"/>
        <w:tblInd w:w="0" w:type="dxa"/>
        <w:tblLayout w:type="fixed"/>
        <w:tblCellMar>
          <w:top w:w="0" w:type="dxa"/>
          <w:left w:w="0" w:type="dxa"/>
          <w:bottom w:w="0" w:type="dxa"/>
          <w:right w:w="0" w:type="dxa"/>
        </w:tblCellMar>
      </w:tblPr>
      <w:tblGrid>
        <w:gridCol w:w="1711"/>
        <w:gridCol w:w="206"/>
        <w:gridCol w:w="1246"/>
        <w:gridCol w:w="206"/>
        <w:gridCol w:w="1561"/>
        <w:gridCol w:w="206"/>
        <w:gridCol w:w="2011"/>
        <w:gridCol w:w="109"/>
        <w:gridCol w:w="2071"/>
      </w:tblGrid>
      <w:tr>
        <w:trPr/>
        <w:tc>
          <w:tcPr>
            <w:tcW w:w="171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9215" cy="175260"/>
                      <wp:effectExtent l="0" t="0" r="0" b="0"/>
                      <wp:wrapNone/>
                      <wp:docPr id="24" name="Frame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71" w:type="dxa"/>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Large Accelerated filer</w:t>
            </w:r>
          </w:p>
        </w:tc>
        <w:tc>
          <w:tcPr>
            <w:tcW w:w="206" w:type="dxa"/>
            <w:tcBorders/>
            <w:vAlign w:val="center"/>
          </w:tcPr>
          <w:p>
            <w:pPr>
              <w:pStyle w:val="TableContents"/>
              <w:bidi w:val="0"/>
              <w:spacing w:before="0" w:after="40"/>
              <w:ind w:left="0" w:right="0" w:hanging="0"/>
              <w:jc w:val="left"/>
              <w:rPr/>
            </w:pPr>
            <w:r>
              <w:rPr/>
              <w:t>  </w:t>
            </w:r>
          </w:p>
        </w:tc>
        <w:tc>
          <w:tcPr>
            <w:tcW w:w="1246" w:type="dxa"/>
            <w:tcBorders/>
            <w:vAlign w:val="center"/>
          </w:tcPr>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Accelerated filer</w:t>
            </w:r>
          </w:p>
        </w:tc>
        <w:tc>
          <w:tcPr>
            <w:tcW w:w="206" w:type="dxa"/>
            <w:tcBorders/>
            <w:vAlign w:val="center"/>
          </w:tcPr>
          <w:p>
            <w:pPr>
              <w:pStyle w:val="TableContents"/>
              <w:bidi w:val="0"/>
              <w:spacing w:before="0" w:after="40"/>
              <w:ind w:left="0" w:right="0" w:hanging="0"/>
              <w:jc w:val="left"/>
              <w:rPr/>
            </w:pPr>
            <w:r>
              <w:rPr/>
              <w:t>  </w:t>
            </w:r>
          </w:p>
        </w:tc>
        <w:tc>
          <w:tcPr>
            <w:tcW w:w="1561" w:type="dxa"/>
            <w:tcBorders/>
            <w:vAlign w:val="center"/>
          </w:tcPr>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Non-accelerated filer</w:t>
            </w:r>
          </w:p>
        </w:tc>
        <w:tc>
          <w:tcPr>
            <w:tcW w:w="206" w:type="dxa"/>
            <w:tcBorders/>
            <w:vAlign w:val="center"/>
          </w:tcPr>
          <w:p>
            <w:pPr>
              <w:pStyle w:val="TableContents"/>
              <w:bidi w:val="0"/>
              <w:spacing w:before="0" w:after="40"/>
              <w:ind w:left="0" w:right="0" w:hanging="0"/>
              <w:jc w:val="left"/>
              <w:rPr/>
            </w:pPr>
            <w:r>
              <w:rPr/>
              <w:t>  </w:t>
            </w:r>
          </w:p>
        </w:tc>
        <w:tc>
          <w:tcPr>
            <w:tcW w:w="2011" w:type="dxa"/>
            <w:tcBorders/>
            <w:vAlign w:val="center"/>
          </w:tcPr>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Smaller reporting company</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9215" cy="175260"/>
                      <wp:effectExtent l="0" t="0" r="0" b="0"/>
                      <wp:wrapNone/>
                      <wp:docPr id="25" name="Frame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w:t>
                            </w:r>
                          </w:p>
                        </w:txbxContent>
                      </v:textbox>
                      <w10:wrap type="none"/>
                    </v:rect>
                  </w:pict>
                </mc:Fallback>
              </mc:AlternateContent>
            </w:r>
          </w:p>
        </w:tc>
        <w:tc>
          <w:tcPr>
            <w:tcW w:w="2071" w:type="dxa"/>
            <w:tcBorders/>
            <w:vAlign w:val="center"/>
          </w:tcPr>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Emerging growth company</w:t>
            </w:r>
          </w:p>
        </w:tc>
      </w:tr>
      <w:tr>
        <w:trPr/>
        <w:tc>
          <w:tcPr>
            <w:tcW w:w="1711" w:type="dxa"/>
            <w:tcBorders/>
            <w:vAlign w:val="center"/>
          </w:tcPr>
          <w:p>
            <w:pPr>
              <w:pStyle w:val="TableContents"/>
              <w:bidi w:val="0"/>
              <w:spacing w:before="0" w:after="40"/>
              <w:ind w:left="0" w:right="0" w:hanging="0"/>
              <w:jc w:val="center"/>
              <w:rPr/>
            </w:pPr>
            <w:r>
              <w:rPr/>
              <w:t>☒</w: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0810" cy="175260"/>
                      <wp:effectExtent l="0" t="0" r="0" b="0"/>
                      <wp:wrapNone/>
                      <wp:docPr id="26" name="Frame2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40"/>
              <w:ind w:left="0" w:right="0" w:hanging="0"/>
              <w:jc w:val="center"/>
              <w:rPr/>
            </w:pPr>
            <w:r>
              <w:rPr/>
              <w:t>☐</w: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0810" cy="175260"/>
                      <wp:effectExtent l="0" t="0" r="0" b="0"/>
                      <wp:wrapNone/>
                      <wp:docPr id="27" name="Frame27"/>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0810" cy="175260"/>
                      <wp:effectExtent l="0" t="0" r="0" b="0"/>
                      <wp:wrapNone/>
                      <wp:docPr id="28" name="Frame2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2011" w:type="dxa"/>
            <w:tcBorders/>
            <w:vAlign w:val="center"/>
          </w:tcPr>
          <w:p>
            <w:pPr>
              <w:pStyle w:val="TableContents"/>
              <w:bidi w:val="0"/>
              <w:spacing w:before="0" w:after="40"/>
              <w:ind w:left="0" w:right="0" w:hanging="0"/>
              <w:jc w:val="center"/>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9215" cy="175260"/>
                      <wp:effectExtent l="0" t="0" r="0" b="0"/>
                      <wp:wrapNone/>
                      <wp:docPr id="29" name="Frame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2071" w:type="dxa"/>
            <w:tcBorders/>
            <w:vAlign w:val="center"/>
          </w:tcPr>
          <w:p>
            <w:pPr>
              <w:pStyle w:val="TableContents"/>
              <w:bidi w:val="0"/>
              <w:spacing w:before="0" w:after="4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160"/>
        <w:ind w:left="0" w:right="0" w:hanging="0"/>
        <w:jc w:val="both"/>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60"/>
        <w:ind w:left="0" w:right="0" w:firstLine="495"/>
        <w:jc w:val="both"/>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Act). Yes </w:t>
      </w:r>
      <w:r>
        <w:rPr>
          <w:rFonts w:ascii="Times New Roman;Times;serif" w:hAnsi="Times New Roman;Times;serif"/>
          <w:sz w:val="20"/>
        </w:rPr>
        <w:t>☐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60"/>
        <w:ind w:left="0" w:right="0" w:firstLine="450"/>
        <w:jc w:val="both"/>
        <w:rPr>
          <w:rFonts w:ascii="Times New Roman;Times;serif" w:hAnsi="Times New Roman;Times;serif"/>
          <w:sz w:val="16"/>
        </w:rPr>
      </w:pPr>
      <w:r>
        <w:rPr>
          <w:rFonts w:ascii="Times New Roman;Times;serif" w:hAnsi="Times New Roman;Times;serif"/>
          <w:sz w:val="16"/>
        </w:rPr>
        <w:t>As of August 4, 2025, there were 71,755,958 shares, $0.01 par value per share, of Safehold Inc. common stock outstanding.</w:t>
      </w:r>
    </w:p>
    <w:p>
      <w:pPr>
        <w:pStyle w:val="TextBody"/>
        <w:bidi w:val="0"/>
        <w:spacing w:before="0" w:after="240"/>
        <w:ind w:left="0" w:right="0" w:firstLine="450"/>
        <w:jc w:val="both"/>
        <w:rPr/>
      </w:pPr>
      <w:r>
        <w:rPr/>
        <w:t>​</w:t>
      </w:r>
    </w:p>
    <w:p>
      <w:pPr>
        <w:pStyle w:val="TextBody"/>
        <w:pBdr>
          <w:top w:val="single" w:sz="8" w:space="1" w:color="000000"/>
          <w:bottom w:val="single" w:sz="24" w:space="1" w:color="000000"/>
        </w:pBdr>
        <w:bidi w:val="0"/>
        <w:spacing w:before="0" w:after="240"/>
        <w:ind w:left="0" w:right="0" w:firstLine="450"/>
        <w:jc w:val="both"/>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9" w:name="TOC"/>
      <w:bookmarkStart w:id="40" w:name="_968c940c_1f6b_4d10_b8ce_15bd6ec734f1"/>
      <w:bookmarkEnd w:id="39"/>
      <w:bookmarkEnd w:id="40"/>
      <w:r>
        <w:rPr>
          <w:rFonts w:ascii="Times New Roman;Times;serif" w:hAnsi="Times New Roman;Times;serif"/>
          <w:b/>
          <w:sz w:val="20"/>
        </w:rPr>
        <w:t>TABLE OF CONTENTS</w:t>
      </w:r>
    </w:p>
    <w:p>
      <w:pPr>
        <w:pStyle w:val="TextBody"/>
        <w:bidi w:val="0"/>
        <w:spacing w:before="0" w:after="24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841"/>
        <w:gridCol w:w="8853"/>
        <w:gridCol w:w="511"/>
      </w:tblGrid>
      <w:tr>
        <w:trPr/>
        <w:tc>
          <w:tcPr>
            <w:tcW w:w="84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841" w:type="dxa"/>
            <w:tcBorders/>
            <w:vAlign w:val="center"/>
          </w:tcPr>
          <w:p>
            <w:pPr>
              <w:pStyle w:val="TableContents"/>
              <w:bidi w:val="0"/>
              <w:spacing w:before="0" w:after="30"/>
              <w:ind w:left="0" w:right="0" w:hanging="0"/>
              <w:jc w:val="left"/>
              <w:rPr/>
            </w:pPr>
            <w:r>
              <w:rPr/>
              <w:t> </w:t>
            </w:r>
          </w:p>
        </w:tc>
        <w:tc>
          <w:tcPr>
            <w:tcW w:w="8853" w:type="dxa"/>
            <w:tcBorders/>
            <w:vAlign w:val="center"/>
          </w:tcPr>
          <w:p>
            <w:pPr>
              <w:pStyle w:val="TableContents"/>
              <w:bidi w:val="0"/>
              <w:spacing w:before="0" w:after="30"/>
              <w:ind w:left="0" w:right="0" w:hanging="0"/>
              <w:jc w:val="left"/>
              <w:rPr/>
            </w:pPr>
            <w:r>
              <w:rPr/>
              <w:t> </w:t>
            </w:r>
          </w:p>
        </w:tc>
        <w:tc>
          <w:tcPr>
            <w:tcW w:w="511" w:type="dxa"/>
            <w:tcBorders>
              <w:bottom w:val="single" w:sz="8" w:space="0" w:color="000000"/>
            </w:tcBorders>
            <w:tcMar>
              <w:bottom w:w="28" w:type="dxa"/>
            </w:tcMar>
            <w:vAlign w:val="center"/>
          </w:tcPr>
          <w:p>
            <w:pPr>
              <w:pStyle w:val="TableContents"/>
              <w:bidi w:val="0"/>
              <w:spacing w:before="0" w:after="3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841" w:type="dxa"/>
            <w:tcBorders/>
            <w:vAlign w:val="center"/>
          </w:tcPr>
          <w:p>
            <w:pPr>
              <w:pStyle w:val="TableContents"/>
              <w:bidi w:val="0"/>
              <w:spacing w:before="0" w:after="30"/>
              <w:ind w:left="0" w:right="0" w:hanging="0"/>
              <w:jc w:val="left"/>
              <w:rPr/>
            </w:pPr>
            <w:hyperlink w:anchor="PARTICONSOLIDATEDFINANCIALINFORMATION_20">
              <w:r>
                <w:rPr>
                  <w:rStyle w:val="InternetLink"/>
                  <w:rFonts w:ascii="Times New Roman;Times;serif" w:hAnsi="Times New Roman;Times;serif"/>
                  <w:b/>
                  <w:i w:val="false"/>
                  <w:caps w:val="false"/>
                  <w:smallCaps w:val="false"/>
                  <w:sz w:val="20"/>
                </w:rPr>
                <w:t>PART I</w:t>
              </w:r>
            </w:hyperlink>
          </w:p>
        </w:tc>
        <w:tc>
          <w:tcPr>
            <w:tcW w:w="8853" w:type="dxa"/>
            <w:tcBorders/>
            <w:vAlign w:val="center"/>
          </w:tcPr>
          <w:p>
            <w:pPr>
              <w:pStyle w:val="TableContents"/>
              <w:bidi w:val="0"/>
              <w:spacing w:before="0" w:after="30"/>
              <w:ind w:left="0" w:right="0" w:hanging="0"/>
              <w:jc w:val="left"/>
              <w:rPr/>
            </w:pPr>
            <w:hyperlink w:anchor="PARTICONSOLIDATEDFINANCIALINFORMATION_20">
              <w:r>
                <w:rPr>
                  <w:rStyle w:val="InternetLink"/>
                  <w:rFonts w:ascii="Times New Roman;Times;serif" w:hAnsi="Times New Roman;Times;serif"/>
                  <w:b w:val="false"/>
                  <w:i w:val="false"/>
                  <w:caps w:val="false"/>
                  <w:smallCaps w:val="false"/>
                  <w:sz w:val="20"/>
                </w:rPr>
                <w:t>Consolidated Financial Information</w:t>
              </w:r>
            </w:hyperlink>
          </w:p>
        </w:tc>
        <w:tc>
          <w:tcPr>
            <w:tcW w:w="511" w:type="dxa"/>
            <w:tcBorders>
              <w:top w:val="single" w:sz="8" w:space="0" w:color="000000"/>
            </w:tcBorders>
            <w:tcMar>
              <w:top w:w="28" w:type="dxa"/>
            </w:tcMar>
            <w:vAlign w:val="center"/>
          </w:tcPr>
          <w:p>
            <w:pPr>
              <w:pStyle w:val="TableContents"/>
              <w:bidi w:val="0"/>
              <w:spacing w:before="0" w:after="0"/>
              <w:ind w:left="0" w:right="0" w:hanging="0"/>
              <w:jc w:val="left"/>
              <w:rPr/>
            </w:pPr>
            <w:r>
              <w:rPr/>
              <w:t>​</w:t>
            </w:r>
          </w:p>
        </w:tc>
      </w:tr>
      <w:tr>
        <w:trPr/>
        <w:tc>
          <w:tcPr>
            <w:tcW w:w="841" w:type="dxa"/>
            <w:tcBorders/>
            <w:vAlign w:val="center"/>
          </w:tcPr>
          <w:p>
            <w:pPr>
              <w:pStyle w:val="TableContents"/>
              <w:bidi w:val="0"/>
              <w:spacing w:before="0" w:after="30"/>
              <w:ind w:left="0" w:right="0" w:hanging="0"/>
              <w:jc w:val="left"/>
              <w:rPr/>
            </w:pPr>
            <w:hyperlink w:anchor="Item1FinancialStatements_702643">
              <w:r>
                <w:rPr>
                  <w:rStyle w:val="InternetLink"/>
                  <w:rFonts w:ascii="Times New Roman;Times;serif" w:hAnsi="Times New Roman;Times;serif"/>
                  <w:b w:val="false"/>
                  <w:i w:val="false"/>
                  <w:caps w:val="false"/>
                  <w:smallCaps w:val="false"/>
                  <w:sz w:val="20"/>
                </w:rPr>
                <w:t>Item 1.</w:t>
              </w:r>
            </w:hyperlink>
          </w:p>
        </w:tc>
        <w:tc>
          <w:tcPr>
            <w:tcW w:w="8853" w:type="dxa"/>
            <w:tcBorders/>
            <w:vAlign w:val="center"/>
          </w:tcPr>
          <w:p>
            <w:pPr>
              <w:pStyle w:val="TableContents"/>
              <w:bidi w:val="0"/>
              <w:spacing w:before="0" w:after="30"/>
              <w:ind w:left="0" w:right="0" w:hanging="0"/>
              <w:jc w:val="left"/>
              <w:rPr/>
            </w:pPr>
            <w:hyperlink w:anchor="Item1FinancialStatements_702643">
              <w:r>
                <w:rPr>
                  <w:rStyle w:val="InternetLink"/>
                  <w:rFonts w:ascii="Times New Roman;Times;serif" w:hAnsi="Times New Roman;Times;serif"/>
                  <w:b w:val="false"/>
                  <w:i w:val="false"/>
                  <w:caps w:val="false"/>
                  <w:smallCaps w:val="false"/>
                  <w:sz w:val="20"/>
                </w:rPr>
                <w:t>Financial Statements:</w:t>
              </w:r>
            </w:hyperlink>
          </w:p>
        </w:tc>
        <w:tc>
          <w:tcPr>
            <w:tcW w:w="511" w:type="dxa"/>
            <w:tcBorders/>
            <w:vAlign w:val="center"/>
          </w:tcPr>
          <w:p>
            <w:pPr>
              <w:pStyle w:val="TableContents"/>
              <w:bidi w:val="0"/>
              <w:spacing w:before="0" w:after="0"/>
              <w:ind w:left="0" w:right="0" w:hanging="0"/>
              <w:jc w:val="left"/>
              <w:rPr/>
            </w:pPr>
            <w:r>
              <w:rPr/>
              <w:t>​</w:t>
            </w:r>
          </w:p>
        </w:tc>
      </w:tr>
      <w:tr>
        <w:trPr/>
        <w:tc>
          <w:tcPr>
            <w:tcW w:w="84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30"/>
              <w:ind w:left="0" w:right="0" w:hanging="0"/>
              <w:jc w:val="left"/>
              <w:rPr/>
            </w:pPr>
            <w:hyperlink w:anchor="ConsolidatedBalanceSheets1_589528">
              <w:r>
                <w:rPr>
                  <w:rStyle w:val="InternetLink"/>
                  <w:rFonts w:ascii="Times New Roman;Times;serif" w:hAnsi="Times New Roman;Times;serif"/>
                  <w:b w:val="false"/>
                  <w:i w:val="false"/>
                  <w:caps w:val="false"/>
                  <w:smallCaps w:val="false"/>
                  <w:sz w:val="20"/>
                </w:rPr>
                <w:t>Consolidated Balance Sheets (unaudited) as of June 30, 2025 and December 31, 2024</w:t>
              </w:r>
            </w:hyperlink>
            <w:r>
              <w:rPr>
                <w:rFonts w:ascii="Times New Roman;Times;serif" w:hAnsi="Times New Roman;Times;serif"/>
                <w:sz w:val="20"/>
              </w:rPr>
              <w:t xml:space="preserve"> </w:t>
            </w:r>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4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30"/>
              <w:ind w:left="0" w:right="0" w:hanging="0"/>
              <w:jc w:val="left"/>
              <w:rPr/>
            </w:pPr>
            <w:hyperlink w:anchor="StatementOfOperations">
              <w:r>
                <w:rPr>
                  <w:rStyle w:val="InternetLink"/>
                  <w:rFonts w:ascii="Times New Roman;Times;serif" w:hAnsi="Times New Roman;Times;serif"/>
                  <w:b w:val="false"/>
                  <w:i w:val="false"/>
                  <w:caps w:val="false"/>
                  <w:smallCaps w:val="false"/>
                  <w:sz w:val="20"/>
                </w:rPr>
                <w:t>Consolidated Statements of Operations (unaudited)—For the three and six months ended June 30, 2025 and 2024</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4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30"/>
              <w:ind w:left="0" w:right="0" w:hanging="0"/>
              <w:jc w:val="left"/>
              <w:rPr/>
            </w:pPr>
            <w:hyperlink w:anchor="ConsolidatedStatementsofComprehensiveInc">
              <w:r>
                <w:rPr>
                  <w:rStyle w:val="InternetLink"/>
                  <w:rFonts w:ascii="Times New Roman;Times;serif" w:hAnsi="Times New Roman;Times;serif"/>
                  <w:b w:val="false"/>
                  <w:i w:val="false"/>
                  <w:caps w:val="false"/>
                  <w:smallCaps w:val="false"/>
                  <w:sz w:val="20"/>
                </w:rPr>
                <w:t>Consolidated Statements of Comprehensive Income (Loss) (unaudited)—For the three and six months ended June 30, 2025 and 2024</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4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30"/>
              <w:ind w:left="0" w:right="0" w:hanging="0"/>
              <w:jc w:val="left"/>
              <w:rPr/>
            </w:pPr>
            <w:hyperlink w:anchor="Equity">
              <w:r>
                <w:rPr>
                  <w:rStyle w:val="InternetLink"/>
                  <w:rFonts w:ascii="Times New Roman;Times;serif" w:hAnsi="Times New Roman;Times;serif"/>
                  <w:b w:val="false"/>
                  <w:i w:val="false"/>
                  <w:caps w:val="false"/>
                  <w:smallCaps w:val="false"/>
                  <w:sz w:val="20"/>
                </w:rPr>
                <w:t>Consolidated Statements of Changes in Equity (unaudited)—For the three and six months ended June 30, 2025 and 2024</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4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30"/>
              <w:ind w:left="0" w:right="0" w:hanging="0"/>
              <w:jc w:val="left"/>
              <w:rPr/>
            </w:pPr>
            <w:hyperlink w:anchor="ConsolidatedStatementsofCashFlows_424097">
              <w:r>
                <w:rPr>
                  <w:rStyle w:val="InternetLink"/>
                  <w:rFonts w:ascii="Times New Roman;Times;serif" w:hAnsi="Times New Roman;Times;serif"/>
                  <w:b w:val="false"/>
                  <w:i w:val="false"/>
                  <w:caps w:val="false"/>
                  <w:smallCaps w:val="false"/>
                  <w:sz w:val="20"/>
                </w:rPr>
                <w:t>Consolidated Statements of Cash Flows (unaudited)—For the six months ended June 30, 2025 and 2024</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4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30"/>
              <w:ind w:left="0" w:right="0" w:hanging="0"/>
              <w:jc w:val="left"/>
              <w:rPr/>
            </w:pPr>
            <w:hyperlink w:anchor="Note1BusinessandOrganization_244472">
              <w:r>
                <w:rPr>
                  <w:rStyle w:val="InternetLink"/>
                  <w:rFonts w:ascii="Times New Roman;Times;serif" w:hAnsi="Times New Roman;Times;serif"/>
                  <w:b w:val="false"/>
                  <w:i w:val="false"/>
                  <w:caps w:val="false"/>
                  <w:smallCaps w:val="false"/>
                  <w:sz w:val="20"/>
                </w:rPr>
                <w:t>Notes to Consolidated Financial Statements (unaudited)</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41" w:type="dxa"/>
            <w:tcBorders/>
            <w:vAlign w:val="center"/>
          </w:tcPr>
          <w:p>
            <w:pPr>
              <w:pStyle w:val="TableContents"/>
              <w:bidi w:val="0"/>
              <w:spacing w:before="0" w:after="3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853" w:type="dxa"/>
            <w:tcBorders/>
            <w:vAlign w:val="center"/>
          </w:tcPr>
          <w:p>
            <w:pPr>
              <w:pStyle w:val="TableContents"/>
              <w:bidi w:val="0"/>
              <w:spacing w:before="0" w:after="3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41" w:type="dxa"/>
            <w:tcBorders/>
            <w:vAlign w:val="center"/>
          </w:tcPr>
          <w:p>
            <w:pPr>
              <w:pStyle w:val="TableContents"/>
              <w:bidi w:val="0"/>
              <w:spacing w:before="0" w:after="3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853" w:type="dxa"/>
            <w:tcBorders/>
            <w:vAlign w:val="center"/>
          </w:tcPr>
          <w:p>
            <w:pPr>
              <w:pStyle w:val="TableContents"/>
              <w:bidi w:val="0"/>
              <w:spacing w:before="0" w:after="3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841" w:type="dxa"/>
            <w:tcBorders/>
            <w:vAlign w:val="center"/>
          </w:tcPr>
          <w:p>
            <w:pPr>
              <w:pStyle w:val="TableContents"/>
              <w:bidi w:val="0"/>
              <w:spacing w:before="0" w:after="30"/>
              <w:ind w:left="0" w:right="0" w:hanging="0"/>
              <w:jc w:val="left"/>
              <w:rPr/>
            </w:pPr>
            <w:hyperlink w:anchor="Item4ControlsandProcedures_125705">
              <w:r>
                <w:rPr>
                  <w:rStyle w:val="InternetLink"/>
                  <w:rFonts w:ascii="Times New Roman;Times;serif" w:hAnsi="Times New Roman;Times;serif"/>
                  <w:b w:val="false"/>
                  <w:i w:val="false"/>
                  <w:caps w:val="false"/>
                  <w:smallCaps w:val="false"/>
                  <w:sz w:val="20"/>
                </w:rPr>
                <w:t>Item 4.</w:t>
              </w:r>
            </w:hyperlink>
          </w:p>
        </w:tc>
        <w:tc>
          <w:tcPr>
            <w:tcW w:w="8853" w:type="dxa"/>
            <w:tcBorders/>
            <w:vAlign w:val="center"/>
          </w:tcPr>
          <w:p>
            <w:pPr>
              <w:pStyle w:val="TableContents"/>
              <w:bidi w:val="0"/>
              <w:spacing w:before="0" w:after="30"/>
              <w:ind w:left="0" w:right="0" w:hanging="0"/>
              <w:jc w:val="left"/>
              <w:rPr/>
            </w:pPr>
            <w:hyperlink w:anchor="Item4ControlsandProcedures_125705">
              <w:r>
                <w:rPr>
                  <w:rStyle w:val="InternetLink"/>
                  <w:rFonts w:ascii="Times New Roman;Times;serif" w:hAnsi="Times New Roman;Times;serif"/>
                  <w:b w:val="false"/>
                  <w:i w:val="false"/>
                  <w:caps w:val="false"/>
                  <w:smallCaps w:val="false"/>
                  <w:sz w:val="20"/>
                </w:rPr>
                <w:t>Controls and Procedures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841" w:type="dxa"/>
            <w:tcBorders/>
            <w:vAlign w:val="center"/>
          </w:tcPr>
          <w:p>
            <w:pPr>
              <w:pStyle w:val="TableContents"/>
              <w:bidi w:val="0"/>
              <w:spacing w:before="0" w:after="30"/>
              <w:ind w:left="0" w:right="0" w:hanging="0"/>
              <w:jc w:val="left"/>
              <w:rPr/>
            </w:pPr>
            <w:hyperlink w:anchor="PARTIIOTHERINFORMATION_821823">
              <w:r>
                <w:rPr>
                  <w:rStyle w:val="InternetLink"/>
                  <w:rFonts w:ascii="Times New Roman;Times;serif" w:hAnsi="Times New Roman;Times;serif"/>
                  <w:b/>
                  <w:i w:val="false"/>
                  <w:caps w:val="false"/>
                  <w:smallCaps w:val="false"/>
                  <w:sz w:val="20"/>
                </w:rPr>
                <w:t>PART II</w:t>
              </w:r>
            </w:hyperlink>
          </w:p>
        </w:tc>
        <w:tc>
          <w:tcPr>
            <w:tcW w:w="8853" w:type="dxa"/>
            <w:tcBorders/>
            <w:vAlign w:val="center"/>
          </w:tcPr>
          <w:p>
            <w:pPr>
              <w:pStyle w:val="TableContents"/>
              <w:bidi w:val="0"/>
              <w:spacing w:before="0" w:after="30"/>
              <w:ind w:left="0" w:right="0" w:hanging="0"/>
              <w:jc w:val="left"/>
              <w:rPr/>
            </w:pPr>
            <w:hyperlink w:anchor="PARTIIOTHERINFORMATION_821823">
              <w:r>
                <w:rPr>
                  <w:rStyle w:val="InternetLink"/>
                  <w:rFonts w:ascii="Times New Roman;Times;serif" w:hAnsi="Times New Roman;Times;serif"/>
                  <w:b w:val="false"/>
                  <w:i w:val="false"/>
                  <w:caps w:val="false"/>
                  <w:smallCaps w:val="false"/>
                  <w:sz w:val="20"/>
                </w:rPr>
                <w:t>Other Information</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841" w:type="dxa"/>
            <w:tcBorders/>
            <w:vAlign w:val="center"/>
          </w:tcPr>
          <w:p>
            <w:pPr>
              <w:pStyle w:val="TableContents"/>
              <w:bidi w:val="0"/>
              <w:spacing w:before="0" w:after="30"/>
              <w:ind w:left="0" w:right="0" w:hanging="0"/>
              <w:jc w:val="left"/>
              <w:rPr/>
            </w:pPr>
            <w:hyperlink w:anchor="Item1LegalProceedings_241327">
              <w:r>
                <w:rPr>
                  <w:rStyle w:val="InternetLink"/>
                  <w:rFonts w:ascii="Times New Roman;Times;serif" w:hAnsi="Times New Roman;Times;serif"/>
                  <w:b w:val="false"/>
                  <w:i w:val="false"/>
                  <w:caps w:val="false"/>
                  <w:smallCaps w:val="false"/>
                  <w:sz w:val="20"/>
                </w:rPr>
                <w:t>Item 1.</w:t>
              </w:r>
            </w:hyperlink>
          </w:p>
        </w:tc>
        <w:tc>
          <w:tcPr>
            <w:tcW w:w="8853" w:type="dxa"/>
            <w:tcBorders/>
            <w:vAlign w:val="center"/>
          </w:tcPr>
          <w:p>
            <w:pPr>
              <w:pStyle w:val="TableContents"/>
              <w:bidi w:val="0"/>
              <w:spacing w:before="0" w:after="30"/>
              <w:ind w:left="0" w:right="0" w:hanging="0"/>
              <w:jc w:val="left"/>
              <w:rPr/>
            </w:pPr>
            <w:hyperlink w:anchor="Item1LegalProceedings_241327">
              <w:r>
                <w:rPr>
                  <w:rStyle w:val="InternetLink"/>
                  <w:rFonts w:ascii="Times New Roman;Times;serif" w:hAnsi="Times New Roman;Times;serif"/>
                  <w:b w:val="false"/>
                  <w:i w:val="false"/>
                  <w:caps w:val="false"/>
                  <w:smallCaps w:val="false"/>
                  <w:sz w:val="20"/>
                </w:rPr>
                <w:t>Legal Proceedings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841" w:type="dxa"/>
            <w:tcBorders/>
            <w:vAlign w:val="center"/>
          </w:tcPr>
          <w:p>
            <w:pPr>
              <w:pStyle w:val="TableContents"/>
              <w:bidi w:val="0"/>
              <w:spacing w:before="0" w:after="30"/>
              <w:ind w:left="0" w:right="0" w:hanging="0"/>
              <w:jc w:val="left"/>
              <w:rPr/>
            </w:pPr>
            <w:hyperlink w:anchor="Item1aRiskFactors_934934">
              <w:r>
                <w:rPr>
                  <w:rStyle w:val="InternetLink"/>
                  <w:rFonts w:ascii="Times New Roman;Times;serif" w:hAnsi="Times New Roman;Times;serif"/>
                  <w:b w:val="false"/>
                  <w:i w:val="false"/>
                  <w:caps w:val="false"/>
                  <w:smallCaps w:val="false"/>
                  <w:sz w:val="20"/>
                </w:rPr>
                <w:t>Item 1A.</w:t>
              </w:r>
            </w:hyperlink>
          </w:p>
        </w:tc>
        <w:tc>
          <w:tcPr>
            <w:tcW w:w="8853" w:type="dxa"/>
            <w:tcBorders/>
            <w:vAlign w:val="center"/>
          </w:tcPr>
          <w:p>
            <w:pPr>
              <w:pStyle w:val="TableContents"/>
              <w:bidi w:val="0"/>
              <w:spacing w:before="0" w:after="30"/>
              <w:ind w:left="0" w:right="0" w:hanging="0"/>
              <w:jc w:val="left"/>
              <w:rPr/>
            </w:pPr>
            <w:hyperlink w:anchor="Item1aRiskFactors_934934">
              <w:r>
                <w:rPr>
                  <w:rStyle w:val="InternetLink"/>
                  <w:rFonts w:ascii="Times New Roman;Times;serif" w:hAnsi="Times New Roman;Times;serif"/>
                  <w:b w:val="false"/>
                  <w:i w:val="false"/>
                  <w:caps w:val="false"/>
                  <w:smallCaps w:val="false"/>
                  <w:sz w:val="20"/>
                </w:rPr>
                <w:t>Risk Factors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841" w:type="dxa"/>
            <w:tcBorders/>
            <w:vAlign w:val="center"/>
          </w:tcPr>
          <w:p>
            <w:pPr>
              <w:pStyle w:val="TableContents"/>
              <w:bidi w:val="0"/>
              <w:spacing w:before="0" w:after="3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853" w:type="dxa"/>
            <w:tcBorders/>
            <w:vAlign w:val="center"/>
          </w:tcPr>
          <w:p>
            <w:pPr>
              <w:pStyle w:val="TableContents"/>
              <w:bidi w:val="0"/>
              <w:spacing w:before="0" w:after="3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841" w:type="dxa"/>
            <w:tcBorders/>
            <w:vAlign w:val="center"/>
          </w:tcPr>
          <w:p>
            <w:pPr>
              <w:pStyle w:val="TableContents"/>
              <w:bidi w:val="0"/>
              <w:spacing w:before="0" w:after="30"/>
              <w:ind w:left="0" w:right="0" w:hanging="0"/>
              <w:jc w:val="left"/>
              <w:rPr/>
            </w:pPr>
            <w:hyperlink w:anchor="Item3DefaultsUponSeniorSecurities_688805">
              <w:r>
                <w:rPr>
                  <w:rStyle w:val="InternetLink"/>
                  <w:rFonts w:ascii="Times New Roman;Times;serif" w:hAnsi="Times New Roman;Times;serif"/>
                  <w:b w:val="false"/>
                  <w:i w:val="false"/>
                  <w:caps w:val="false"/>
                  <w:smallCaps w:val="false"/>
                  <w:sz w:val="20"/>
                </w:rPr>
                <w:t>Item 3.</w:t>
              </w:r>
            </w:hyperlink>
          </w:p>
        </w:tc>
        <w:tc>
          <w:tcPr>
            <w:tcW w:w="8853" w:type="dxa"/>
            <w:tcBorders/>
            <w:vAlign w:val="center"/>
          </w:tcPr>
          <w:p>
            <w:pPr>
              <w:pStyle w:val="TableContents"/>
              <w:bidi w:val="0"/>
              <w:spacing w:before="0" w:after="30"/>
              <w:ind w:left="0" w:right="0" w:hanging="0"/>
              <w:jc w:val="left"/>
              <w:rPr/>
            </w:pPr>
            <w:hyperlink w:anchor="Item3DefaultsUponSeniorSecurities_688805">
              <w:r>
                <w:rPr>
                  <w:rStyle w:val="InternetLink"/>
                  <w:rFonts w:ascii="Times New Roman;Times;serif" w:hAnsi="Times New Roman;Times;serif"/>
                  <w:b w:val="false"/>
                  <w:i w:val="false"/>
                  <w:caps w:val="false"/>
                  <w:smallCaps w:val="false"/>
                  <w:sz w:val="20"/>
                </w:rPr>
                <w:t>Defaults Upon Senior Securities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841" w:type="dxa"/>
            <w:tcBorders/>
            <w:vAlign w:val="center"/>
          </w:tcPr>
          <w:p>
            <w:pPr>
              <w:pStyle w:val="TableContents"/>
              <w:bidi w:val="0"/>
              <w:spacing w:before="0" w:after="30"/>
              <w:ind w:left="0" w:right="0" w:hanging="0"/>
              <w:jc w:val="left"/>
              <w:rPr/>
            </w:pPr>
            <w:hyperlink w:anchor="Item4MineSafetyDisclosures_271149">
              <w:r>
                <w:rPr>
                  <w:rStyle w:val="InternetLink"/>
                  <w:rFonts w:ascii="Times New Roman;Times;serif" w:hAnsi="Times New Roman;Times;serif"/>
                  <w:b w:val="false"/>
                  <w:i w:val="false"/>
                  <w:caps w:val="false"/>
                  <w:smallCaps w:val="false"/>
                  <w:sz w:val="20"/>
                </w:rPr>
                <w:t>Item 4.</w:t>
              </w:r>
            </w:hyperlink>
          </w:p>
        </w:tc>
        <w:tc>
          <w:tcPr>
            <w:tcW w:w="8853" w:type="dxa"/>
            <w:tcBorders/>
            <w:vAlign w:val="center"/>
          </w:tcPr>
          <w:p>
            <w:pPr>
              <w:pStyle w:val="TableContents"/>
              <w:bidi w:val="0"/>
              <w:spacing w:before="0" w:after="30"/>
              <w:ind w:left="0" w:right="0" w:hanging="0"/>
              <w:jc w:val="left"/>
              <w:rPr/>
            </w:pPr>
            <w:hyperlink w:anchor="Item4MineSafetyDisclosures_271149">
              <w:r>
                <w:rPr>
                  <w:rStyle w:val="InternetLink"/>
                  <w:rFonts w:ascii="Times New Roman;Times;serif" w:hAnsi="Times New Roman;Times;serif"/>
                  <w:b w:val="false"/>
                  <w:i w:val="false"/>
                  <w:caps w:val="false"/>
                  <w:smallCaps w:val="false"/>
                  <w:sz w:val="20"/>
                </w:rPr>
                <w:t>Mine Safety Disclosures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841" w:type="dxa"/>
            <w:tcBorders/>
            <w:vAlign w:val="center"/>
          </w:tcPr>
          <w:p>
            <w:pPr>
              <w:pStyle w:val="TableContents"/>
              <w:bidi w:val="0"/>
              <w:spacing w:before="0" w:after="30"/>
              <w:ind w:left="0" w:right="0" w:hanging="0"/>
              <w:jc w:val="left"/>
              <w:rPr/>
            </w:pPr>
            <w:hyperlink w:anchor="Item5OtherInformation_293388">
              <w:r>
                <w:rPr>
                  <w:rStyle w:val="InternetLink"/>
                  <w:rFonts w:ascii="Times New Roman;Times;serif" w:hAnsi="Times New Roman;Times;serif"/>
                  <w:b w:val="false"/>
                  <w:i w:val="false"/>
                  <w:caps w:val="false"/>
                  <w:smallCaps w:val="false"/>
                  <w:sz w:val="20"/>
                </w:rPr>
                <w:t>Item 5.</w:t>
              </w:r>
            </w:hyperlink>
          </w:p>
        </w:tc>
        <w:tc>
          <w:tcPr>
            <w:tcW w:w="8853" w:type="dxa"/>
            <w:tcBorders/>
            <w:vAlign w:val="center"/>
          </w:tcPr>
          <w:p>
            <w:pPr>
              <w:pStyle w:val="TableContents"/>
              <w:bidi w:val="0"/>
              <w:spacing w:before="0" w:after="30"/>
              <w:ind w:left="0" w:right="0" w:hanging="0"/>
              <w:jc w:val="left"/>
              <w:rPr/>
            </w:pPr>
            <w:hyperlink w:anchor="Item5OtherInformation_293388">
              <w:r>
                <w:rPr>
                  <w:rStyle w:val="InternetLink"/>
                  <w:rFonts w:ascii="Times New Roman;Times;serif" w:hAnsi="Times New Roman;Times;serif"/>
                  <w:b w:val="false"/>
                  <w:i w:val="false"/>
                  <w:caps w:val="false"/>
                  <w:smallCaps w:val="false"/>
                  <w:sz w:val="20"/>
                </w:rPr>
                <w:t>Other Information</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841" w:type="dxa"/>
            <w:tcBorders/>
            <w:vAlign w:val="center"/>
          </w:tcPr>
          <w:p>
            <w:pPr>
              <w:pStyle w:val="TableContents"/>
              <w:bidi w:val="0"/>
              <w:spacing w:before="0" w:after="30"/>
              <w:ind w:left="0" w:right="0" w:hanging="0"/>
              <w:jc w:val="left"/>
              <w:rPr/>
            </w:pPr>
            <w:hyperlink w:anchor="Item6Exhibits_331758">
              <w:r>
                <w:rPr>
                  <w:rStyle w:val="InternetLink"/>
                  <w:rFonts w:ascii="Times New Roman;Times;serif" w:hAnsi="Times New Roman;Times;serif"/>
                  <w:b w:val="false"/>
                  <w:i w:val="false"/>
                  <w:caps w:val="false"/>
                  <w:smallCaps w:val="false"/>
                  <w:sz w:val="20"/>
                </w:rPr>
                <w:t>Item 6.</w:t>
              </w:r>
            </w:hyperlink>
          </w:p>
        </w:tc>
        <w:tc>
          <w:tcPr>
            <w:tcW w:w="8853" w:type="dxa"/>
            <w:tcBorders/>
            <w:vAlign w:val="center"/>
          </w:tcPr>
          <w:p>
            <w:pPr>
              <w:pStyle w:val="TableContents"/>
              <w:bidi w:val="0"/>
              <w:spacing w:before="0" w:after="30"/>
              <w:ind w:left="0" w:right="0" w:hanging="0"/>
              <w:jc w:val="left"/>
              <w:rPr/>
            </w:pPr>
            <w:hyperlink w:anchor="Item6Exhibits_331758">
              <w:r>
                <w:rPr>
                  <w:rStyle w:val="InternetLink"/>
                  <w:rFonts w:ascii="Times New Roman;Times;serif" w:hAnsi="Times New Roman;Times;serif"/>
                  <w:b w:val="false"/>
                  <w:i w:val="false"/>
                  <w:caps w:val="false"/>
                  <w:smallCaps w:val="false"/>
                  <w:sz w:val="20"/>
                </w:rPr>
                <w:t>Exhibits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9694" w:type="dxa"/>
            <w:gridSpan w:val="2"/>
            <w:tcBorders/>
            <w:vAlign w:val="center"/>
          </w:tcPr>
          <w:p>
            <w:pPr>
              <w:pStyle w:val="TableContents"/>
              <w:bidi w:val="0"/>
              <w:spacing w:before="0" w:after="30"/>
              <w:ind w:left="0" w:right="0" w:hanging="0"/>
              <w:jc w:val="left"/>
              <w:rPr/>
            </w:pPr>
            <w:hyperlink w:anchor="SIGNATURES_913228">
              <w:r>
                <w:rPr>
                  <w:rStyle w:val="InternetLink"/>
                  <w:rFonts w:ascii="Times New Roman;Times;serif" w:hAnsi="Times New Roman;Times;serif"/>
                  <w:b/>
                  <w:i w:val="false"/>
                  <w:caps w:val="false"/>
                  <w:smallCaps w:val="false"/>
                  <w:sz w:val="20"/>
                </w:rPr>
                <w:t>SIGNATURES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1" w:name="PARTICONSOLIDATEDFINANCIALINFORMATION_20"/>
      <w:bookmarkStart w:id="42" w:name="_978708c7_2aef_47c6_ae17_0d093f1a8327"/>
      <w:bookmarkEnd w:id="41"/>
      <w:bookmarkEnd w:id="42"/>
      <w:r>
        <w:rPr>
          <w:rFonts w:ascii="Times New Roman;Times;serif" w:hAnsi="Times New Roman;Times;serif"/>
          <w:b/>
          <w:sz w:val="20"/>
        </w:rPr>
        <w:t>PART I. CONSOLIDATED FINANCIAL INFORMATION</w:t>
      </w:r>
    </w:p>
    <w:p>
      <w:pPr>
        <w:pStyle w:val="TextBody"/>
        <w:bidi w:val="0"/>
        <w:spacing w:before="0" w:after="0"/>
        <w:ind w:left="0" w:right="0" w:hanging="0"/>
        <w:jc w:val="left"/>
        <w:rPr>
          <w:rFonts w:ascii="Times New Roman;Times;serif" w:hAnsi="Times New Roman;Times;serif"/>
          <w:b/>
          <w:sz w:val="20"/>
        </w:rPr>
      </w:pPr>
      <w:bookmarkStart w:id="43" w:name="Item1FinancialStatements_702643"/>
      <w:bookmarkStart w:id="44" w:name="_Item_1._"/>
      <w:bookmarkEnd w:id="43"/>
      <w:bookmarkEnd w:id="44"/>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lineRule="auto" w:line="240" w:before="0" w:after="0"/>
        <w:ind w:left="0" w:right="0" w:hanging="0"/>
        <w:jc w:val="center"/>
        <w:rPr>
          <w:rFonts w:ascii="Times New Roman;Times;serif" w:hAnsi="Times New Roman;Times;serif"/>
          <w:sz w:val="20"/>
        </w:rPr>
      </w:pPr>
      <w:bookmarkStart w:id="45" w:name="ConsolidatedBalanceSheets1_589528"/>
      <w:bookmarkEnd w:id="45"/>
      <w:r>
        <w:rPr>
          <w:rFonts w:ascii="Times New Roman;Times;serif" w:hAnsi="Times New Roman;Times;serif"/>
          <w:b/>
          <w:sz w:val="20"/>
        </w:rPr>
        <w:t>Consolidated Balance Sheets</w:t>
      </w:r>
      <w:r>
        <w:rPr>
          <w:rFonts w:ascii="Times New Roman;Times;serif" w:hAnsi="Times New Roman;Times;serif"/>
          <w:b/>
          <w:sz w:val="15"/>
        </w:rPr>
        <w:t>(1)</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Normal"/>
        <w:bidi w:val="0"/>
        <w:spacing w:before="0" w:after="0"/>
        <w:jc w:val="left"/>
        <w:rPr>
          <w:sz w:val="4"/>
          <w:szCs w:val="4"/>
        </w:rPr>
      </w:pPr>
      <w:r>
        <w:rPr>
          <w:sz w:val="4"/>
          <w:szCs w:val="4"/>
        </w:rPr>
      </w:r>
      <w:bookmarkStart w:id="46" w:name="Tc__ONj65-A3UKz_53Lb3LT6w_38_5"/>
      <w:bookmarkStart w:id="47" w:name="Tc_EvtJ_PnWzUuaM5ofyaZMBA_38_2"/>
      <w:bookmarkStart w:id="48" w:name="Tc_4PyPsvcHpkuGJcT31bSbeg_38_0"/>
      <w:bookmarkStart w:id="49" w:name="Tc_F5T1f_ao6USoEK6Sp8bA5g_37_0"/>
      <w:bookmarkStart w:id="50" w:name="Tc_dxS66lb9d0Gv-JkiixCTug_36_0"/>
      <w:bookmarkStart w:id="51" w:name="Tc_1jYrHJ_mnEKAAHQzRXJTOA_35_0"/>
      <w:bookmarkStart w:id="52" w:name="Tc_GrNtEpmyCUGRKLNOHvy8QQ_34_0"/>
      <w:bookmarkStart w:id="53" w:name="Tc_KHfh2GMF6EyC1p4qTqLbUQ_33_0"/>
      <w:bookmarkStart w:id="54" w:name="Tc_Cua_ziwZDE6bFkyT_6XGtg_32_0"/>
      <w:bookmarkStart w:id="55" w:name="Tc_DVYT3VKPnkG_LC8FgC7NrQ_31_0"/>
      <w:bookmarkStart w:id="56" w:name="Tc_AjVB_pAh_EmMJPBHtJp4HA_30_0"/>
      <w:bookmarkStart w:id="57" w:name="Tc_B36hgFGivUySsvrJI-9PgQ_29_0"/>
      <w:bookmarkStart w:id="58" w:name="Tc_RX7BZ2g2HkG9YY_Xqebztw_28_0"/>
      <w:bookmarkStart w:id="59" w:name="Tc_MzjSFCR0KEyueXK7hjiy4Q_27_0"/>
      <w:bookmarkStart w:id="60" w:name="Tc_7vC8kTr3pUmxI8BJw-kbyQ_26_0"/>
      <w:bookmarkStart w:id="61" w:name="Tc_OswuZUWGpUO_HB5KcEUTKA_25_0"/>
      <w:bookmarkStart w:id="62" w:name="Tc_E607LLMTSUS6gdzUgTnQhw_24_5"/>
      <w:bookmarkStart w:id="63" w:name="Tc_1ofH8EkYR0mCmtwfu-5hqw_24_2"/>
      <w:bookmarkStart w:id="64" w:name="Tc_QjdxNFEPVEiv0PCCptx40g_24_0"/>
      <w:bookmarkStart w:id="65" w:name="Tc_RWpLdCYmikO1mAq6u7BWTw_23_0"/>
      <w:bookmarkStart w:id="66" w:name="Tc_vKYGwF_mh02_AuXWaGCKiQ_22_0"/>
      <w:bookmarkStart w:id="67" w:name="Tc_91juwZCvZ02PFUO_hOh_EQ_21_5"/>
      <w:bookmarkStart w:id="68" w:name="Tc_I0sx13QfqkGSUYrWCu2rmw_21_2"/>
      <w:bookmarkStart w:id="69" w:name="Tc_YhbZAOEb-kylXL2CzJpmag_21_0"/>
      <w:bookmarkStart w:id="70" w:name="Tc_pEC5R6Xif0qPpTL5ur-WwA_20_0"/>
      <w:bookmarkStart w:id="71" w:name="Tc_nPxBL0dOAUOH2jgHLMwJbw_19_0"/>
      <w:bookmarkStart w:id="72" w:name="Tc_FhyqI4EVX0yNtWgm4oA2_w_18_0"/>
      <w:bookmarkStart w:id="73" w:name="Tc_TYDkjKrBfEWy4RTgTpjQUg_17_0"/>
      <w:bookmarkStart w:id="74" w:name="Tc_I832q_t9zE6XkSO8AZsaGA_16_0"/>
      <w:bookmarkStart w:id="75" w:name="Tc_QIb1YJ_likGa4tX5E15Lcw_15_0"/>
      <w:bookmarkStart w:id="76" w:name="Tc_p1hTZCjLzEa5ug12BE-XXg_14_0"/>
      <w:bookmarkStart w:id="77" w:name="Tc_koxG2tbhWkCUKvtPe6N9IQ_13_6"/>
      <w:bookmarkStart w:id="78" w:name="Tc_2Rb0zD3y4UyYdD9SINpfpw_13_0"/>
      <w:bookmarkStart w:id="79" w:name="Tc_m-BKvWojf0u79HWxUfkNMw_12_0"/>
      <w:bookmarkStart w:id="80" w:name="Tc_E2ImqaAD-ESTZ-XTkCQZ7g_11_0"/>
      <w:bookmarkStart w:id="81" w:name="Tc_JVczHuvTY0Ks2XG7cZZ7pg_10_0"/>
      <w:bookmarkStart w:id="82" w:name="Tc_2W-Z_5dsuU6JnjZlJS27Yw_9_0"/>
      <w:bookmarkStart w:id="83" w:name="Tc_45LEJ6d5JUyfjhO5JMB3KQ_8_0"/>
      <w:bookmarkStart w:id="84" w:name="Tc_rjhTBu99oUKLGod5QnLlsw_7_0"/>
      <w:bookmarkStart w:id="85" w:name="Tc_mG4AaTa9JUObiFM5vl-jCw_6_0"/>
      <w:bookmarkStart w:id="86" w:name="Tc_yhxsV0j6lUSQTU9d3bUgOQ_5_0"/>
      <w:bookmarkStart w:id="87" w:name="Tc_mAlurScxYEC1Kv-S7Icuyw_4_5"/>
      <w:bookmarkStart w:id="88" w:name="Tc__L94aca8gUOpuLUV-CmPXA_4_2"/>
      <w:bookmarkStart w:id="89" w:name="Tc_Lb-W6kjHRki1NbQzrniXZg_4_0"/>
      <w:bookmarkStart w:id="90" w:name="Tc_0hsnWIoZcEyzUm9PQikRew_3_0"/>
      <w:bookmarkStart w:id="91" w:name="Tc_90Txb9E280it_HXjvaDpIw_2_5"/>
      <w:bookmarkStart w:id="92" w:name="Tc_rQaafbaP6kyMGyIpeGIBgg_2_2"/>
      <w:bookmarkStart w:id="93" w:name="Tc_es0kt5KeYU-jwYk_ROtA-w_1_5"/>
      <w:bookmarkStart w:id="94" w:name="Tc_cGTh76FOQ0euU2bDckw7xA_1_2"/>
      <w:bookmarkStart w:id="95" w:name="_fde6300a_1401_4e5c_bf46_da204e70b09f"/>
      <w:bookmarkStart w:id="96" w:name="Tc__ONj65-A3UKz_53Lb3LT6w_38_5"/>
      <w:bookmarkStart w:id="97" w:name="Tc_EvtJ_PnWzUuaM5ofyaZMBA_38_2"/>
      <w:bookmarkStart w:id="98" w:name="Tc_4PyPsvcHpkuGJcT31bSbeg_38_0"/>
      <w:bookmarkStart w:id="99" w:name="Tc_F5T1f_ao6USoEK6Sp8bA5g_37_0"/>
      <w:bookmarkStart w:id="100" w:name="Tc_dxS66lb9d0Gv-JkiixCTug_36_0"/>
      <w:bookmarkStart w:id="101" w:name="Tc_1jYrHJ_mnEKAAHQzRXJTOA_35_0"/>
      <w:bookmarkStart w:id="102" w:name="Tc_GrNtEpmyCUGRKLNOHvy8QQ_34_0"/>
      <w:bookmarkStart w:id="103" w:name="Tc_KHfh2GMF6EyC1p4qTqLbUQ_33_0"/>
      <w:bookmarkStart w:id="104" w:name="Tc_Cua_ziwZDE6bFkyT_6XGtg_32_0"/>
      <w:bookmarkStart w:id="105" w:name="Tc_DVYT3VKPnkG_LC8FgC7NrQ_31_0"/>
      <w:bookmarkStart w:id="106" w:name="Tc_AjVB_pAh_EmMJPBHtJp4HA_30_0"/>
      <w:bookmarkStart w:id="107" w:name="Tc_B36hgFGivUySsvrJI-9PgQ_29_0"/>
      <w:bookmarkStart w:id="108" w:name="Tc_RX7BZ2g2HkG9YY_Xqebztw_28_0"/>
      <w:bookmarkStart w:id="109" w:name="Tc_MzjSFCR0KEyueXK7hjiy4Q_27_0"/>
      <w:bookmarkStart w:id="110" w:name="Tc_7vC8kTr3pUmxI8BJw-kbyQ_26_0"/>
      <w:bookmarkStart w:id="111" w:name="Tc_OswuZUWGpUO_HB5KcEUTKA_25_0"/>
      <w:bookmarkStart w:id="112" w:name="Tc_E607LLMTSUS6gdzUgTnQhw_24_5"/>
      <w:bookmarkStart w:id="113" w:name="Tc_1ofH8EkYR0mCmtwfu-5hqw_24_2"/>
      <w:bookmarkStart w:id="114" w:name="Tc_QjdxNFEPVEiv0PCCptx40g_24_0"/>
      <w:bookmarkStart w:id="115" w:name="Tc_RWpLdCYmikO1mAq6u7BWTw_23_0"/>
      <w:bookmarkStart w:id="116" w:name="Tc_vKYGwF_mh02_AuXWaGCKiQ_22_0"/>
      <w:bookmarkStart w:id="117" w:name="Tc_91juwZCvZ02PFUO_hOh_EQ_21_5"/>
      <w:bookmarkStart w:id="118" w:name="Tc_I0sx13QfqkGSUYrWCu2rmw_21_2"/>
      <w:bookmarkStart w:id="119" w:name="Tc_YhbZAOEb-kylXL2CzJpmag_21_0"/>
      <w:bookmarkStart w:id="120" w:name="Tc_pEC5R6Xif0qPpTL5ur-WwA_20_0"/>
      <w:bookmarkStart w:id="121" w:name="Tc_nPxBL0dOAUOH2jgHLMwJbw_19_0"/>
      <w:bookmarkStart w:id="122" w:name="Tc_FhyqI4EVX0yNtWgm4oA2_w_18_0"/>
      <w:bookmarkStart w:id="123" w:name="Tc_TYDkjKrBfEWy4RTgTpjQUg_17_0"/>
      <w:bookmarkStart w:id="124" w:name="Tc_I832q_t9zE6XkSO8AZsaGA_16_0"/>
      <w:bookmarkStart w:id="125" w:name="Tc_QIb1YJ_likGa4tX5E15Lcw_15_0"/>
      <w:bookmarkStart w:id="126" w:name="Tc_p1hTZCjLzEa5ug12BE-XXg_14_0"/>
      <w:bookmarkStart w:id="127" w:name="Tc_koxG2tbhWkCUKvtPe6N9IQ_13_6"/>
      <w:bookmarkStart w:id="128" w:name="Tc_2Rb0zD3y4UyYdD9SINpfpw_13_0"/>
      <w:bookmarkStart w:id="129" w:name="Tc_m-BKvWojf0u79HWxUfkNMw_12_0"/>
      <w:bookmarkStart w:id="130" w:name="Tc_E2ImqaAD-ESTZ-XTkCQZ7g_11_0"/>
      <w:bookmarkStart w:id="131" w:name="Tc_JVczHuvTY0Ks2XG7cZZ7pg_10_0"/>
      <w:bookmarkStart w:id="132" w:name="Tc_2W-Z_5dsuU6JnjZlJS27Yw_9_0"/>
      <w:bookmarkStart w:id="133" w:name="Tc_45LEJ6d5JUyfjhO5JMB3KQ_8_0"/>
      <w:bookmarkStart w:id="134" w:name="Tc_rjhTBu99oUKLGod5QnLlsw_7_0"/>
      <w:bookmarkStart w:id="135" w:name="Tc_mG4AaTa9JUObiFM5vl-jCw_6_0"/>
      <w:bookmarkStart w:id="136" w:name="Tc_yhxsV0j6lUSQTU9d3bUgOQ_5_0"/>
      <w:bookmarkStart w:id="137" w:name="Tc_mAlurScxYEC1Kv-S7Icuyw_4_5"/>
      <w:bookmarkStart w:id="138" w:name="Tc__L94aca8gUOpuLUV-CmPXA_4_2"/>
      <w:bookmarkStart w:id="139" w:name="Tc_Lb-W6kjHRki1NbQzrniXZg_4_0"/>
      <w:bookmarkStart w:id="140" w:name="Tc_0hsnWIoZcEyzUm9PQikRew_3_0"/>
      <w:bookmarkStart w:id="141" w:name="Tc_90Txb9E280it_HXjvaDpIw_2_5"/>
      <w:bookmarkStart w:id="142" w:name="Tc_rQaafbaP6kyMGyIpeGIBgg_2_2"/>
      <w:bookmarkStart w:id="143" w:name="Tc_es0kt5KeYU-jwYk_ROtA-w_1_5"/>
      <w:bookmarkStart w:id="144" w:name="Tc_cGTh76FOQ0euU2bDckw7xA_1_2"/>
      <w:bookmarkStart w:id="145" w:name="_fde6300a_1401_4e5c_bf46_da204e70b09f"/>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p>
    <w:tbl>
      <w:tblPr>
        <w:tblW w:w="10205" w:type="dxa"/>
        <w:jc w:val="left"/>
        <w:tblInd w:w="0" w:type="dxa"/>
        <w:tblLayout w:type="fixed"/>
        <w:tblCellMar>
          <w:top w:w="0" w:type="dxa"/>
          <w:left w:w="0" w:type="dxa"/>
          <w:bottom w:w="0" w:type="dxa"/>
          <w:right w:w="0" w:type="dxa"/>
        </w:tblCellMar>
      </w:tblPr>
      <w:tblGrid>
        <w:gridCol w:w="7396"/>
        <w:gridCol w:w="326"/>
        <w:gridCol w:w="196"/>
        <w:gridCol w:w="826"/>
        <w:gridCol w:w="326"/>
        <w:gridCol w:w="197"/>
        <w:gridCol w:w="938"/>
      </w:tblGrid>
      <w:tr>
        <w:trPr/>
        <w:tc>
          <w:tcPr>
            <w:tcW w:w="7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696460" cy="175260"/>
                      <wp:effectExtent l="0" t="0" r="0" b="0"/>
                      <wp:wrapNone/>
                      <wp:docPr id="30" name="Frame30"/>
                      <a:graphic xmlns:a="http://schemas.openxmlformats.org/drawingml/2006/main">
                        <a:graphicData uri="http://schemas.microsoft.com/office/word/2010/wordprocessingShape">
                          <wps:wsp>
                            <wps:cNvSpPr txBox="1"/>
                            <wps:spPr>
                              <a:xfrm>
                                <a:off x="0" y="0"/>
                                <a:ext cx="4696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24460" cy="175260"/>
                      <wp:effectExtent l="0" t="0" r="0" b="0"/>
                      <wp:wrapNone/>
                      <wp:docPr id="32" name="Frame3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24510" cy="175260"/>
                      <wp:effectExtent l="0" t="0" r="0" b="0"/>
                      <wp:wrapNone/>
                      <wp:docPr id="33" name="Frame3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4"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25095" cy="175260"/>
                      <wp:effectExtent l="0" t="0" r="0" b="0"/>
                      <wp:wrapNone/>
                      <wp:docPr id="35" name="Frame35"/>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95630" cy="175260"/>
                      <wp:effectExtent l="0" t="0" r="0" b="0"/>
                      <wp:wrapNone/>
                      <wp:docPr id="36" name="Frame36"/>
                      <a:graphic xmlns:a="http://schemas.openxmlformats.org/drawingml/2006/main">
                        <a:graphicData uri="http://schemas.microsoft.com/office/word/2010/wordprocessingShape">
                          <wps:wsp>
                            <wps:cNvSpPr txBox="1"/>
                            <wps:spPr>
                              <a:xfrm>
                                <a:off x="0" y="0"/>
                                <a:ext cx="595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3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center"/>
              <w:rPr/>
            </w:pPr>
            <w:r>
              <w:rPr/>
              <w:t>​</w:t>
            </w:r>
          </w:p>
        </w:tc>
        <w:tc>
          <w:tcPr>
            <w:tcW w:w="113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73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3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97" w:type="dxa"/>
            <w:tcBorders/>
            <w:shd w:fill="CCEEFF" w:val="clear"/>
            <w:vAlign w:val="center"/>
          </w:tcPr>
          <w:p>
            <w:pPr>
              <w:pStyle w:val="TableContents"/>
              <w:bidi w:val="0"/>
              <w:spacing w:before="0" w:after="1"/>
              <w:ind w:left="0" w:right="0" w:hanging="0"/>
              <w:jc w:val="left"/>
              <w:rPr/>
            </w:pPr>
            <w:r>
              <w:rPr/>
              <w:t>​</w:t>
            </w:r>
          </w:p>
        </w:tc>
        <w:tc>
          <w:tcPr>
            <w:tcW w:w="938" w:type="dxa"/>
            <w:tcBorders/>
            <w:shd w:fill="CCEEFF" w:val="clear"/>
            <w:vAlign w:val="center"/>
          </w:tcPr>
          <w:p>
            <w:pPr>
              <w:pStyle w:val="TableContents"/>
              <w:bidi w:val="0"/>
              <w:spacing w:before="0" w:after="1"/>
              <w:ind w:left="0" w:right="0" w:hanging="0"/>
              <w:jc w:val="right"/>
              <w:rPr/>
            </w:pPr>
            <w:r>
              <w:rPr/>
              <w:t>  </w:t>
            </w:r>
          </w:p>
        </w:tc>
      </w:tr>
      <w:tr>
        <w:trPr/>
        <w:tc>
          <w:tcPr>
            <w:tcW w:w="73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investment in sales-type leases ($8,330 and $6,821 of allowances as of June 30, 2025 and December 31, 2024, respectively)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3,511,257</w:t>
            </w:r>
          </w:p>
        </w:tc>
        <w:tc>
          <w:tcPr>
            <w:tcW w:w="3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3,454,953</w:t>
            </w:r>
          </w:p>
        </w:tc>
      </w:tr>
      <w:tr>
        <w:trPr/>
        <w:tc>
          <w:tcPr>
            <w:tcW w:w="73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Ground Lease receivables, net ($5,590 and $3,664 of allowances as of June 30, 2025 and December 31, 2024, respectively)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1,903,883</w:t>
            </w:r>
          </w:p>
        </w:tc>
        <w:tc>
          <w:tcPr>
            <w:tcW w:w="3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9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1,833,398</w:t>
            </w:r>
          </w:p>
        </w:tc>
      </w:tr>
      <w:tr>
        <w:trPr/>
        <w:tc>
          <w:tcPr>
            <w:tcW w:w="73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Real estate</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197" w:type="dxa"/>
            <w:tcBorders/>
            <w:vAlign w:val="center"/>
          </w:tcPr>
          <w:p>
            <w:pPr>
              <w:pStyle w:val="TableContents"/>
              <w:bidi w:val="0"/>
              <w:spacing w:before="0" w:after="1"/>
              <w:ind w:left="0" w:right="0" w:hanging="0"/>
              <w:jc w:val="left"/>
              <w:rPr/>
            </w:pPr>
            <w:r>
              <w:rPr/>
              <w:t>​</w:t>
            </w:r>
          </w:p>
        </w:tc>
        <w:tc>
          <w:tcPr>
            <w:tcW w:w="938" w:type="dxa"/>
            <w:tcBorders/>
            <w:vAlign w:val="center"/>
          </w:tcPr>
          <w:p>
            <w:pPr>
              <w:pStyle w:val="TableContents"/>
              <w:bidi w:val="0"/>
              <w:spacing w:before="0" w:after="1"/>
              <w:ind w:left="0" w:right="0" w:hanging="0"/>
              <w:jc w:val="right"/>
              <w:rPr/>
            </w:pPr>
            <w:r>
              <w:rPr/>
              <w:t>  </w:t>
            </w:r>
          </w:p>
        </w:tc>
      </w:tr>
      <w:tr>
        <w:trPr/>
        <w:tc>
          <w:tcPr>
            <w:tcW w:w="73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Real estate, at cost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740,971</w:t>
            </w:r>
          </w:p>
        </w:tc>
        <w:tc>
          <w:tcPr>
            <w:tcW w:w="3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9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740,971</w:t>
            </w:r>
          </w:p>
        </w:tc>
      </w:tr>
      <w:tr>
        <w:trPr/>
        <w:tc>
          <w:tcPr>
            <w:tcW w:w="73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Less: accumulated depreciation</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(49,373)</w:t>
            </w:r>
          </w:p>
        </w:tc>
        <w:tc>
          <w:tcPr>
            <w:tcW w:w="326" w:type="dxa"/>
            <w:tcBorders/>
            <w:vAlign w:val="center"/>
          </w:tcPr>
          <w:p>
            <w:pPr>
              <w:pStyle w:val="TableContents"/>
              <w:bidi w:val="0"/>
              <w:spacing w:before="0" w:after="1"/>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(46,428)</w:t>
            </w:r>
          </w:p>
        </w:tc>
      </w:tr>
      <w:tr>
        <w:trPr/>
        <w:tc>
          <w:tcPr>
            <w:tcW w:w="73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Real estate,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691,598</w:t>
            </w:r>
          </w:p>
        </w:tc>
        <w:tc>
          <w:tcPr>
            <w:tcW w:w="3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9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694,543</w:t>
            </w:r>
          </w:p>
        </w:tc>
      </w:tr>
      <w:tr>
        <w:trPr/>
        <w:tc>
          <w:tcPr>
            <w:tcW w:w="73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Real estate-related intangible assets, net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206,782</w:t>
            </w:r>
          </w:p>
        </w:tc>
        <w:tc>
          <w:tcPr>
            <w:tcW w:w="3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9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208,731</w:t>
            </w:r>
          </w:p>
        </w:tc>
      </w:tr>
      <w:tr>
        <w:trPr/>
        <w:tc>
          <w:tcPr>
            <w:tcW w:w="73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Real estate available and held for sale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5,187</w:t>
            </w:r>
          </w:p>
        </w:tc>
        <w:tc>
          <w:tcPr>
            <w:tcW w:w="326" w:type="dxa"/>
            <w:tcBorders/>
            <w:shd w:fill="CCEEFF" w:val="clear"/>
            <w:vAlign w:val="center"/>
          </w:tcPr>
          <w:p>
            <w:pPr>
              <w:pStyle w:val="TableContents"/>
              <w:bidi w:val="0"/>
              <w:spacing w:before="0" w:after="1"/>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7,233</w:t>
            </w:r>
          </w:p>
        </w:tc>
      </w:tr>
      <w:tr>
        <w:trPr/>
        <w:tc>
          <w:tcPr>
            <w:tcW w:w="73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real estate, net and real estate-related intangible assets, net and real estate available and held for sale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903,567</w:t>
            </w:r>
          </w:p>
        </w:tc>
        <w:tc>
          <w:tcPr>
            <w:tcW w:w="3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9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910,507</w:t>
            </w:r>
          </w:p>
        </w:tc>
      </w:tr>
      <w:tr>
        <w:trPr/>
        <w:tc>
          <w:tcPr>
            <w:tcW w:w="73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Loans receivable, net ($289 of allowances as of June 30, 2025)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43,301</w:t>
            </w:r>
          </w:p>
        </w:tc>
        <w:tc>
          <w:tcPr>
            <w:tcW w:w="3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938" w:type="dxa"/>
            <w:tcBorders/>
            <w:shd w:fill="CCEEFF" w:val="clear"/>
            <w:vAlign w:val="center"/>
          </w:tcPr>
          <w:p>
            <w:pPr>
              <w:pStyle w:val="TableContents"/>
              <w:bidi w:val="0"/>
              <w:spacing w:before="0" w:after="1"/>
              <w:ind w:left="0" w:right="0" w:hanging="0"/>
              <w:jc w:val="right"/>
              <w:rPr/>
            </w:pPr>
            <w:r>
              <w:rPr/>
              <w:t>—</w:t>
            </w:r>
          </w:p>
        </w:tc>
      </w:tr>
      <w:tr>
        <w:trPr/>
        <w:tc>
          <w:tcPr>
            <w:tcW w:w="73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Loans receivable, net - related party ($2,215 and $2,311 of allowances as of June 30, 2025 and December 31, 2024, respectively)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112,533</w:t>
            </w:r>
          </w:p>
        </w:tc>
        <w:tc>
          <w:tcPr>
            <w:tcW w:w="3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9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112,359</w:t>
            </w:r>
          </w:p>
        </w:tc>
      </w:tr>
      <w:tr>
        <w:trPr/>
        <w:tc>
          <w:tcPr>
            <w:tcW w:w="73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Equity investments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261,107</w:t>
            </w:r>
          </w:p>
        </w:tc>
        <w:tc>
          <w:tcPr>
            <w:tcW w:w="3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9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250,034</w:t>
            </w:r>
          </w:p>
        </w:tc>
      </w:tr>
      <w:tr>
        <w:trPr/>
        <w:tc>
          <w:tcPr>
            <w:tcW w:w="73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13,907</w:t>
            </w:r>
          </w:p>
        </w:tc>
        <w:tc>
          <w:tcPr>
            <w:tcW w:w="3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9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8,346</w:t>
            </w:r>
          </w:p>
        </w:tc>
      </w:tr>
      <w:tr>
        <w:trPr/>
        <w:tc>
          <w:tcPr>
            <w:tcW w:w="73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9,030</w:t>
            </w:r>
          </w:p>
        </w:tc>
        <w:tc>
          <w:tcPr>
            <w:tcW w:w="3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9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8,772</w:t>
            </w:r>
          </w:p>
        </w:tc>
      </w:tr>
      <w:tr>
        <w:trPr/>
        <w:tc>
          <w:tcPr>
            <w:tcW w:w="73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tax asset, net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3,669</w:t>
            </w:r>
          </w:p>
        </w:tc>
        <w:tc>
          <w:tcPr>
            <w:tcW w:w="3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9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5,222</w:t>
            </w:r>
          </w:p>
        </w:tc>
      </w:tr>
      <w:tr>
        <w:trPr/>
        <w:tc>
          <w:tcPr>
            <w:tcW w:w="73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operating lease income receivable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225,978</w:t>
            </w:r>
          </w:p>
        </w:tc>
        <w:tc>
          <w:tcPr>
            <w:tcW w:w="3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9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210,773</w:t>
            </w:r>
          </w:p>
        </w:tc>
      </w:tr>
      <w:tr>
        <w:trPr/>
        <w:tc>
          <w:tcPr>
            <w:tcW w:w="7396"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Deferred expenses and other assets, net</w:t>
            </w:r>
            <w:r>
              <w:rPr>
                <w:rFonts w:ascii="Times New Roman;Times;serif" w:hAnsi="Times New Roman;Times;serif"/>
                <w:sz w:val="12"/>
              </w:rPr>
              <w:t>(2)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74,926</w:t>
            </w:r>
          </w:p>
        </w:tc>
        <w:tc>
          <w:tcPr>
            <w:tcW w:w="326" w:type="dxa"/>
            <w:tcBorders/>
            <w:vAlign w:val="center"/>
          </w:tcPr>
          <w:p>
            <w:pPr>
              <w:pStyle w:val="TableContents"/>
              <w:bidi w:val="0"/>
              <w:spacing w:before="0" w:after="1"/>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105,015</w:t>
            </w:r>
          </w:p>
        </w:tc>
      </w:tr>
      <w:tr>
        <w:trPr/>
        <w:tc>
          <w:tcPr>
            <w:tcW w:w="73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7,063,158</w:t>
            </w:r>
          </w:p>
        </w:tc>
        <w:tc>
          <w:tcPr>
            <w:tcW w:w="326" w:type="dxa"/>
            <w:tcBorders/>
            <w:shd w:fill="CCEEFF" w:val="clear"/>
            <w:vAlign w:val="center"/>
          </w:tcPr>
          <w:p>
            <w:pPr>
              <w:pStyle w:val="TableContents"/>
              <w:bidi w:val="0"/>
              <w:spacing w:before="0" w:after="1"/>
              <w:ind w:left="0" w:right="0" w:hanging="0"/>
              <w:jc w:val="left"/>
              <w:rPr/>
            </w:pPr>
            <w:r>
              <w:rPr/>
              <w:t>​</w:t>
            </w:r>
          </w:p>
        </w:tc>
        <w:tc>
          <w:tcPr>
            <w:tcW w:w="1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3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6,899,379</w:t>
            </w:r>
          </w:p>
        </w:tc>
      </w:tr>
      <w:tr>
        <w:trPr/>
        <w:tc>
          <w:tcPr>
            <w:tcW w:w="73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LIABILITIES AND EQUITY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938" w:type="dxa"/>
            <w:tcBorders/>
            <w:vAlign w:val="center"/>
          </w:tcPr>
          <w:p>
            <w:pPr>
              <w:pStyle w:val="TableContents"/>
              <w:bidi w:val="0"/>
              <w:spacing w:before="0" w:after="1"/>
              <w:ind w:left="0" w:right="0" w:hanging="0"/>
              <w:jc w:val="right"/>
              <w:rPr/>
            </w:pPr>
            <w:r>
              <w:rPr/>
              <w:t>  </w:t>
            </w:r>
          </w:p>
        </w:tc>
      </w:tr>
      <w:tr>
        <w:trPr/>
        <w:tc>
          <w:tcPr>
            <w:tcW w:w="73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938" w:type="dxa"/>
            <w:tcBorders/>
            <w:shd w:fill="CCEEFF" w:val="clear"/>
            <w:vAlign w:val="center"/>
          </w:tcPr>
          <w:p>
            <w:pPr>
              <w:pStyle w:val="TableContents"/>
              <w:bidi w:val="0"/>
              <w:spacing w:before="0" w:after="1"/>
              <w:ind w:left="0" w:right="0" w:hanging="0"/>
              <w:jc w:val="right"/>
              <w:rPr/>
            </w:pPr>
            <w:r>
              <w:rPr/>
              <w:t>  </w:t>
            </w:r>
          </w:p>
        </w:tc>
      </w:tr>
      <w:tr>
        <w:trPr/>
        <w:tc>
          <w:tcPr>
            <w:tcW w:w="73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 accrued expenses and other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152,174</w:t>
            </w:r>
          </w:p>
        </w:tc>
        <w:tc>
          <w:tcPr>
            <w:tcW w:w="3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144,991</w:t>
            </w:r>
          </w:p>
        </w:tc>
      </w:tr>
      <w:tr>
        <w:trPr/>
        <w:tc>
          <w:tcPr>
            <w:tcW w:w="73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Real estate-related intangible liabilities, net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62,505</w:t>
            </w:r>
          </w:p>
        </w:tc>
        <w:tc>
          <w:tcPr>
            <w:tcW w:w="3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9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62,922</w:t>
            </w:r>
          </w:p>
        </w:tc>
      </w:tr>
      <w:tr>
        <w:trPr/>
        <w:tc>
          <w:tcPr>
            <w:tcW w:w="73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Debt obligations, net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4,444,412</w:t>
            </w:r>
          </w:p>
        </w:tc>
        <w:tc>
          <w:tcPr>
            <w:tcW w:w="326" w:type="dxa"/>
            <w:tcBorders/>
            <w:vAlign w:val="center"/>
          </w:tcPr>
          <w:p>
            <w:pPr>
              <w:pStyle w:val="TableContents"/>
              <w:bidi w:val="0"/>
              <w:spacing w:before="0" w:after="1"/>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4,317,439</w:t>
            </w:r>
          </w:p>
        </w:tc>
      </w:tr>
      <w:tr>
        <w:trPr/>
        <w:tc>
          <w:tcPr>
            <w:tcW w:w="73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4,659,091</w:t>
            </w:r>
          </w:p>
        </w:tc>
        <w:tc>
          <w:tcPr>
            <w:tcW w:w="326" w:type="dxa"/>
            <w:tcBorders/>
            <w:shd w:fill="CCEEFF" w:val="clear"/>
            <w:vAlign w:val="center"/>
          </w:tcPr>
          <w:p>
            <w:pPr>
              <w:pStyle w:val="TableContents"/>
              <w:bidi w:val="0"/>
              <w:spacing w:before="0" w:after="1"/>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4,525,352</w:t>
            </w:r>
          </w:p>
        </w:tc>
      </w:tr>
      <w:tr>
        <w:trPr/>
        <w:tc>
          <w:tcPr>
            <w:tcW w:w="73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Commitments and contingencies (refer to Note 11)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938" w:type="dxa"/>
            <w:tcBorders/>
            <w:vAlign w:val="center"/>
          </w:tcPr>
          <w:p>
            <w:pPr>
              <w:pStyle w:val="TableContents"/>
              <w:bidi w:val="0"/>
              <w:spacing w:before="0" w:after="1"/>
              <w:ind w:left="0" w:right="0" w:hanging="0"/>
              <w:jc w:val="right"/>
              <w:rPr/>
            </w:pPr>
            <w:r>
              <w:rPr/>
              <w:t>  </w:t>
            </w:r>
          </w:p>
        </w:tc>
      </w:tr>
      <w:tr>
        <w:trPr/>
        <w:tc>
          <w:tcPr>
            <w:tcW w:w="73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Equity: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938" w:type="dxa"/>
            <w:tcBorders/>
            <w:shd w:fill="CCEEFF" w:val="clear"/>
            <w:vAlign w:val="center"/>
          </w:tcPr>
          <w:p>
            <w:pPr>
              <w:pStyle w:val="TableContents"/>
              <w:bidi w:val="0"/>
              <w:spacing w:before="0" w:after="1"/>
              <w:ind w:left="0" w:right="0" w:hanging="0"/>
              <w:jc w:val="right"/>
              <w:rPr/>
            </w:pPr>
            <w:r>
              <w:rPr/>
              <w:t>  </w:t>
            </w:r>
          </w:p>
        </w:tc>
      </w:tr>
      <w:tr>
        <w:trPr/>
        <w:tc>
          <w:tcPr>
            <w:tcW w:w="73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Safehold Inc. shareholders' equity: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938" w:type="dxa"/>
            <w:tcBorders/>
            <w:vAlign w:val="center"/>
          </w:tcPr>
          <w:p>
            <w:pPr>
              <w:pStyle w:val="TableContents"/>
              <w:bidi w:val="0"/>
              <w:spacing w:before="0" w:after="1"/>
              <w:ind w:left="0" w:right="0" w:hanging="0"/>
              <w:jc w:val="right"/>
              <w:rPr/>
            </w:pPr>
            <w:r>
              <w:rPr/>
              <w:t>  </w:t>
            </w:r>
          </w:p>
        </w:tc>
      </w:tr>
      <w:tr>
        <w:trPr/>
        <w:tc>
          <w:tcPr>
            <w:tcW w:w="7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6"/>
              </w:rPr>
              <w:t>Common stock, $0.01</w:t>
            </w:r>
            <w:r>
              <w:rPr>
                <w:rFonts w:ascii="Times New Roman;Times;serif" w:hAnsi="Times New Roman;Times;serif"/>
                <w:sz w:val="20"/>
              </w:rPr>
              <w:t xml:space="preserve"> </w:t>
            </w:r>
            <w:r>
              <w:rPr>
                <w:rFonts w:ascii="Times New Roman;Times;serif" w:hAnsi="Times New Roman;Times;serif"/>
                <w:sz w:val="16"/>
              </w:rPr>
              <w:t>par value, 400,000</w:t>
            </w:r>
            <w:r>
              <w:rPr>
                <w:rFonts w:ascii="Times New Roman;Times;serif" w:hAnsi="Times New Roman;Times;serif"/>
                <w:sz w:val="20"/>
              </w:rPr>
              <w:t xml:space="preserve"> </w:t>
            </w:r>
            <w:r>
              <w:rPr>
                <w:rFonts w:ascii="Times New Roman;Times;serif" w:hAnsi="Times New Roman;Times;serif"/>
                <w:sz w:val="16"/>
              </w:rPr>
              <w:t>shares authorized, 71,756</w:t>
            </w:r>
            <w:r>
              <w:rPr>
                <w:rFonts w:ascii="Times New Roman;Times;serif" w:hAnsi="Times New Roman;Times;serif"/>
                <w:sz w:val="20"/>
              </w:rPr>
              <w:t xml:space="preserve"> </w:t>
            </w:r>
            <w:r>
              <w:rPr>
                <w:rFonts w:ascii="Times New Roman;Times;serif" w:hAnsi="Times New Roman;Times;serif"/>
                <w:sz w:val="16"/>
              </w:rPr>
              <w:t>and 71,440</w:t>
            </w:r>
            <w:r>
              <w:rPr>
                <w:rFonts w:ascii="Times New Roman;Times;serif" w:hAnsi="Times New Roman;Times;serif"/>
                <w:sz w:val="20"/>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20"/>
              </w:rPr>
              <w:t xml:space="preserve"> </w:t>
            </w:r>
            <w:r>
              <w:rPr>
                <w:rFonts w:ascii="Times New Roman;Times;serif" w:hAnsi="Times New Roman;Times;serif"/>
                <w:sz w:val="16"/>
              </w:rPr>
              <w:t>as of June 30, 2025 and December 31, 2024, respectively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717</w:t>
            </w:r>
          </w:p>
        </w:tc>
        <w:tc>
          <w:tcPr>
            <w:tcW w:w="3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9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714</w:t>
            </w:r>
          </w:p>
        </w:tc>
      </w:tr>
      <w:tr>
        <w:trPr/>
        <w:tc>
          <w:tcPr>
            <w:tcW w:w="73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2,196,759</w:t>
            </w:r>
          </w:p>
        </w:tc>
        <w:tc>
          <w:tcPr>
            <w:tcW w:w="3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9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2,191,840</w:t>
            </w:r>
          </w:p>
        </w:tc>
      </w:tr>
      <w:tr>
        <w:trPr/>
        <w:tc>
          <w:tcPr>
            <w:tcW w:w="73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Retained earnings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134,186</w:t>
            </w:r>
          </w:p>
        </w:tc>
        <w:tc>
          <w:tcPr>
            <w:tcW w:w="3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9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102,472</w:t>
            </w:r>
          </w:p>
        </w:tc>
      </w:tr>
      <w:tr>
        <w:trPr/>
        <w:tc>
          <w:tcPr>
            <w:tcW w:w="73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other comprehensive income (loss)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41,730</w:t>
            </w:r>
          </w:p>
        </w:tc>
        <w:tc>
          <w:tcPr>
            <w:tcW w:w="326" w:type="dxa"/>
            <w:tcBorders/>
            <w:vAlign w:val="center"/>
          </w:tcPr>
          <w:p>
            <w:pPr>
              <w:pStyle w:val="TableContents"/>
              <w:bidi w:val="0"/>
              <w:spacing w:before="0" w:after="1"/>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48,992</w:t>
            </w:r>
          </w:p>
        </w:tc>
      </w:tr>
      <w:tr>
        <w:trPr/>
        <w:tc>
          <w:tcPr>
            <w:tcW w:w="73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Safehold Inc. shareholders'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2,373,392</w:t>
            </w:r>
          </w:p>
        </w:tc>
        <w:tc>
          <w:tcPr>
            <w:tcW w:w="3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9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2,344,018</w:t>
            </w:r>
          </w:p>
        </w:tc>
      </w:tr>
      <w:tr>
        <w:trPr/>
        <w:tc>
          <w:tcPr>
            <w:tcW w:w="73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Noncontrolling interests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30,675</w:t>
            </w:r>
          </w:p>
        </w:tc>
        <w:tc>
          <w:tcPr>
            <w:tcW w:w="326" w:type="dxa"/>
            <w:tcBorders/>
            <w:vAlign w:val="center"/>
          </w:tcPr>
          <w:p>
            <w:pPr>
              <w:pStyle w:val="TableContents"/>
              <w:bidi w:val="0"/>
              <w:spacing w:before="0" w:after="1"/>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30,009</w:t>
            </w:r>
          </w:p>
        </w:tc>
      </w:tr>
      <w:tr>
        <w:trPr/>
        <w:tc>
          <w:tcPr>
            <w:tcW w:w="73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equity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2,404,067</w:t>
            </w:r>
          </w:p>
        </w:tc>
        <w:tc>
          <w:tcPr>
            <w:tcW w:w="326" w:type="dxa"/>
            <w:tcBorders/>
            <w:shd w:fill="CCEEFF" w:val="clear"/>
            <w:vAlign w:val="center"/>
          </w:tcPr>
          <w:p>
            <w:pPr>
              <w:pStyle w:val="TableContents"/>
              <w:bidi w:val="0"/>
              <w:spacing w:before="0" w:after="1"/>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2,374,027</w:t>
            </w:r>
          </w:p>
        </w:tc>
      </w:tr>
      <w:tr>
        <w:trPr/>
        <w:tc>
          <w:tcPr>
            <w:tcW w:w="73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 and equity</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7,063,158</w:t>
            </w:r>
          </w:p>
        </w:tc>
        <w:tc>
          <w:tcPr>
            <w:tcW w:w="326" w:type="dxa"/>
            <w:tcBorders/>
            <w:vAlign w:val="center"/>
          </w:tcPr>
          <w:p>
            <w:pPr>
              <w:pStyle w:val="TableContents"/>
              <w:bidi w:val="0"/>
              <w:spacing w:before="0" w:after="1"/>
              <w:ind w:left="0" w:right="0" w:hanging="0"/>
              <w:jc w:val="left"/>
              <w:rPr/>
            </w:pPr>
            <w:r>
              <w:rPr/>
              <w:t>​</w:t>
            </w:r>
          </w:p>
        </w:tc>
        <w:tc>
          <w:tcPr>
            <w:tcW w:w="19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3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6,899,379</w:t>
            </w:r>
          </w:p>
        </w:tc>
      </w:tr>
    </w:tbl>
    <w:tbl>
      <w:tblPr>
        <w:tblW w:w="6887" w:type="dxa"/>
        <w:jc w:val="left"/>
        <w:tblInd w:w="0" w:type="dxa"/>
        <w:tblLayout w:type="fixed"/>
        <w:tblCellMar>
          <w:top w:w="0" w:type="dxa"/>
          <w:left w:w="0" w:type="dxa"/>
          <w:bottom w:w="0" w:type="dxa"/>
          <w:right w:w="0" w:type="dxa"/>
        </w:tblCellMar>
      </w:tblPr>
      <w:tblGrid>
        <w:gridCol w:w="331"/>
        <w:gridCol w:w="655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65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Refer to Note 2 for details on the Company’s consolidated variable interest entities (“VIEs”).</w:t>
            </w:r>
          </w:p>
        </w:tc>
      </w:tr>
    </w:tbl>
    <w:tbl>
      <w:tblPr>
        <w:tblW w:w="9107" w:type="dxa"/>
        <w:jc w:val="left"/>
        <w:tblInd w:w="0" w:type="dxa"/>
        <w:tblLayout w:type="fixed"/>
        <w:tblCellMar>
          <w:top w:w="0" w:type="dxa"/>
          <w:left w:w="0" w:type="dxa"/>
          <w:bottom w:w="0" w:type="dxa"/>
          <w:right w:w="0" w:type="dxa"/>
        </w:tblCellMar>
      </w:tblPr>
      <w:tblGrid>
        <w:gridCol w:w="331"/>
        <w:gridCol w:w="877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877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June 30, 2025 and December 31, 2024, includes $3.1</w:t>
            </w:r>
            <w:r>
              <w:rPr>
                <w:caps w:val="false"/>
                <w:smallCaps w:val="false"/>
              </w:rPr>
              <w:t xml:space="preserve"> </w:t>
            </w:r>
            <w:r>
              <w:rPr>
                <w:rFonts w:ascii="Times New Roman;Times;serif" w:hAnsi="Times New Roman;Times;serif"/>
                <w:b w:val="false"/>
                <w:i w:val="false"/>
                <w:caps w:val="false"/>
                <w:smallCaps w:val="false"/>
                <w:sz w:val="16"/>
              </w:rPr>
              <w:t>million and $3.8</w:t>
            </w:r>
            <w:r>
              <w:rPr>
                <w:caps w:val="false"/>
                <w:smallCaps w:val="false"/>
              </w:rPr>
              <w:t> </w:t>
            </w:r>
            <w:r>
              <w:rPr>
                <w:rFonts w:ascii="Times New Roman;Times;serif" w:hAnsi="Times New Roman;Times;serif"/>
                <w:b w:val="false"/>
                <w:i w:val="false"/>
                <w:caps w:val="false"/>
                <w:smallCaps w:val="false"/>
                <w:sz w:val="16"/>
              </w:rPr>
              <w:t>million, respectively, due from related parties.</w:t>
            </w:r>
          </w:p>
        </w:tc>
      </w:tr>
    </w:tbl>
    <w:p>
      <w:pPr>
        <w:pStyle w:val="TextBody"/>
        <w:bidi w:val="0"/>
        <w:spacing w:before="0" w:after="240"/>
        <w:ind w:left="0" w:right="0" w:firstLine="720"/>
        <w:jc w:val="center"/>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6" w:name="_8bf5f5f9_ade6_422e_a0dd_e77d103e1d4b"/>
      <w:bookmarkEnd w:id="146"/>
      <w:r>
        <w:rPr>
          <w:rFonts w:ascii="Times New Roman;Times;serif" w:hAnsi="Times New Roman;Times;serif"/>
          <w:b/>
          <w:sz w:val="20"/>
        </w:rPr>
        <w:t>Safehold Inc.</w:t>
      </w:r>
    </w:p>
    <w:p>
      <w:pPr>
        <w:pStyle w:val="TextBody"/>
        <w:bidi w:val="0"/>
        <w:spacing w:before="0" w:after="0"/>
        <w:ind w:left="0" w:right="0" w:hanging="0"/>
        <w:jc w:val="center"/>
        <w:rPr>
          <w:rFonts w:ascii="Times New Roman;Times;serif" w:hAnsi="Times New Roman;Times;serif"/>
          <w:b/>
          <w:sz w:val="20"/>
        </w:rPr>
      </w:pPr>
      <w:bookmarkStart w:id="147" w:name="StatementOfOperations"/>
      <w:bookmarkEnd w:id="147"/>
      <w:r>
        <w:rPr>
          <w:rFonts w:ascii="Times New Roman;Times;serif" w:hAnsi="Times New Roman;Times;serif"/>
          <w:b/>
          <w:sz w:val="20"/>
        </w:rPr>
        <w:t>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48" w:name="Tc_J3Wrc1PL0UefUGesqlKC_A_32_0"/>
      <w:bookmarkStart w:id="149" w:name="Tc_zJ11EJK0OkmnLS2zI9LBmw_31_0"/>
      <w:bookmarkStart w:id="150" w:name="Tc_l97innf4rUyD-k7R2m0g-w_30_0"/>
      <w:bookmarkStart w:id="151" w:name="Tc_vCzdCMN0OkGpRghVrn2UFg_29_11"/>
      <w:bookmarkStart w:id="152" w:name="Tc_TgW96NjSwEOjYchUeLJeUQ_29_8"/>
      <w:bookmarkStart w:id="153" w:name="Tc_HArP9iSwwU2tQFBpfkRX5A_29_5"/>
      <w:bookmarkStart w:id="154" w:name="Tc_Jbe5IN7SIUOhBybrxIGBAw_29_2"/>
      <w:bookmarkStart w:id="155" w:name="Tc_YmehAxC_gE-0CBr6jHw8iA_29_0"/>
      <w:bookmarkStart w:id="156" w:name="Tc_WF7VbpnO_UmxTIm8iQnwOw_28_11"/>
      <w:bookmarkStart w:id="157" w:name="Tc_W5GnZV0IOUyULyIs07d_xg_28_8"/>
      <w:bookmarkStart w:id="158" w:name="Tc_sOqzFmryskSy6tXVMot_9A_28_5"/>
      <w:bookmarkStart w:id="159" w:name="Tc_C2FQMKXbJ0iQLdb3RxHhNQ_28_2"/>
      <w:bookmarkStart w:id="160" w:name="Tc_yT7y7FvboEK4QLSikaNBYg_28_0"/>
      <w:bookmarkStart w:id="161" w:name="Tc_w52zHfW3IUm5cEE1XjZbzg_27_0"/>
      <w:bookmarkStart w:id="162" w:name="Tc_NoCnhSRksE-dM-vBPL2w3Q_26_0"/>
      <w:bookmarkStart w:id="163" w:name="Tc_yvD7Z7O5ik2Y24oibvIAgA_24_11"/>
      <w:bookmarkStart w:id="164" w:name="Tc_4n-5NtrL7UClW95fyO1Omg_24_8"/>
      <w:bookmarkStart w:id="165" w:name="Tc_FJJRR7Bci0iTTT8U3M0Ohg_24_5"/>
      <w:bookmarkStart w:id="166" w:name="Tc_sG292TzW102hq1XRMHtsnQ_24_2"/>
      <w:bookmarkStart w:id="167" w:name="Tc_6iI2JBsZMUKrzLktI7yZ-Q_24_0"/>
      <w:bookmarkStart w:id="168" w:name="Tc_DW1c0kzLWUS8KxyfotF5Yw_23_0"/>
      <w:bookmarkStart w:id="169" w:name="Tc_eZFEOQ5DQE-piTs2X5-s5Q_22_0"/>
      <w:bookmarkStart w:id="170" w:name="Tc_M2slyW1rsEKK6lCRzMF72A_21_0"/>
      <w:bookmarkStart w:id="171" w:name="Tc_RSZAF_EsBkeD3eSuRactXA_20_0"/>
      <w:bookmarkStart w:id="172" w:name="Tc_NboasEx47Uy-vQHcqoFqHw_19_0"/>
      <w:bookmarkStart w:id="173" w:name="Tc_Hid8JjpMaEqhGlAIG8X4bA_18_0"/>
      <w:bookmarkStart w:id="174" w:name="Tc_1peZYlBFA0-kCTsC2SVNRA_17_0"/>
      <w:bookmarkStart w:id="175" w:name="Tc_a4MDXb6gjkqm3_QWaPquQA_16_0"/>
      <w:bookmarkStart w:id="176" w:name="Tc_eTLqEPVDwUmND5uVzDsY8g_15_0"/>
      <w:bookmarkStart w:id="177" w:name="Tc_zceAbTWnXUiyH48bjGTqTA_14_0"/>
      <w:bookmarkStart w:id="178" w:name="Tc_ix0gbLUbCkS0oEpRLxyQQw_13_0"/>
      <w:bookmarkStart w:id="179" w:name="Tc_rMvc64t-5kiiJ0nqI5LYpg_12_0"/>
      <w:bookmarkStart w:id="180" w:name="Tc_DsNhx0CEx0C5kelm_oE-vw_11_0"/>
      <w:bookmarkStart w:id="181" w:name="Tc_CrOqs2SJbkqeJId2R2MyXg_10_0"/>
      <w:bookmarkStart w:id="182" w:name="Tc_7cHtRil9j0GX3oOJYc24sA_9_0"/>
      <w:bookmarkStart w:id="183" w:name="Tc_ziYn-Bi3LESNOAh2Kzfh-Q_8_0"/>
      <w:bookmarkStart w:id="184" w:name="Tc_KgqBlJM2pUGvj-ut5kDMYQ_7_0"/>
      <w:bookmarkStart w:id="185" w:name="Tc_vs6K2gvrakK6f5ytbpohMg_6_0"/>
      <w:bookmarkStart w:id="186" w:name="Tc_NjlkRbz6LkqAGZUuTWxjog_5_11"/>
      <w:bookmarkStart w:id="187" w:name="Tc_PGhdtqbD5EiOuJFtkKmpEg_5_8"/>
      <w:bookmarkStart w:id="188" w:name="Tc_UKprfTUm00SaeAQFjRmUcA_5_5"/>
      <w:bookmarkStart w:id="189" w:name="Tc_61Kl9mnrW0qRwVGADX86VQ_5_2"/>
      <w:bookmarkStart w:id="190" w:name="Tc_NS1cD2UYv0SdYLwqyluO0g_5_0"/>
      <w:bookmarkStart w:id="191" w:name="Tc_J-aarDC0u0iyV8areIG1PA_4_0"/>
      <w:bookmarkStart w:id="192" w:name="Tc_5JOyzZuVV0CqsMDkLmayaQ_3_11"/>
      <w:bookmarkStart w:id="193" w:name="Tc_FvVExWEusUyxgtMFlQqD_Q_3_8"/>
      <w:bookmarkStart w:id="194" w:name="Tc_LqISE5DrAESs8knaUH0Ukg_3_5"/>
      <w:bookmarkStart w:id="195" w:name="Tc_1wGNNqdYkkWXVCuIgp8paQ_3_2"/>
      <w:bookmarkStart w:id="196" w:name="Tc_ZS94mHMyYkGW5AoJK4sYHQ_2_8"/>
      <w:bookmarkStart w:id="197" w:name="Tc_8rvRE8UZbEKzGEjEKjoBqw_2_2"/>
      <w:bookmarkStart w:id="198" w:name="Tc_iL0NOdIG1EeiO8iZdMgKGQ_1_8"/>
      <w:bookmarkStart w:id="199" w:name="Tc_HpNZWBWxBU-2-GE7KKtyCw_1_2"/>
      <w:bookmarkStart w:id="200" w:name="_8946b13f_a460_434f_a22f_ea4ee75a4a1b"/>
      <w:bookmarkStart w:id="201" w:name="_d8300f18_15c8_46ff_b9d9_67a5bce4299d"/>
      <w:bookmarkStart w:id="202" w:name="Tc_J3Wrc1PL0UefUGesqlKC_A_32_0"/>
      <w:bookmarkStart w:id="203" w:name="Tc_zJ11EJK0OkmnLS2zI9LBmw_31_0"/>
      <w:bookmarkStart w:id="204" w:name="Tc_l97innf4rUyD-k7R2m0g-w_30_0"/>
      <w:bookmarkStart w:id="205" w:name="Tc_vCzdCMN0OkGpRghVrn2UFg_29_11"/>
      <w:bookmarkStart w:id="206" w:name="Tc_TgW96NjSwEOjYchUeLJeUQ_29_8"/>
      <w:bookmarkStart w:id="207" w:name="Tc_HArP9iSwwU2tQFBpfkRX5A_29_5"/>
      <w:bookmarkStart w:id="208" w:name="Tc_Jbe5IN7SIUOhBybrxIGBAw_29_2"/>
      <w:bookmarkStart w:id="209" w:name="Tc_YmehAxC_gE-0CBr6jHw8iA_29_0"/>
      <w:bookmarkStart w:id="210" w:name="Tc_WF7VbpnO_UmxTIm8iQnwOw_28_11"/>
      <w:bookmarkStart w:id="211" w:name="Tc_W5GnZV0IOUyULyIs07d_xg_28_8"/>
      <w:bookmarkStart w:id="212" w:name="Tc_sOqzFmryskSy6tXVMot_9A_28_5"/>
      <w:bookmarkStart w:id="213" w:name="Tc_C2FQMKXbJ0iQLdb3RxHhNQ_28_2"/>
      <w:bookmarkStart w:id="214" w:name="Tc_yT7y7FvboEK4QLSikaNBYg_28_0"/>
      <w:bookmarkStart w:id="215" w:name="Tc_w52zHfW3IUm5cEE1XjZbzg_27_0"/>
      <w:bookmarkStart w:id="216" w:name="Tc_NoCnhSRksE-dM-vBPL2w3Q_26_0"/>
      <w:bookmarkStart w:id="217" w:name="Tc_yvD7Z7O5ik2Y24oibvIAgA_24_11"/>
      <w:bookmarkStart w:id="218" w:name="Tc_4n-5NtrL7UClW95fyO1Omg_24_8"/>
      <w:bookmarkStart w:id="219" w:name="Tc_FJJRR7Bci0iTTT8U3M0Ohg_24_5"/>
      <w:bookmarkStart w:id="220" w:name="Tc_sG292TzW102hq1XRMHtsnQ_24_2"/>
      <w:bookmarkStart w:id="221" w:name="Tc_6iI2JBsZMUKrzLktI7yZ-Q_24_0"/>
      <w:bookmarkStart w:id="222" w:name="Tc_DW1c0kzLWUS8KxyfotF5Yw_23_0"/>
      <w:bookmarkStart w:id="223" w:name="Tc_eZFEOQ5DQE-piTs2X5-s5Q_22_0"/>
      <w:bookmarkStart w:id="224" w:name="Tc_M2slyW1rsEKK6lCRzMF72A_21_0"/>
      <w:bookmarkStart w:id="225" w:name="Tc_RSZAF_EsBkeD3eSuRactXA_20_0"/>
      <w:bookmarkStart w:id="226" w:name="Tc_NboasEx47Uy-vQHcqoFqHw_19_0"/>
      <w:bookmarkStart w:id="227" w:name="Tc_Hid8JjpMaEqhGlAIG8X4bA_18_0"/>
      <w:bookmarkStart w:id="228" w:name="Tc_1peZYlBFA0-kCTsC2SVNRA_17_0"/>
      <w:bookmarkStart w:id="229" w:name="Tc_a4MDXb6gjkqm3_QWaPquQA_16_0"/>
      <w:bookmarkStart w:id="230" w:name="Tc_eTLqEPVDwUmND5uVzDsY8g_15_0"/>
      <w:bookmarkStart w:id="231" w:name="Tc_zceAbTWnXUiyH48bjGTqTA_14_0"/>
      <w:bookmarkStart w:id="232" w:name="Tc_ix0gbLUbCkS0oEpRLxyQQw_13_0"/>
      <w:bookmarkStart w:id="233" w:name="Tc_rMvc64t-5kiiJ0nqI5LYpg_12_0"/>
      <w:bookmarkStart w:id="234" w:name="Tc_DsNhx0CEx0C5kelm_oE-vw_11_0"/>
      <w:bookmarkStart w:id="235" w:name="Tc_CrOqs2SJbkqeJId2R2MyXg_10_0"/>
      <w:bookmarkStart w:id="236" w:name="Tc_7cHtRil9j0GX3oOJYc24sA_9_0"/>
      <w:bookmarkStart w:id="237" w:name="Tc_ziYn-Bi3LESNOAh2Kzfh-Q_8_0"/>
      <w:bookmarkStart w:id="238" w:name="Tc_KgqBlJM2pUGvj-ut5kDMYQ_7_0"/>
      <w:bookmarkStart w:id="239" w:name="Tc_vs6K2gvrakK6f5ytbpohMg_6_0"/>
      <w:bookmarkStart w:id="240" w:name="Tc_NjlkRbz6LkqAGZUuTWxjog_5_11"/>
      <w:bookmarkStart w:id="241" w:name="Tc_PGhdtqbD5EiOuJFtkKmpEg_5_8"/>
      <w:bookmarkStart w:id="242" w:name="Tc_UKprfTUm00SaeAQFjRmUcA_5_5"/>
      <w:bookmarkStart w:id="243" w:name="Tc_61Kl9mnrW0qRwVGADX86VQ_5_2"/>
      <w:bookmarkStart w:id="244" w:name="Tc_NS1cD2UYv0SdYLwqyluO0g_5_0"/>
      <w:bookmarkStart w:id="245" w:name="Tc_J-aarDC0u0iyV8areIG1PA_4_0"/>
      <w:bookmarkStart w:id="246" w:name="Tc_5JOyzZuVV0CqsMDkLmayaQ_3_11"/>
      <w:bookmarkStart w:id="247" w:name="Tc_FvVExWEusUyxgtMFlQqD_Q_3_8"/>
      <w:bookmarkStart w:id="248" w:name="Tc_LqISE5DrAESs8knaUH0Ukg_3_5"/>
      <w:bookmarkStart w:id="249" w:name="Tc_1wGNNqdYkkWXVCuIgp8paQ_3_2"/>
      <w:bookmarkStart w:id="250" w:name="Tc_ZS94mHMyYkGW5AoJK4sYHQ_2_8"/>
      <w:bookmarkStart w:id="251" w:name="Tc_8rvRE8UZbEKzGEjEKjoBqw_2_2"/>
      <w:bookmarkStart w:id="252" w:name="Tc_iL0NOdIG1EeiO8iZdMgKGQ_1_8"/>
      <w:bookmarkStart w:id="253" w:name="Tc_HpNZWBWxBU-2-GE7KKtyCw_1_2"/>
      <w:bookmarkStart w:id="254" w:name="_8946b13f_a460_434f_a22f_ea4ee75a4a1b"/>
      <w:bookmarkStart w:id="255" w:name="_d8300f18_15c8_46ff_b9d9_67a5bce4299d"/>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tbl>
      <w:tblPr>
        <w:tblW w:w="10205" w:type="dxa"/>
        <w:jc w:val="left"/>
        <w:tblInd w:w="0" w:type="dxa"/>
        <w:tblLayout w:type="fixed"/>
        <w:tblCellMar>
          <w:top w:w="0" w:type="dxa"/>
          <w:left w:w="0" w:type="dxa"/>
          <w:bottom w:w="0" w:type="dxa"/>
          <w:right w:w="0" w:type="dxa"/>
        </w:tblCellMar>
      </w:tblPr>
      <w:tblGrid>
        <w:gridCol w:w="4985"/>
        <w:gridCol w:w="326"/>
        <w:gridCol w:w="221"/>
        <w:gridCol w:w="712"/>
        <w:gridCol w:w="343"/>
        <w:gridCol w:w="221"/>
        <w:gridCol w:w="712"/>
        <w:gridCol w:w="326"/>
        <w:gridCol w:w="211"/>
        <w:gridCol w:w="781"/>
        <w:gridCol w:w="326"/>
        <w:gridCol w:w="211"/>
        <w:gridCol w:w="830"/>
      </w:tblGrid>
      <w:tr>
        <w:trPr/>
        <w:tc>
          <w:tcPr>
            <w:tcW w:w="4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3165475" cy="175260"/>
                      <wp:effectExtent l="0" t="0" r="0" b="0"/>
                      <wp:wrapNone/>
                      <wp:docPr id="37" name="Frame37"/>
                      <a:graphic xmlns:a="http://schemas.openxmlformats.org/drawingml/2006/main">
                        <a:graphicData uri="http://schemas.microsoft.com/office/word/2010/wordprocessingShape">
                          <wps:wsp>
                            <wps:cNvSpPr txBox="1"/>
                            <wps:spPr>
                              <a:xfrm>
                                <a:off x="0" y="0"/>
                                <a:ext cx="3165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40335" cy="175260"/>
                      <wp:effectExtent l="0" t="0" r="0" b="0"/>
                      <wp:wrapNone/>
                      <wp:docPr id="39" name="Frame39"/>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52120" cy="175260"/>
                      <wp:effectExtent l="0" t="0" r="0" b="0"/>
                      <wp:wrapNone/>
                      <wp:docPr id="40" name="Frame40"/>
                      <a:graphic xmlns:a="http://schemas.openxmlformats.org/drawingml/2006/main">
                        <a:graphicData uri="http://schemas.microsoft.com/office/word/2010/wordprocessingShape">
                          <wps:wsp>
                            <wps:cNvSpPr txBox="1"/>
                            <wps:spPr>
                              <a:xfrm>
                                <a:off x="0" y="0"/>
                                <a:ext cx="452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7805" cy="175260"/>
                      <wp:effectExtent l="0" t="0" r="0" b="0"/>
                      <wp:wrapNone/>
                      <wp:docPr id="41" name="Frame41"/>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40335" cy="175260"/>
                      <wp:effectExtent l="0" t="0" r="0" b="0"/>
                      <wp:wrapNone/>
                      <wp:docPr id="42" name="Frame42"/>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52120" cy="175260"/>
                      <wp:effectExtent l="0" t="0" r="0" b="0"/>
                      <wp:wrapNone/>
                      <wp:docPr id="43" name="Frame43"/>
                      <a:graphic xmlns:a="http://schemas.openxmlformats.org/drawingml/2006/main">
                        <a:graphicData uri="http://schemas.microsoft.com/office/word/2010/wordprocessingShape">
                          <wps:wsp>
                            <wps:cNvSpPr txBox="1"/>
                            <wps:spPr>
                              <a:xfrm>
                                <a:off x="0" y="0"/>
                                <a:ext cx="452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3985" cy="175260"/>
                      <wp:effectExtent l="0" t="0" r="0" b="0"/>
                      <wp:wrapNone/>
                      <wp:docPr id="45" name="Frame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95935" cy="175260"/>
                      <wp:effectExtent l="0" t="0" r="0" b="0"/>
                      <wp:wrapNone/>
                      <wp:docPr id="46" name="Frame4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3985" cy="175260"/>
                      <wp:effectExtent l="0" t="0" r="0" b="0"/>
                      <wp:wrapNone/>
                      <wp:docPr id="48" name="Frame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27050" cy="175260"/>
                      <wp:effectExtent l="0" t="0" r="0" b="0"/>
                      <wp:wrapNone/>
                      <wp:docPr id="49" name="Frame49"/>
                      <a:graphic xmlns:a="http://schemas.openxmlformats.org/drawingml/2006/main">
                        <a:graphicData uri="http://schemas.microsoft.com/office/word/2010/wordprocessingShape">
                          <wps:wsp>
                            <wps:cNvSpPr txBox="1"/>
                            <wps:spPr>
                              <a:xfrm>
                                <a:off x="0" y="0"/>
                                <a:ext cx="527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8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20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1"/>
              <w:ind w:left="0" w:right="0" w:hanging="0"/>
              <w:jc w:val="center"/>
              <w:rPr/>
            </w:pPr>
            <w:r>
              <w:rPr/>
              <w:t>​</w:t>
            </w:r>
          </w:p>
        </w:tc>
        <w:tc>
          <w:tcPr>
            <w:tcW w:w="235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498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20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center"/>
              <w:rPr/>
            </w:pPr>
            <w:r>
              <w:rPr/>
              <w:t>​</w:t>
            </w:r>
          </w:p>
        </w:tc>
        <w:tc>
          <w:tcPr>
            <w:tcW w:w="235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98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3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3" w:type="dxa"/>
            <w:tcBorders/>
            <w:vAlign w:val="center"/>
          </w:tcPr>
          <w:p>
            <w:pPr>
              <w:pStyle w:val="TableContents"/>
              <w:bidi w:val="0"/>
              <w:spacing w:before="0" w:after="1"/>
              <w:ind w:left="0" w:right="0" w:hanging="0"/>
              <w:jc w:val="left"/>
              <w:rPr/>
            </w:pPr>
            <w:r>
              <w:rPr/>
              <w:t>    </w:t>
            </w:r>
          </w:p>
        </w:tc>
        <w:tc>
          <w:tcPr>
            <w:tcW w:w="93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10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98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1"/>
              <w:ind w:left="0" w:right="0" w:hanging="0"/>
              <w:jc w:val="left"/>
              <w:rPr/>
            </w:pPr>
            <w:r>
              <w:rPr/>
              <w:t> </w:t>
            </w:r>
          </w:p>
        </w:tc>
        <w:tc>
          <w:tcPr>
            <w:tcW w:w="221" w:type="dxa"/>
            <w:tcBorders/>
            <w:shd w:fill="CCEEFF" w:val="clear"/>
            <w:vAlign w:val="center"/>
          </w:tcPr>
          <w:p>
            <w:pPr>
              <w:pStyle w:val="TableContents"/>
              <w:bidi w:val="0"/>
              <w:spacing w:before="0" w:after="1"/>
              <w:ind w:left="0" w:right="0" w:hanging="0"/>
              <w:jc w:val="left"/>
              <w:rPr/>
            </w:pPr>
            <w:r>
              <w:rPr/>
              <w:t>​</w:t>
            </w:r>
          </w:p>
        </w:tc>
        <w:tc>
          <w:tcPr>
            <w:tcW w:w="712" w:type="dxa"/>
            <w:tcBorders/>
            <w:shd w:fill="CCEEFF" w:val="clear"/>
            <w:vAlign w:val="center"/>
          </w:tcPr>
          <w:p>
            <w:pPr>
              <w:pStyle w:val="TableContents"/>
              <w:bidi w:val="0"/>
              <w:spacing w:before="0" w:after="1"/>
              <w:ind w:left="0" w:right="0" w:hanging="0"/>
              <w:jc w:val="right"/>
              <w:rPr/>
            </w:pPr>
            <w:r>
              <w:rPr/>
              <w:t>  </w:t>
            </w:r>
          </w:p>
        </w:tc>
        <w:tc>
          <w:tcPr>
            <w:tcW w:w="343" w:type="dxa"/>
            <w:tcBorders/>
            <w:shd w:fill="CCEEFF" w:val="clear"/>
            <w:vAlign w:val="center"/>
          </w:tcPr>
          <w:p>
            <w:pPr>
              <w:pStyle w:val="TableContents"/>
              <w:bidi w:val="0"/>
              <w:spacing w:before="0" w:after="1"/>
              <w:ind w:left="0" w:right="0" w:hanging="0"/>
              <w:jc w:val="left"/>
              <w:rPr/>
            </w:pPr>
            <w:r>
              <w:rPr/>
              <w:t> </w:t>
            </w:r>
          </w:p>
        </w:tc>
        <w:tc>
          <w:tcPr>
            <w:tcW w:w="221" w:type="dxa"/>
            <w:tcBorders/>
            <w:shd w:fill="CCEEFF" w:val="clear"/>
            <w:vAlign w:val="center"/>
          </w:tcPr>
          <w:p>
            <w:pPr>
              <w:pStyle w:val="TableContents"/>
              <w:bidi w:val="0"/>
              <w:spacing w:before="0" w:after="1"/>
              <w:ind w:left="0" w:right="0" w:hanging="0"/>
              <w:jc w:val="left"/>
              <w:rPr/>
            </w:pPr>
            <w:r>
              <w:rPr/>
              <w:t>​</w:t>
            </w:r>
          </w:p>
        </w:tc>
        <w:tc>
          <w:tcPr>
            <w:tcW w:w="71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30" w:type="dxa"/>
            <w:tcBorders/>
            <w:shd w:fill="CCEEFF" w:val="clear"/>
            <w:vAlign w:val="center"/>
          </w:tcPr>
          <w:p>
            <w:pPr>
              <w:pStyle w:val="TableContents"/>
              <w:bidi w:val="0"/>
              <w:spacing w:before="0" w:after="1"/>
              <w:ind w:left="0" w:right="0" w:hanging="0"/>
              <w:jc w:val="right"/>
              <w:rPr/>
            </w:pPr>
            <w:r>
              <w:rPr/>
              <w:t>  </w:t>
            </w:r>
          </w:p>
        </w:tc>
      </w:tr>
      <w:tr>
        <w:trPr/>
        <w:tc>
          <w:tcPr>
            <w:tcW w:w="498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from sales-type leases</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70,642</w:t>
            </w:r>
          </w:p>
        </w:tc>
        <w:tc>
          <w:tcPr>
            <w:tcW w:w="343"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65,235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140,306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128,453</w:t>
            </w:r>
          </w:p>
        </w:tc>
      </w:tr>
      <w:tr>
        <w:trPr/>
        <w:tc>
          <w:tcPr>
            <w:tcW w:w="498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income</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16,706</w:t>
            </w:r>
          </w:p>
        </w:tc>
        <w:tc>
          <w:tcPr>
            <w:tcW w:w="343"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16,691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38,088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37,694</w:t>
            </w:r>
          </w:p>
        </w:tc>
      </w:tr>
      <w:tr>
        <w:trPr/>
        <w:tc>
          <w:tcPr>
            <w:tcW w:w="4985"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Interest income</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2,712</w:t>
            </w:r>
          </w:p>
        </w:tc>
        <w:tc>
          <w:tcPr>
            <w:tcW w:w="343"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4,714</w:t>
            </w:r>
          </w:p>
        </w:tc>
      </w:tr>
      <w:tr>
        <w:trPr/>
        <w:tc>
          <w:tcPr>
            <w:tcW w:w="4985"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Other income</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3,782</w:t>
            </w:r>
          </w:p>
        </w:tc>
        <w:tc>
          <w:tcPr>
            <w:tcW w:w="343"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8,080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12,247</w:t>
            </w:r>
          </w:p>
        </w:tc>
      </w:tr>
      <w:tr>
        <w:trPr/>
        <w:tc>
          <w:tcPr>
            <w:tcW w:w="498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93,842</w:t>
            </w:r>
          </w:p>
        </w:tc>
        <w:tc>
          <w:tcPr>
            <w:tcW w:w="343"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89,895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191,519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183,108</w:t>
            </w:r>
          </w:p>
        </w:tc>
      </w:tr>
      <w:tr>
        <w:trPr/>
        <w:tc>
          <w:tcPr>
            <w:tcW w:w="498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Costs and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pPr>
            <w:r>
              <w:rPr/>
              <w:t>  </w:t>
            </w:r>
          </w:p>
        </w:tc>
        <w:tc>
          <w:tcPr>
            <w:tcW w:w="343"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pPr>
            <w:r>
              <w:rPr/>
              <w:t>  </w:t>
            </w:r>
          </w:p>
        </w:tc>
      </w:tr>
      <w:tr>
        <w:trPr/>
        <w:tc>
          <w:tcPr>
            <w:tcW w:w="498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51,265</w:t>
            </w:r>
          </w:p>
        </w:tc>
        <w:tc>
          <w:tcPr>
            <w:tcW w:w="343"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49,107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101,691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97,738</w:t>
            </w:r>
          </w:p>
        </w:tc>
      </w:tr>
      <w:tr>
        <w:trPr/>
        <w:tc>
          <w:tcPr>
            <w:tcW w:w="498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881</w:t>
            </w:r>
          </w:p>
        </w:tc>
        <w:tc>
          <w:tcPr>
            <w:tcW w:w="343"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2,120</w:t>
            </w:r>
          </w:p>
        </w:tc>
      </w:tr>
      <w:tr>
        <w:trPr/>
        <w:tc>
          <w:tcPr>
            <w:tcW w:w="498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2,127</w:t>
            </w:r>
          </w:p>
        </w:tc>
        <w:tc>
          <w:tcPr>
            <w:tcW w:w="343"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4,323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4,977</w:t>
            </w:r>
          </w:p>
        </w:tc>
      </w:tr>
      <w:tr>
        <w:trPr/>
        <w:tc>
          <w:tcPr>
            <w:tcW w:w="498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12,954</w:t>
            </w:r>
          </w:p>
        </w:tc>
        <w:tc>
          <w:tcPr>
            <w:tcW w:w="343"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12,276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27,086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27,904</w:t>
            </w:r>
          </w:p>
        </w:tc>
      </w:tr>
      <w:tr>
        <w:trPr/>
        <w:tc>
          <w:tcPr>
            <w:tcW w:w="498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(recovery of) credit losses</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2,350</w:t>
            </w:r>
          </w:p>
        </w:tc>
        <w:tc>
          <w:tcPr>
            <w:tcW w:w="343"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1,335</w:t>
            </w:r>
          </w:p>
        </w:tc>
      </w:tr>
      <w:tr>
        <w:trPr/>
        <w:tc>
          <w:tcPr>
            <w:tcW w:w="498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w:t>
            </w:r>
          </w:p>
        </w:tc>
        <w:tc>
          <w:tcPr>
            <w:tcW w:w="343"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w:t>
            </w:r>
          </w:p>
        </w:tc>
      </w:tr>
      <w:tr>
        <w:trPr/>
        <w:tc>
          <w:tcPr>
            <w:tcW w:w="498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costs and expenses</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69,923</w:t>
            </w:r>
          </w:p>
        </w:tc>
        <w:tc>
          <w:tcPr>
            <w:tcW w:w="343"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65,899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142,299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134,524</w:t>
            </w:r>
          </w:p>
        </w:tc>
      </w:tr>
      <w:tr>
        <w:trPr/>
        <w:tc>
          <w:tcPr>
            <w:tcW w:w="498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(loss) from operations before other items</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23,919</w:t>
            </w:r>
          </w:p>
        </w:tc>
        <w:tc>
          <w:tcPr>
            <w:tcW w:w="343"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23,996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49,220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48,584</w:t>
            </w:r>
          </w:p>
        </w:tc>
      </w:tr>
      <w:tr>
        <w:trPr/>
        <w:tc>
          <w:tcPr>
            <w:tcW w:w="498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Earnings (losses) from equity method investments</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4,912</w:t>
            </w:r>
          </w:p>
        </w:tc>
        <w:tc>
          <w:tcPr>
            <w:tcW w:w="343"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6,469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9,904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13,381</w:t>
            </w:r>
          </w:p>
        </w:tc>
      </w:tr>
      <w:tr>
        <w:trPr/>
        <w:tc>
          <w:tcPr>
            <w:tcW w:w="498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before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28,831</w:t>
            </w:r>
          </w:p>
        </w:tc>
        <w:tc>
          <w:tcPr>
            <w:tcW w:w="343"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30,465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61,965</w:t>
            </w:r>
          </w:p>
        </w:tc>
      </w:tr>
      <w:tr>
        <w:trPr/>
        <w:tc>
          <w:tcPr>
            <w:tcW w:w="498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(862)</w:t>
            </w:r>
          </w:p>
        </w:tc>
        <w:tc>
          <w:tcPr>
            <w:tcW w:w="343"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(1,381)</w:t>
            </w:r>
          </w:p>
        </w:tc>
      </w:tr>
      <w:tr>
        <w:trPr/>
        <w:tc>
          <w:tcPr>
            <w:tcW w:w="498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Net income (loss) </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27,969</w:t>
            </w:r>
          </w:p>
        </w:tc>
        <w:tc>
          <w:tcPr>
            <w:tcW w:w="343"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57,379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60,584</w:t>
            </w:r>
          </w:p>
        </w:tc>
      </w:tr>
      <w:tr>
        <w:trPr/>
        <w:tc>
          <w:tcPr>
            <w:tcW w:w="498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noncontrolling interests</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43"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w:t>
            </w:r>
          </w:p>
        </w:tc>
      </w:tr>
      <w:tr>
        <w:trPr/>
        <w:tc>
          <w:tcPr>
            <w:tcW w:w="498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Safehold Inc. common shareholders</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27,947</w:t>
            </w:r>
          </w:p>
        </w:tc>
        <w:tc>
          <w:tcPr>
            <w:tcW w:w="343" w:type="dxa"/>
            <w:tcBorders/>
            <w:shd w:fill="CCEEFF" w:val="clear"/>
            <w:vAlign w:val="center"/>
          </w:tcPr>
          <w:p>
            <w:pPr>
              <w:pStyle w:val="TableContents"/>
              <w:bidi w:val="0"/>
              <w:spacing w:before="0" w:after="1"/>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29,665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57,311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60,393</w:t>
            </w:r>
          </w:p>
        </w:tc>
      </w:tr>
      <w:tr>
        <w:trPr/>
        <w:tc>
          <w:tcPr>
            <w:tcW w:w="498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712"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71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left"/>
              <w:rPr/>
            </w:pPr>
            <w:r>
              <w:rPr/>
              <w:t>​</w:t>
            </w:r>
          </w:p>
        </w:tc>
      </w:tr>
      <w:tr>
        <w:trPr/>
        <w:tc>
          <w:tcPr>
            <w:tcW w:w="498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Per common share data:</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pPr>
            <w:r>
              <w:rPr/>
              <w:t>  </w:t>
            </w:r>
          </w:p>
        </w:tc>
        <w:tc>
          <w:tcPr>
            <w:tcW w:w="343"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pPr>
            <w:r>
              <w:rPr/>
              <w:t>  </w:t>
            </w:r>
          </w:p>
        </w:tc>
      </w:tr>
      <w:tr>
        <w:trPr/>
        <w:tc>
          <w:tcPr>
            <w:tcW w:w="498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712" w:type="dxa"/>
            <w:tcBorders/>
            <w:vAlign w:val="center"/>
          </w:tcPr>
          <w:p>
            <w:pPr>
              <w:pStyle w:val="TableContents"/>
              <w:bidi w:val="0"/>
              <w:spacing w:before="0" w:after="1"/>
              <w:ind w:left="0" w:right="0" w:hanging="0"/>
              <w:jc w:val="right"/>
              <w:rPr/>
            </w:pPr>
            <w:r>
              <w:rPr/>
              <w:t>  </w:t>
            </w:r>
          </w:p>
        </w:tc>
        <w:tc>
          <w:tcPr>
            <w:tcW w:w="343"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712"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pPr>
            <w:r>
              <w:rPr/>
              <w:t>  </w:t>
            </w:r>
          </w:p>
        </w:tc>
      </w:tr>
      <w:tr>
        <w:trPr/>
        <w:tc>
          <w:tcPr>
            <w:tcW w:w="498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0.39</w:t>
            </w:r>
          </w:p>
        </w:tc>
        <w:tc>
          <w:tcPr>
            <w:tcW w:w="343"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0.85</w:t>
            </w:r>
          </w:p>
        </w:tc>
      </w:tr>
      <w:tr>
        <w:trPr/>
        <w:tc>
          <w:tcPr>
            <w:tcW w:w="498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0.39</w:t>
            </w:r>
          </w:p>
        </w:tc>
        <w:tc>
          <w:tcPr>
            <w:tcW w:w="343"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0.85</w:t>
            </w:r>
          </w:p>
        </w:tc>
      </w:tr>
      <w:tr>
        <w:trPr/>
        <w:tc>
          <w:tcPr>
            <w:tcW w:w="498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Weighted average number of common shares:</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pPr>
            <w:r>
              <w:rPr/>
              <w:t>  </w:t>
            </w:r>
          </w:p>
        </w:tc>
        <w:tc>
          <w:tcPr>
            <w:tcW w:w="343"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30" w:type="dxa"/>
            <w:tcBorders/>
            <w:shd w:fill="CCEEFF" w:val="clear"/>
            <w:vAlign w:val="center"/>
          </w:tcPr>
          <w:p>
            <w:pPr>
              <w:pStyle w:val="TableContents"/>
              <w:bidi w:val="0"/>
              <w:spacing w:before="0" w:after="1"/>
              <w:ind w:left="0" w:right="0" w:hanging="0"/>
              <w:jc w:val="left"/>
              <w:rPr/>
            </w:pPr>
            <w:r>
              <w:rPr/>
              <w:t>​</w:t>
            </w:r>
          </w:p>
        </w:tc>
      </w:tr>
      <w:tr>
        <w:trPr/>
        <w:tc>
          <w:tcPr>
            <w:tcW w:w="498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71,740</w:t>
            </w:r>
          </w:p>
        </w:tc>
        <w:tc>
          <w:tcPr>
            <w:tcW w:w="343"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71,435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71,631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71,303</w:t>
            </w:r>
          </w:p>
        </w:tc>
      </w:tr>
      <w:tr>
        <w:trPr/>
        <w:tc>
          <w:tcPr>
            <w:tcW w:w="498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71,801</w:t>
            </w:r>
          </w:p>
        </w:tc>
        <w:tc>
          <w:tcPr>
            <w:tcW w:w="343"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71,462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71,718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71,351</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shd w:fill="FFFFFF" w:val="clear"/>
              </w:rPr>
              <w:t>For the three months ended June 30, 2025 and 2024, includes $2.4</w:t>
            </w:r>
            <w:r>
              <w:rPr>
                <w:caps w:val="false"/>
                <w:smallCaps w:val="false"/>
                <w:shd w:fill="FFFFFF" w:val="clear"/>
              </w:rPr>
              <w:t xml:space="preserve"> </w:t>
            </w:r>
            <w:r>
              <w:rPr>
                <w:rFonts w:ascii="Times New Roman;Times;serif" w:hAnsi="Times New Roman;Times;serif"/>
                <w:b w:val="false"/>
                <w:i w:val="false"/>
                <w:caps w:val="false"/>
                <w:smallCaps w:val="false"/>
                <w:sz w:val="16"/>
                <w:shd w:fill="FFFFFF" w:val="clear"/>
              </w:rPr>
              <w:t>million and $2.4</w:t>
            </w:r>
            <w:r>
              <w:rPr>
                <w:caps w:val="false"/>
                <w:smallCaps w:val="false"/>
                <w:shd w:fill="FFFFFF" w:val="clear"/>
              </w:rPr>
              <w:t xml:space="preserve"> </w:t>
            </w:r>
            <w:r>
              <w:rPr>
                <w:rFonts w:ascii="Times New Roman;Times;serif" w:hAnsi="Times New Roman;Times;serif"/>
                <w:b w:val="false"/>
                <w:i w:val="false"/>
                <w:caps w:val="false"/>
                <w:smallCaps w:val="false"/>
                <w:sz w:val="16"/>
                <w:shd w:fill="FFFFFF" w:val="clear"/>
              </w:rPr>
              <w:t>million, respectively, of interest income from related parties. For the six months ended June 30, 2025 and 2024, includes $4.7</w:t>
            </w:r>
            <w:r>
              <w:rPr>
                <w:caps w:val="false"/>
                <w:smallCaps w:val="false"/>
                <w:shd w:fill="FFFFFF" w:val="clear"/>
              </w:rPr>
              <w:t xml:space="preserve"> </w:t>
            </w:r>
            <w:r>
              <w:rPr>
                <w:rFonts w:ascii="Times New Roman;Times;serif" w:hAnsi="Times New Roman;Times;serif"/>
                <w:b w:val="false"/>
                <w:i w:val="false"/>
                <w:caps w:val="false"/>
                <w:smallCaps w:val="false"/>
                <w:sz w:val="16"/>
                <w:shd w:fill="FFFFFF" w:val="clear"/>
              </w:rPr>
              <w:t>million and $4.7</w:t>
            </w:r>
            <w:r>
              <w:rPr>
                <w:caps w:val="false"/>
                <w:smallCaps w:val="false"/>
                <w:shd w:fill="FFFFFF" w:val="clear"/>
              </w:rPr>
              <w:t xml:space="preserve"> </w:t>
            </w:r>
            <w:r>
              <w:rPr>
                <w:rFonts w:ascii="Times New Roman;Times;serif" w:hAnsi="Times New Roman;Times;serif"/>
                <w:b w:val="false"/>
                <w:i w:val="false"/>
                <w:caps w:val="false"/>
                <w:smallCaps w:val="false"/>
                <w:sz w:val="16"/>
                <w:shd w:fill="FFFFFF" w:val="clear"/>
              </w:rPr>
              <w:t>million, respectively, of interest income from related parties.</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0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shd w:fill="FFFFFF" w:val="clear"/>
              </w:rPr>
              <w:t>For the three months ended June 30, 2025 and 2024, includes $2.7</w:t>
            </w:r>
            <w:r>
              <w:rPr>
                <w:caps w:val="false"/>
                <w:smallCaps w:val="false"/>
                <w:shd w:fill="FFFFFF" w:val="clear"/>
              </w:rPr>
              <w:t xml:space="preserve"> </w:t>
            </w:r>
            <w:r>
              <w:rPr>
                <w:rFonts w:ascii="Times New Roman;Times;serif" w:hAnsi="Times New Roman;Times;serif"/>
                <w:b w:val="false"/>
                <w:i w:val="false"/>
                <w:caps w:val="false"/>
                <w:smallCaps w:val="false"/>
                <w:sz w:val="16"/>
                <w:shd w:fill="FFFFFF" w:val="clear"/>
              </w:rPr>
              <w:t>million and $4.4</w:t>
            </w:r>
            <w:r>
              <w:rPr>
                <w:caps w:val="false"/>
                <w:smallCaps w:val="false"/>
                <w:shd w:fill="FFFFFF" w:val="clear"/>
              </w:rPr>
              <w:t xml:space="preserve"> </w:t>
            </w:r>
            <w:r>
              <w:rPr>
                <w:rFonts w:ascii="Times New Roman;Times;serif" w:hAnsi="Times New Roman;Times;serif"/>
                <w:b w:val="false"/>
                <w:i w:val="false"/>
                <w:caps w:val="false"/>
                <w:smallCaps w:val="false"/>
                <w:sz w:val="16"/>
                <w:shd w:fill="FFFFFF" w:val="clear"/>
              </w:rPr>
              <w:t>million, respectively, of management fees from related parties. For the six months ended June 30, 2025 and 2024, includes $6.3</w:t>
            </w:r>
            <w:r>
              <w:rPr>
                <w:caps w:val="false"/>
                <w:smallCaps w:val="false"/>
                <w:shd w:fill="FFFFFF" w:val="clear"/>
              </w:rPr>
              <w:t xml:space="preserve"> </w:t>
            </w:r>
            <w:r>
              <w:rPr>
                <w:rFonts w:ascii="Times New Roman;Times;serif" w:hAnsi="Times New Roman;Times;serif"/>
                <w:b w:val="false"/>
                <w:i w:val="false"/>
                <w:caps w:val="false"/>
                <w:smallCaps w:val="false"/>
                <w:sz w:val="16"/>
                <w:shd w:fill="FFFFFF" w:val="clear"/>
              </w:rPr>
              <w:t>million and $9.9</w:t>
            </w:r>
            <w:r>
              <w:rPr>
                <w:caps w:val="false"/>
                <w:smallCaps w:val="false"/>
                <w:shd w:fill="FFFFFF" w:val="clear"/>
              </w:rPr>
              <w:t xml:space="preserve"> </w:t>
            </w:r>
            <w:r>
              <w:rPr>
                <w:rFonts w:ascii="Times New Roman;Times;serif" w:hAnsi="Times New Roman;Times;serif"/>
                <w:b w:val="false"/>
                <w:i w:val="false"/>
                <w:caps w:val="false"/>
                <w:smallCaps w:val="false"/>
                <w:sz w:val="16"/>
                <w:shd w:fill="FFFFFF" w:val="clear"/>
              </w:rPr>
              <w:t xml:space="preserve">million, respectively, of management fees from related parties. </w:t>
            </w:r>
          </w:p>
        </w:tc>
      </w:tr>
    </w:tbl>
    <w:p>
      <w:pPr>
        <w:pStyle w:val="TextBody"/>
        <w:bidi w:val="0"/>
        <w:spacing w:before="0" w:after="240"/>
        <w:ind w:left="360" w:right="0" w:hanging="0"/>
        <w:jc w:val="both"/>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56" w:name="_b5491295_7e00_49cb_b23c_16845b199959"/>
      <w:bookmarkEnd w:id="256"/>
      <w:r>
        <w:rPr>
          <w:rFonts w:ascii="Times New Roman;Times;serif" w:hAnsi="Times New Roman;Times;serif"/>
          <w:b/>
          <w:sz w:val="20"/>
        </w:rPr>
        <w:t>Safehold Inc.</w:t>
      </w:r>
    </w:p>
    <w:p>
      <w:pPr>
        <w:pStyle w:val="TextBody"/>
        <w:bidi w:val="0"/>
        <w:spacing w:before="0" w:after="0"/>
        <w:ind w:left="0" w:right="0" w:hanging="0"/>
        <w:jc w:val="center"/>
        <w:rPr>
          <w:rFonts w:ascii="Times New Roman;Times;serif" w:hAnsi="Times New Roman;Times;serif"/>
          <w:sz w:val="20"/>
        </w:rPr>
      </w:pPr>
      <w:bookmarkStart w:id="257" w:name="ConsolidatedStatementsofComprehensiveInc"/>
      <w:bookmarkEnd w:id="257"/>
      <w:r>
        <w:rPr>
          <w:rFonts w:ascii="Times New Roman;Times;serif" w:hAnsi="Times New Roman;Times;serif"/>
          <w:b/>
          <w:sz w:val="20"/>
        </w:rPr>
        <w:t>Consolidated Statements of Comprehensive Income</w:t>
      </w:r>
      <w:r>
        <w:rPr>
          <w:rFonts w:ascii="Times New Roman;Times;serif" w:hAnsi="Times New Roman;Times;serif"/>
          <w:sz w:val="20"/>
        </w:rPr>
        <w:t xml:space="preserve"> </w:t>
      </w:r>
      <w:r>
        <w:rPr>
          <w:rFonts w:ascii="Times New Roman;Times;serif" w:hAnsi="Times New Roman;Times;serif"/>
          <w:b/>
          <w:sz w:val="20"/>
        </w:rPr>
        <w:t>(Loss)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58" w:name="Tc_N45eh380rEydWYO_Hoar3Q_11_11"/>
      <w:bookmarkStart w:id="259" w:name="Tc_QiunZ69ZbE6Ziz0XC8pRPg_11_8"/>
      <w:bookmarkStart w:id="260" w:name="Tc_4HJ0fpUFeEyqujDLT9tBMw_11_5"/>
      <w:bookmarkStart w:id="261" w:name="Tc_m24Dmkp7fEO_tH6nbw09Tg_11_2"/>
      <w:bookmarkStart w:id="262" w:name="Tc_nsl4BN7zWkuIYdpUzRv94A_11_0"/>
      <w:bookmarkStart w:id="263" w:name="Tc_j1QdjNgkE0CAt3FuuxZjOg_10_0"/>
      <w:bookmarkStart w:id="264" w:name="Tc_FoqD7Ll7AUKxLqYwSmW1_Q_9_0"/>
      <w:bookmarkStart w:id="265" w:name="Tc_1IgkmZc3SUa49SULgArRbA_8_0"/>
      <w:bookmarkStart w:id="266" w:name="Tc_det3A7pN50ak3yfLQb7jPg_7_0"/>
      <w:bookmarkStart w:id="267" w:name="Tc_mbhSTXK9XUitgQCviePRNQ_6_0"/>
      <w:bookmarkStart w:id="268" w:name="Tc_A-CG_8BujUy8CTKQ7ZjNZA_5_0"/>
      <w:bookmarkStart w:id="269" w:name="Tc_JTXlifgSCUSW2TVrZMl-ng_4_11"/>
      <w:bookmarkStart w:id="270" w:name="Tc_DvndxfxgfkOyHVZBiCQMAw_4_8"/>
      <w:bookmarkStart w:id="271" w:name="Tc_CmF19LttP0i23Dm3zVY4cw_4_5"/>
      <w:bookmarkStart w:id="272" w:name="Tc_8Xa8HSLTtUC_fW1ffw9gUw_4_2"/>
      <w:bookmarkStart w:id="273" w:name="Tc_x8x1sAGwykqOw6PGeiz5Rg_4_0"/>
      <w:bookmarkStart w:id="274" w:name="Tc_sG7xkSossUaz0lG44KYxMw_3_11"/>
      <w:bookmarkStart w:id="275" w:name="Tc_Kx9LvaMUJEOdoKEZHXz-Kg_3_8"/>
      <w:bookmarkStart w:id="276" w:name="Tc_CRibVuBKdEmTMfWfWgEtgQ_3_5"/>
      <w:bookmarkStart w:id="277" w:name="Tc_t4sriwHphEe7MzV4XwdggA_3_2"/>
      <w:bookmarkStart w:id="278" w:name="Tc_Gz5gTwZzLE6_8OWHo4-_6g_2_8"/>
      <w:bookmarkStart w:id="279" w:name="Tc_3Ua-VTKvg0iUxAZD6d21hQ_2_2"/>
      <w:bookmarkStart w:id="280" w:name="Tc_vYnOadmkTU6oRGcV_GdG2g_1_8"/>
      <w:bookmarkStart w:id="281" w:name="Tc_fLPXqI-_-UiYvNg-J9XjnA_1_2"/>
      <w:bookmarkStart w:id="282" w:name="_7a34329e_3324_449f_9c39_25148e8dafea"/>
      <w:bookmarkStart w:id="283" w:name="Tc_N45eh380rEydWYO_Hoar3Q_11_11"/>
      <w:bookmarkStart w:id="284" w:name="Tc_QiunZ69ZbE6Ziz0XC8pRPg_11_8"/>
      <w:bookmarkStart w:id="285" w:name="Tc_4HJ0fpUFeEyqujDLT9tBMw_11_5"/>
      <w:bookmarkStart w:id="286" w:name="Tc_m24Dmkp7fEO_tH6nbw09Tg_11_2"/>
      <w:bookmarkStart w:id="287" w:name="Tc_nsl4BN7zWkuIYdpUzRv94A_11_0"/>
      <w:bookmarkStart w:id="288" w:name="Tc_j1QdjNgkE0CAt3FuuxZjOg_10_0"/>
      <w:bookmarkStart w:id="289" w:name="Tc_FoqD7Ll7AUKxLqYwSmW1_Q_9_0"/>
      <w:bookmarkStart w:id="290" w:name="Tc_1IgkmZc3SUa49SULgArRbA_8_0"/>
      <w:bookmarkStart w:id="291" w:name="Tc_det3A7pN50ak3yfLQb7jPg_7_0"/>
      <w:bookmarkStart w:id="292" w:name="Tc_mbhSTXK9XUitgQCviePRNQ_6_0"/>
      <w:bookmarkStart w:id="293" w:name="Tc_A-CG_8BujUy8CTKQ7ZjNZA_5_0"/>
      <w:bookmarkStart w:id="294" w:name="Tc_JTXlifgSCUSW2TVrZMl-ng_4_11"/>
      <w:bookmarkStart w:id="295" w:name="Tc_DvndxfxgfkOyHVZBiCQMAw_4_8"/>
      <w:bookmarkStart w:id="296" w:name="Tc_CmF19LttP0i23Dm3zVY4cw_4_5"/>
      <w:bookmarkStart w:id="297" w:name="Tc_8Xa8HSLTtUC_fW1ffw9gUw_4_2"/>
      <w:bookmarkStart w:id="298" w:name="Tc_x8x1sAGwykqOw6PGeiz5Rg_4_0"/>
      <w:bookmarkStart w:id="299" w:name="Tc_sG7xkSossUaz0lG44KYxMw_3_11"/>
      <w:bookmarkStart w:id="300" w:name="Tc_Kx9LvaMUJEOdoKEZHXz-Kg_3_8"/>
      <w:bookmarkStart w:id="301" w:name="Tc_CRibVuBKdEmTMfWfWgEtgQ_3_5"/>
      <w:bookmarkStart w:id="302" w:name="Tc_t4sriwHphEe7MzV4XwdggA_3_2"/>
      <w:bookmarkStart w:id="303" w:name="Tc_Gz5gTwZzLE6_8OWHo4-_6g_2_8"/>
      <w:bookmarkStart w:id="304" w:name="Tc_3Ua-VTKvg0iUxAZD6d21hQ_2_2"/>
      <w:bookmarkStart w:id="305" w:name="Tc_vYnOadmkTU6oRGcV_GdG2g_1_8"/>
      <w:bookmarkStart w:id="306" w:name="Tc_fLPXqI-_-UiYvNg-J9XjnA_1_2"/>
      <w:bookmarkStart w:id="307" w:name="_7a34329e_3324_449f_9c39_25148e8dafea"/>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tbl>
      <w:tblPr>
        <w:tblW w:w="10205" w:type="dxa"/>
        <w:jc w:val="left"/>
        <w:tblInd w:w="0" w:type="dxa"/>
        <w:tblLayout w:type="fixed"/>
        <w:tblCellMar>
          <w:top w:w="0" w:type="dxa"/>
          <w:left w:w="0" w:type="dxa"/>
          <w:bottom w:w="0" w:type="dxa"/>
          <w:right w:w="0" w:type="dxa"/>
        </w:tblCellMar>
      </w:tblPr>
      <w:tblGrid>
        <w:gridCol w:w="5076"/>
        <w:gridCol w:w="326"/>
        <w:gridCol w:w="221"/>
        <w:gridCol w:w="708"/>
        <w:gridCol w:w="341"/>
        <w:gridCol w:w="221"/>
        <w:gridCol w:w="721"/>
        <w:gridCol w:w="326"/>
        <w:gridCol w:w="211"/>
        <w:gridCol w:w="688"/>
        <w:gridCol w:w="326"/>
        <w:gridCol w:w="211"/>
        <w:gridCol w:w="829"/>
      </w:tblGrid>
      <w:tr>
        <w:trPr/>
        <w:tc>
          <w:tcPr>
            <w:tcW w:w="5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3223260" cy="175260"/>
                      <wp:effectExtent l="0" t="0" r="0" b="0"/>
                      <wp:wrapNone/>
                      <wp:docPr id="50" name="Frame50"/>
                      <a:graphic xmlns:a="http://schemas.openxmlformats.org/drawingml/2006/main">
                        <a:graphicData uri="http://schemas.microsoft.com/office/word/2010/wordprocessingShape">
                          <wps:wsp>
                            <wps:cNvSpPr txBox="1"/>
                            <wps:spPr>
                              <a:xfrm>
                                <a:off x="0" y="0"/>
                                <a:ext cx="3223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40335" cy="175260"/>
                      <wp:effectExtent l="0" t="0" r="0" b="0"/>
                      <wp:wrapNone/>
                      <wp:docPr id="52" name="Frame52"/>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449580" cy="175260"/>
                      <wp:effectExtent l="0" t="0" r="0" b="0"/>
                      <wp:wrapNone/>
                      <wp:docPr id="53" name="Frame53"/>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6535" cy="175260"/>
                      <wp:effectExtent l="0" t="0" r="0" b="0"/>
                      <wp:wrapNone/>
                      <wp:docPr id="54" name="Frame54"/>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40335" cy="175260"/>
                      <wp:effectExtent l="0" t="0" r="0" b="0"/>
                      <wp:wrapNone/>
                      <wp:docPr id="55" name="Frame55"/>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57835" cy="175260"/>
                      <wp:effectExtent l="0" t="0" r="0" b="0"/>
                      <wp:wrapNone/>
                      <wp:docPr id="56" name="Frame5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3985" cy="175260"/>
                      <wp:effectExtent l="0" t="0" r="0" b="0"/>
                      <wp:wrapNone/>
                      <wp:docPr id="58" name="Frame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436880" cy="175260"/>
                      <wp:effectExtent l="0" t="0" r="0" b="0"/>
                      <wp:wrapNone/>
                      <wp:docPr id="59" name="Frame59"/>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260"/>
                      <wp:effectExtent l="0" t="0" r="0" b="0"/>
                      <wp:wrapNone/>
                      <wp:docPr id="61" name="Frame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26415" cy="175260"/>
                      <wp:effectExtent l="0" t="0" r="0" b="0"/>
                      <wp:wrapNone/>
                      <wp:docPr id="62" name="Frame62"/>
                      <a:graphic xmlns:a="http://schemas.openxmlformats.org/drawingml/2006/main">
                        <a:graphicData uri="http://schemas.microsoft.com/office/word/2010/wordprocessingShape">
                          <wps:wsp>
                            <wps:cNvSpPr txBox="1"/>
                            <wps:spPr>
                              <a:xfrm>
                                <a:off x="0" y="0"/>
                                <a:ext cx="526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1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0"/>
              <w:ind w:left="0" w:right="0" w:hanging="0"/>
              <w:jc w:val="center"/>
              <w:rPr/>
            </w:pPr>
            <w:r>
              <w:rPr/>
              <w:t>​</w:t>
            </w:r>
          </w:p>
        </w:tc>
        <w:tc>
          <w:tcPr>
            <w:tcW w:w="226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50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1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center"/>
              <w:rPr/>
            </w:pPr>
            <w:r>
              <w:rPr/>
              <w:t>​</w:t>
            </w:r>
          </w:p>
        </w:tc>
        <w:tc>
          <w:tcPr>
            <w:tcW w:w="226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0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1" w:type="dxa"/>
            <w:tcBorders/>
            <w:vAlign w:val="center"/>
          </w:tcPr>
          <w:p>
            <w:pPr>
              <w:pStyle w:val="TableContents"/>
              <w:bidi w:val="0"/>
              <w:spacing w:before="0" w:after="0"/>
              <w:ind w:left="0" w:right="0" w:hanging="0"/>
              <w:jc w:val="left"/>
              <w:rPr/>
            </w:pPr>
            <w:r>
              <w:rPr/>
              <w:t>    </w:t>
            </w:r>
          </w:p>
        </w:tc>
        <w:tc>
          <w:tcPr>
            <w:tcW w:w="9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8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27,969</w:t>
            </w:r>
          </w:p>
        </w:tc>
        <w:tc>
          <w:tcPr>
            <w:tcW w:w="341"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60,584</w:t>
            </w:r>
          </w:p>
        </w:tc>
      </w:tr>
      <w:tr>
        <w:trPr/>
        <w:tc>
          <w:tcPr>
            <w:tcW w:w="50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  </w:t>
            </w:r>
          </w:p>
        </w:tc>
        <w:tc>
          <w:tcPr>
            <w:tcW w:w="341"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8"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9" w:type="dxa"/>
            <w:tcBorders/>
            <w:vAlign w:val="center"/>
          </w:tcPr>
          <w:p>
            <w:pPr>
              <w:pStyle w:val="TableContents"/>
              <w:bidi w:val="0"/>
              <w:spacing w:before="0" w:after="0"/>
              <w:ind w:left="0" w:right="0" w:hanging="0"/>
              <w:jc w:val="right"/>
              <w:rPr/>
            </w:pPr>
            <w:r>
              <w:rPr/>
              <w:t>  </w:t>
            </w:r>
          </w:p>
        </w:tc>
      </w:tr>
      <w:tr>
        <w:trPr/>
        <w:tc>
          <w:tcPr>
            <w:tcW w:w="5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of (gains) losses on derivatives into earnings</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w:t>
            </w:r>
          </w:p>
        </w:tc>
        <w:tc>
          <w:tcPr>
            <w:tcW w:w="341"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(3,302)</w:t>
            </w:r>
          </w:p>
        </w:tc>
      </w:tr>
      <w:tr>
        <w:trPr/>
        <w:tc>
          <w:tcPr>
            <w:tcW w:w="5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(loss) on derivatives</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6,900</w:t>
            </w:r>
          </w:p>
        </w:tc>
        <w:tc>
          <w:tcPr>
            <w:tcW w:w="341"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13,469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42,878</w:t>
            </w:r>
          </w:p>
        </w:tc>
      </w:tr>
      <w:tr>
        <w:trPr/>
        <w:tc>
          <w:tcPr>
            <w:tcW w:w="5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6,370</w:t>
            </w:r>
          </w:p>
        </w:tc>
        <w:tc>
          <w:tcPr>
            <w:tcW w:w="341"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39,576</w:t>
            </w:r>
          </w:p>
        </w:tc>
      </w:tr>
      <w:tr>
        <w:trPr/>
        <w:tc>
          <w:tcPr>
            <w:tcW w:w="5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34,339</w:t>
            </w:r>
          </w:p>
        </w:tc>
        <w:tc>
          <w:tcPr>
            <w:tcW w:w="341"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41,336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50,117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100,160</w:t>
            </w:r>
          </w:p>
        </w:tc>
      </w:tr>
      <w:tr>
        <w:trPr/>
        <w:tc>
          <w:tcPr>
            <w:tcW w:w="5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 attributable to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1"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r>
      <w:tr>
        <w:trPr/>
        <w:tc>
          <w:tcPr>
            <w:tcW w:w="5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 attributable to Safehold Inc.</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34,317</w:t>
            </w:r>
          </w:p>
        </w:tc>
        <w:tc>
          <w:tcPr>
            <w:tcW w:w="341"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41,446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50,049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99,969</w:t>
            </w:r>
          </w:p>
        </w:tc>
      </w:tr>
    </w:tbl>
    <w:p>
      <w:pPr>
        <w:pStyle w:val="TextBody"/>
        <w:bidi w:val="0"/>
        <w:spacing w:before="0" w:after="0"/>
        <w:ind w:left="0" w:right="0" w:hanging="0"/>
        <w:jc w:val="left"/>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240"/>
        <w:ind w:left="0" w:right="0" w:firstLine="72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shd w:fill="FFFFFF" w:val="clear"/>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shd w:fill="FFFFFF" w:val="clea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Changes in Equity</w:t>
      </w:r>
    </w:p>
    <w:p>
      <w:pPr>
        <w:pStyle w:val="TextBody"/>
        <w:shd w:fill="FFFFFF" w:val="clea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shd w:fill="FFFFFF" w:val="clea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firstLine="720"/>
        <w:jc w:val="center"/>
        <w:rPr/>
      </w:pPr>
      <w:bookmarkStart w:id="308" w:name="Equity"/>
      <w:bookmarkEnd w:id="308"/>
      <w:r>
        <w:rPr/>
        <w:t>  </w:t>
      </w:r>
    </w:p>
    <w:p>
      <w:pPr>
        <w:pStyle w:val="TextBody"/>
        <w:bidi w:val="0"/>
        <w:spacing w:lineRule="atLeast" w:line="142" w:before="0" w:after="240"/>
        <w:ind w:left="0" w:right="0" w:firstLine="720"/>
        <w:jc w:val="center"/>
        <w:rPr/>
      </w:pPr>
      <w:bookmarkStart w:id="309" w:name="_e5ab5dfa_5717_4aa0_acc6_be0abeea4915"/>
      <w:bookmarkEnd w:id="309"/>
      <w:r>
        <w:rPr/>
        <w:t>​</w:t>
      </w:r>
    </w:p>
    <w:p>
      <w:pPr>
        <w:pStyle w:val="Normal"/>
        <w:bidi w:val="0"/>
        <w:spacing w:before="0" w:after="0"/>
        <w:jc w:val="left"/>
        <w:rPr>
          <w:sz w:val="4"/>
          <w:szCs w:val="4"/>
        </w:rPr>
      </w:pPr>
      <w:r>
        <w:rPr>
          <w:sz w:val="4"/>
          <w:szCs w:val="4"/>
        </w:rPr>
      </w:r>
      <w:bookmarkStart w:id="310" w:name="Tc_cVJX6gKkWkmo9lM1QN2rCw_41_21"/>
      <w:bookmarkStart w:id="311" w:name="Tc_TWszrU8eZkK89-O94XpYiw_41_18"/>
      <w:bookmarkStart w:id="312" w:name="Tc_MFEQJJRpG0a0hvd-OEL2kw_41_15"/>
      <w:bookmarkStart w:id="313" w:name="Tc_E5qaTQE080K-q_UTjlmWkQ_41_12"/>
      <w:bookmarkStart w:id="314" w:name="Tc_dnccj6TB_EegmU0EoWBrpQ_41_9"/>
      <w:bookmarkStart w:id="315" w:name="Tc_gwRKQtyZM0C8-bmF0uaA7w_41_6"/>
      <w:bookmarkStart w:id="316" w:name="Tc_pzXjEWNdRkCnU4VExrt6YA_41_3"/>
      <w:bookmarkStart w:id="317" w:name="Tc_k2DsAH-R20SWG8hLSD2C5g_41_2"/>
      <w:bookmarkStart w:id="318" w:name="Tc_zIpZE1_6W0-AI-lQH8-XTg_41_0"/>
      <w:bookmarkStart w:id="319" w:name="Tc_yZqPEO4VA0eoWG0PPDQviw_40_22"/>
      <w:bookmarkStart w:id="320" w:name="Tc_E-gtTx81nkezLpc8jO-ysg_40_19"/>
      <w:bookmarkStart w:id="321" w:name="Tc_18D3LsGGfkqoJLmRhRmQdw_40_16"/>
      <w:bookmarkStart w:id="322" w:name="Tc_FG01aJIINUav0u1Ml9BBzg_40_13"/>
      <w:bookmarkStart w:id="323" w:name="Tc_b5zV5bChG06WFLF7raw-qw_40_10"/>
      <w:bookmarkStart w:id="324" w:name="Tc_RshpO6HUH0uxiCvNz0HE8w_40_7"/>
      <w:bookmarkStart w:id="325" w:name="Tc_GIcH9FzjFEalolprY5kTHw_40_0"/>
      <w:bookmarkStart w:id="326" w:name="Tc_9UIx7vq8L0yU7B9jU-4rJA_39_16"/>
      <w:bookmarkStart w:id="327" w:name="Tc_VMTUBKbhK0uKrZTuRWsS2g_39_13"/>
      <w:bookmarkStart w:id="328" w:name="Tc_VszQBMOenE64r4klpW30kQ_39_10"/>
      <w:bookmarkStart w:id="329" w:name="Tc_41SnyxQfi0uZIEolh78w3g_39_7"/>
      <w:bookmarkStart w:id="330" w:name="Tc_KUzKPyGpvEmPaKkVap2DFg_39_3"/>
      <w:bookmarkStart w:id="331" w:name="Tc_Et4K07rUqEqSWweqW_OPRg_39_0"/>
      <w:bookmarkStart w:id="332" w:name="Tc_kgZVHRJuG0-YfDxM-E78UQ_38_16"/>
      <w:bookmarkStart w:id="333" w:name="Tc_2AARLJYoGUCgAM7oVEvfig_38_13"/>
      <w:bookmarkStart w:id="334" w:name="Tc_mLcB2G7nt0KVMDyNB8tIhA_38_10"/>
      <w:bookmarkStart w:id="335" w:name="Tc_9i5lWmSSbkWa9QO2Dbvv0g_38_7"/>
      <w:bookmarkStart w:id="336" w:name="Tc_Xpgp1SnmZkOM6chvDyYV2Q_38_3"/>
      <w:bookmarkStart w:id="337" w:name="Tc_CGqVmByPSk6EWZnEarz3Lg_38_0"/>
      <w:bookmarkStart w:id="338" w:name="Tc_K4Fo6EdeHk2c_73jRmNbNg_37_19"/>
      <w:bookmarkStart w:id="339" w:name="Tc_nhL8sTxd2ESm4e5BbMMf_w_37_13"/>
      <w:bookmarkStart w:id="340" w:name="Tc_1i3B0Ej0TUKeXfjOnSzLWw_37_10"/>
      <w:bookmarkStart w:id="341" w:name="Tc_mSvy6QANnECuppZEs48qeQ_37_7"/>
      <w:bookmarkStart w:id="342" w:name="Tc_isl-0ydSZ0qnJikl6KrPig_37_3"/>
      <w:bookmarkStart w:id="343" w:name="Tc_3M8TnNz1yUa7E8KckPDoCg_37_0"/>
      <w:bookmarkStart w:id="344" w:name="Tc_Xq9N88N380KbFmcIvkTosw_36_19"/>
      <w:bookmarkStart w:id="345" w:name="Tc_PoNGorEduUSm2sgd8ucXvw_36_16"/>
      <w:bookmarkStart w:id="346" w:name="Tc_DkCeMzPMekWONX46WxcOjw_36_10"/>
      <w:bookmarkStart w:id="347" w:name="Tc_n63KF5e5Z0Oe2S-RDNU88A_36_7"/>
      <w:bookmarkStart w:id="348" w:name="Tc_VtA2YqByiECjQmGqOakSFw_36_3"/>
      <w:bookmarkStart w:id="349" w:name="Tc_RNG0sZLp-U-j3SIBpFrEfg_36_0"/>
      <w:bookmarkStart w:id="350" w:name="Tc_hZO5X6t_DUeWAZSLyrzD6A_35_16"/>
      <w:bookmarkStart w:id="351" w:name="Tc_Ck9_5xlwoUOGRJ45bOyvkg_35_13"/>
      <w:bookmarkStart w:id="352" w:name="Tc_oNE32ySWq0OPsF1svEo3DQ_35_3"/>
      <w:bookmarkStart w:id="353" w:name="Tc_3b8NDRCil0mjip0GWlqwpQ_35_0"/>
      <w:bookmarkStart w:id="354" w:name="Tc_ByYBGul0LU-84xxZOKJ7mw_34_16"/>
      <w:bookmarkStart w:id="355" w:name="Tc_Td-MyfdTjECBjlxJE2T3TA_34_10"/>
      <w:bookmarkStart w:id="356" w:name="Tc_UYfSex1c9ECILUg9w2vsIQ_34_7"/>
      <w:bookmarkStart w:id="357" w:name="Tc_qSrx25coJ0qjcinVmn89rw_34_0"/>
      <w:bookmarkStart w:id="358" w:name="Tc_5fnEn7XAMEuphsjBsEH03g_33_21"/>
      <w:bookmarkStart w:id="359" w:name="Tc_-seZZ797BkOoJCOBtiTojA_33_18"/>
      <w:bookmarkStart w:id="360" w:name="Tc_jMXL5hKwZ0C0SOG1TvePgA_33_15"/>
      <w:bookmarkStart w:id="361" w:name="Tc__csJ1hzQSkyqpbMUiu4HyA_33_12"/>
      <w:bookmarkStart w:id="362" w:name="Tc_kT_QjOTwWUKpbL6TWdM_yg_33_9"/>
      <w:bookmarkStart w:id="363" w:name="Tc_hsfK1clXvUOcgKidlLYNWw_33_6"/>
      <w:bookmarkStart w:id="364" w:name="Tc_uYYvNpAfI0i5Db4Dg1HGLg_33_2"/>
      <w:bookmarkStart w:id="365" w:name="Tc_9c5MFI4rmU-uN2O8Stt8hQ_33_0"/>
      <w:bookmarkStart w:id="366" w:name="Tc_2zb_hSYzZE6_AlxX96yxXw_31_21"/>
      <w:bookmarkStart w:id="367" w:name="Tc_7KXIM4D6gUO6BXqX_YU-9w_31_18"/>
      <w:bookmarkStart w:id="368" w:name="Tc_lXXFIGnet0SmZYqv5Wb8bg_31_15"/>
      <w:bookmarkStart w:id="369" w:name="Tc_OJwNK4rhnkGIPvTQvDFoVg_31_12"/>
      <w:bookmarkStart w:id="370" w:name="Tc_KwTS5CMDD0qwdsaeSAlJpA_31_9"/>
      <w:bookmarkStart w:id="371" w:name="Tc_UkjVRLZ5IUWHb8jk1ARGTQ_31_6"/>
      <w:bookmarkStart w:id="372" w:name="Tc_IMIgE-ugR06v5yaT6XLJSA_31_3"/>
      <w:bookmarkStart w:id="373" w:name="Tc_AlFf6iEHE0aZrAkvoj5F4w_31_2"/>
      <w:bookmarkStart w:id="374" w:name="Tc_83sqe2BnHkmc0khBzuVgyw_31_0"/>
      <w:bookmarkStart w:id="375" w:name="Tc_EsXLaYJmWE2RTjgqKRpqFA_30_16"/>
      <w:bookmarkStart w:id="376" w:name="Tc_7sNJ4p-FBEG4lS8-8Ewb8A_30_13"/>
      <w:bookmarkStart w:id="377" w:name="Tc_6UT1S-xjwUeVkholBVH05Q_30_7"/>
      <w:bookmarkStart w:id="378" w:name="Tc__xRj1TLEsE2D03Wn7Gj8qA_30_3"/>
      <w:bookmarkStart w:id="379" w:name="Tc_2KXFzhGX00eYJeQPrVafrA_30_0"/>
      <w:bookmarkStart w:id="380" w:name="Tc_sayONkL3v0q-GDJfHbwdGg_29_16"/>
      <w:bookmarkStart w:id="381" w:name="Tc_jXBKdEjit0u-mAtPAK_7fg_29_13"/>
      <w:bookmarkStart w:id="382" w:name="Tc_0UDw4Y0qI0Wo4St0kKTHIw_29_10"/>
      <w:bookmarkStart w:id="383" w:name="Tc_DNmxlSqV-EytvKnj-G3HAw_29_7"/>
      <w:bookmarkStart w:id="384" w:name="Tc_ouNu7l4K9UOtgUhqe90eoA_29_3"/>
      <w:bookmarkStart w:id="385" w:name="Tc_OdBptZ0ay0W86Aq80v1U0g_29_0"/>
      <w:bookmarkStart w:id="386" w:name="Tc_S4giw19nOEWNOc1v_WcQwQ_28_19"/>
      <w:bookmarkStart w:id="387" w:name="Tc_RiDwRb7H20q3FoZx42HG8g_28_13"/>
      <w:bookmarkStart w:id="388" w:name="Tc_o3JWYOhQT0mrKwNvIETaJA_28_10"/>
      <w:bookmarkStart w:id="389" w:name="Tc_bn7RfN6dM0mhzPzCvvir6w_28_7"/>
      <w:bookmarkStart w:id="390" w:name="Tc_I5n8HmJAiEyKhxxvXA6aLw_28_3"/>
      <w:bookmarkStart w:id="391" w:name="Tc_MZWKkQU3DUKM94_draUjXQ_28_0"/>
      <w:bookmarkStart w:id="392" w:name="Tc_dLxkdrPPPU6F2wDKyQWM9Q_27_19"/>
      <w:bookmarkStart w:id="393" w:name="Tc__tz8kwtGXEGFOvc_c7uiNA_27_16"/>
      <w:bookmarkStart w:id="394" w:name="Tc_c6IxV5RFdkODr6_TiQ-F5g_27_10"/>
      <w:bookmarkStart w:id="395" w:name="Tc_SN7zfykVqEupqrYxUM66nw_27_7"/>
      <w:bookmarkStart w:id="396" w:name="Tc_rc9sDH1U7U2_r6G8cPswBQ_27_3"/>
      <w:bookmarkStart w:id="397" w:name="Tc__WkORWj1pESdDCSSdwy0DQ_27_0"/>
      <w:bookmarkStart w:id="398" w:name="Tc_y4xufmZmy06FQstr6X_icw_26_16"/>
      <w:bookmarkStart w:id="399" w:name="Tc_-ak6o0CfxkKFMWVGKyDm2Q_26_13"/>
      <w:bookmarkStart w:id="400" w:name="Tc_B71iTrMGU0GG5lnRuS2Rxg_26_3"/>
      <w:bookmarkStart w:id="401" w:name="Tc_R07fHGhNT0qpH7agPDIY-A_26_0"/>
      <w:bookmarkStart w:id="402" w:name="Tc__PZI8hL3jkO8nJyT_Y1EZQ_25_16"/>
      <w:bookmarkStart w:id="403" w:name="Tc_1gA_b4Pj20G6bCOkFv4mCw_25_10"/>
      <w:bookmarkStart w:id="404" w:name="Tc_gd6atURcqEyz6YB4CvuMuA_25_7"/>
      <w:bookmarkStart w:id="405" w:name="Tc_5Zn22rJv9k2PSnM56k4MfQ_25_3"/>
      <w:bookmarkStart w:id="406" w:name="Tc_su0R7vCcEE27l8KMfUEXVg_25_0"/>
      <w:bookmarkStart w:id="407" w:name="Tc_XvEHOOxgD0SN2TQMUJm9CA_24_21"/>
      <w:bookmarkStart w:id="408" w:name="Tc_kE8raJc1tk2WCPIqcDppKw_24_18"/>
      <w:bookmarkStart w:id="409" w:name="Tc_yv5kKueqrE-A0wEo0wwuZg_24_15"/>
      <w:bookmarkStart w:id="410" w:name="Tc_4YKX150jnka-hOqHQTVTGw_24_12"/>
      <w:bookmarkStart w:id="411" w:name="Tc_mLvhVFafVU-iuvfoWcIBfw_24_9"/>
      <w:bookmarkStart w:id="412" w:name="Tc_G02EB-v_nU26MhadCI9olQ_24_6"/>
      <w:bookmarkStart w:id="413" w:name="Tc_x6Zxd2lJB0a3M79jWorIRQ_24_3"/>
      <w:bookmarkStart w:id="414" w:name="Tc_FH-jfYbrHkWAtyYwf5Js_g_24_2"/>
      <w:bookmarkStart w:id="415" w:name="Tc_f-cWnZaU5UmhKVLoZUVRKQ_24_0"/>
      <w:bookmarkStart w:id="416" w:name="Tc_9bkJboMRjUO-tEF2wWF-eg_22_21"/>
      <w:bookmarkStart w:id="417" w:name="Tc_ByzXoRgRxkSvSlWnbUyWDg_22_18"/>
      <w:bookmarkStart w:id="418" w:name="Tc_ymo7cWPJwkS7TygIp9KyJg_22_15"/>
      <w:bookmarkStart w:id="419" w:name="Tc_HCD4-6SZokmR9hEDVaKQxA_22_12"/>
      <w:bookmarkStart w:id="420" w:name="Tc_z8_-h9goDESlcOUeXch4Bg_22_9"/>
      <w:bookmarkStart w:id="421" w:name="Tc_F3UBzZAq1kCDYIWfAM73jA_22_6"/>
      <w:bookmarkStart w:id="422" w:name="Tc_7UTy0c3JRU6pBwVj4_qjLg_22_3"/>
      <w:bookmarkStart w:id="423" w:name="Tc_KEBbg6yRu0-Qr54bM8VeoQ_22_2"/>
      <w:bookmarkStart w:id="424" w:name="Tc_KGboPYuHrU2OJ4JepwFrUA_22_0"/>
      <w:bookmarkStart w:id="425" w:name="Tc_TXuBBxIJxEuqvgPKBbasHQ_21_22"/>
      <w:bookmarkStart w:id="426" w:name="Tc_-JXhiv4xi0yTSGaVHm2tlA_21_19"/>
      <w:bookmarkStart w:id="427" w:name="Tc_pTK_6yWe2UWT9J0PT7wc-w_21_16"/>
      <w:bookmarkStart w:id="428" w:name="Tc_GbiLrdsSVkmGxrr3c5ZMVA_21_13"/>
      <w:bookmarkStart w:id="429" w:name="Tc_5Btn4w0x7EqXkJvaYCAfwA_21_10"/>
      <w:bookmarkStart w:id="430" w:name="Tc_oJ5xFppnp0KtWnkftwDZwA_21_7"/>
      <w:bookmarkStart w:id="431" w:name="Tc_hdhaOOQSAE-V-46Dw3Omyw_21_0"/>
      <w:bookmarkStart w:id="432" w:name="Tc_YprR37ZhBUa7MWaloA1Nog_20_16"/>
      <w:bookmarkStart w:id="433" w:name="Tc_0PaPg6Frg0GP4NqvIP3sDw_20_13"/>
      <w:bookmarkStart w:id="434" w:name="Tc_9ESMFjcB5EqGgmWoQe47nw_20_10"/>
      <w:bookmarkStart w:id="435" w:name="Tc_e0c0_lzJmUqQNLOTMrgY9Q_20_7"/>
      <w:bookmarkStart w:id="436" w:name="Tc_QmULExPj2ES673kgisMOqA_20_3"/>
      <w:bookmarkStart w:id="437" w:name="Tc_3FUPLUZU-EyBUmCvQjqy9Q_20_0"/>
      <w:bookmarkStart w:id="438" w:name="Tc_VpjNzMYeLEmMrT7PsBYH5Q_19_16"/>
      <w:bookmarkStart w:id="439" w:name="Tc_fo-9ZGZ8vkqfrtm5NbisEA_19_13"/>
      <w:bookmarkStart w:id="440" w:name="Tc_HE0VhJ9AcEKp004lHH63lg_19_10"/>
      <w:bookmarkStart w:id="441" w:name="Tc_zfVhs_Kzlk-slOR6tUOciA_19_7"/>
      <w:bookmarkStart w:id="442" w:name="Tc_hzaYYYgZMUGnT-s5fZ_KQQ_19_3"/>
      <w:bookmarkStart w:id="443" w:name="Tc_5gOQomGCDk-Zxsds88Xflw_19_0"/>
      <w:bookmarkStart w:id="444" w:name="Tc_ODmnOicK5kauyl6hEp2RpQ_18_19"/>
      <w:bookmarkStart w:id="445" w:name="Tc_5X3yCQcVdkSS3vbiDALtvA_18_13"/>
      <w:bookmarkStart w:id="446" w:name="Tc_2tuyLOmz2k2nICWe6cN3_Q_18_10"/>
      <w:bookmarkStart w:id="447" w:name="Tc_fiKG4s1bW0m6PLDR8MWnqA_18_7"/>
      <w:bookmarkStart w:id="448" w:name="Tc_zCB_14q0d0iS2oBM5AI9-g_18_3"/>
      <w:bookmarkStart w:id="449" w:name="Tc_j8oR3yoVvk2YMzt-_0PShg_18_0"/>
      <w:bookmarkStart w:id="450" w:name="Tc_v-R6LfVrjkei-4XpvMp4_A_17_19"/>
      <w:bookmarkStart w:id="451" w:name="Tc_edb5fA3970iaCotyq7NM3A_17_16"/>
      <w:bookmarkStart w:id="452" w:name="Tc_k_IL8VK1j0ONF92yMXPY_g_17_10"/>
      <w:bookmarkStart w:id="453" w:name="Tc_meyQW0KOWEK3HLEO3HfwYA_17_7"/>
      <w:bookmarkStart w:id="454" w:name="Tc_yf3Rrr3QS0uqHYcTmPzSUg_17_3"/>
      <w:bookmarkStart w:id="455" w:name="Tc_lH6V0OioNEW46ZbPiYUK6A_17_0"/>
      <w:bookmarkStart w:id="456" w:name="Tc_mh4SumBH1USyEDYFHR3low_16_16"/>
      <w:bookmarkStart w:id="457" w:name="Tc_zwWWmDdQ_EWEllpeWF_HDQ_16_13"/>
      <w:bookmarkStart w:id="458" w:name="Tc_gyDAQRA7SUCv7FwrpTyMWw_16_7"/>
      <w:bookmarkStart w:id="459" w:name="Tc_cIje3v3bgUmpoFlpBWQMVA_16_3"/>
      <w:bookmarkStart w:id="460" w:name="Tc_9ZirsxNIhkWeCZFebhDGfw_16_0"/>
      <w:bookmarkStart w:id="461" w:name="Tc_tdCt01vcZE-U_bqiKseSYg_15_16"/>
      <w:bookmarkStart w:id="462" w:name="Tc_HkKD02bQyEqFRTkWH8nI0w_15_10"/>
      <w:bookmarkStart w:id="463" w:name="Tc_IppSvnXwGUOLhv6-4z_mnA_15_7"/>
      <w:bookmarkStart w:id="464" w:name="Tc_fEdWSIdhwUKo_FA5m4R3gQ_15_0"/>
      <w:bookmarkStart w:id="465" w:name="Tc_FnNMYx3IqEGqBkilbkJ8zg_14_21"/>
      <w:bookmarkStart w:id="466" w:name="Tc_Bi9r0seWWku3JZ58J0OopA_14_18"/>
      <w:bookmarkStart w:id="467" w:name="Tc_-SVV_CWluEOCjFsU2E9s9Q_14_15"/>
      <w:bookmarkStart w:id="468" w:name="Tc_acwThn1bBUK90nN9Tn6WIw_14_12"/>
      <w:bookmarkStart w:id="469" w:name="Tc_HKxlz5oWq0e4AjQtLohnqw_14_9"/>
      <w:bookmarkStart w:id="470" w:name="Tc_CRtphd3KNk2iS2QOIHLK0A_14_6"/>
      <w:bookmarkStart w:id="471" w:name="Tc_bSJakdu820Oxeijr3u53rg_14_2"/>
      <w:bookmarkStart w:id="472" w:name="Tc_gQP8md8Z1kWUkVUfG2_U7w_14_0"/>
      <w:bookmarkStart w:id="473" w:name="Tc_pJyHbG7Gq0ial2T7ASa8xg_12_21"/>
      <w:bookmarkStart w:id="474" w:name="Tc_82e4-Hdgp0-WckqqvW3FHg_12_18"/>
      <w:bookmarkStart w:id="475" w:name="Tc_SDys9oWwnkSD_U2WlB4zgw_12_15"/>
      <w:bookmarkStart w:id="476" w:name="Tc_7cj_MmMVlE6fJBC9sBbTmA_12_12"/>
      <w:bookmarkStart w:id="477" w:name="Tc_clyUT1GJwESOQZDUEHRkTg_12_9"/>
      <w:bookmarkStart w:id="478" w:name="Tc_gTAfSegBj0qlEzQHf1xX0w_12_6"/>
      <w:bookmarkStart w:id="479" w:name="Tc_AjBoOqwkaUa70Zgb1WyiDQ_12_3"/>
      <w:bookmarkStart w:id="480" w:name="Tc_lZ4z_9nHAEaagNN2j0qypA_12_2"/>
      <w:bookmarkStart w:id="481" w:name="Tc_4KC-gADYmU2Ra1caw98reA_12_0"/>
      <w:bookmarkStart w:id="482" w:name="Tc_WohPbmchhUOKa4oqlcQ-kg_11_16"/>
      <w:bookmarkStart w:id="483" w:name="Tc_w2VYQwO7WUSMu-HXmVnC3w_11_13"/>
      <w:bookmarkStart w:id="484" w:name="Tc_g7HJV6epjkqDJsCbzu-ANw_11_10"/>
      <w:bookmarkStart w:id="485" w:name="Tc_SPUz9-Do7EW0ds2PATtv1g_11_7"/>
      <w:bookmarkStart w:id="486" w:name="Tc_Ze_qmdpnQ0KMMF_HBcx44A_11_3"/>
      <w:bookmarkStart w:id="487" w:name="Tc_ymjv6zVhC0OTG54Zg8RyiQ_11_0"/>
      <w:bookmarkStart w:id="488" w:name="Tc_le6IRGf6AUydVwd7-hz_2Q_10_19"/>
      <w:bookmarkStart w:id="489" w:name="Tc_puwJkg_e2Ee2VsMCGYI63A_10_13"/>
      <w:bookmarkStart w:id="490" w:name="Tc_LZde6oJPpU2L2snIaIKPHg_10_10"/>
      <w:bookmarkStart w:id="491" w:name="Tc_etRHNZpdHU2U2nt8NfPoQg_10_7"/>
      <w:bookmarkStart w:id="492" w:name="Tc_mYKBn9dqnkG_kheALyeLUA_10_3"/>
      <w:bookmarkStart w:id="493" w:name="Tc_XoEYrRgtVUKHR9VG8-vvqA_10_0"/>
      <w:bookmarkStart w:id="494" w:name="Tc_K0kTlM95PEK22JYjF5BxSg_9_19"/>
      <w:bookmarkStart w:id="495" w:name="Tc_SwlnatxZ-UaCE8UE2pfLIg_9_16"/>
      <w:bookmarkStart w:id="496" w:name="Tc_yWKB-JoaSUy9v0FS6VWyZg_9_10"/>
      <w:bookmarkStart w:id="497" w:name="Tc_p_LEoo3jYk637ss9LSw5tQ_9_7"/>
      <w:bookmarkStart w:id="498" w:name="Tc_0UGdgO3Cp0SwxshoA3jmPQ_9_3"/>
      <w:bookmarkStart w:id="499" w:name="Tc_uX5Fwkmp1EeoDASaXUk5_g_9_0"/>
      <w:bookmarkStart w:id="500" w:name="Tc_8gHzb5UXcUG9vcwDeJVb3Q_8_16"/>
      <w:bookmarkStart w:id="501" w:name="Tc_DvuDYX7Hb0OJlySPTDxk0g_8_13"/>
      <w:bookmarkStart w:id="502" w:name="Tc_OK7TK2q4JE6SqsV_VCgRew_8_7"/>
      <w:bookmarkStart w:id="503" w:name="Tc_NhvqllHOjECnPz_mCdnD7A_8_3"/>
      <w:bookmarkStart w:id="504" w:name="Tc_97Box-zc70uAZOrMKTCwXg_8_0"/>
      <w:bookmarkStart w:id="505" w:name="Tc_-vJdYlUps0anpz2VjHbaNA_7_16"/>
      <w:bookmarkStart w:id="506" w:name="Tc_owqvMptx70GwmJ456KLXdw_7_10"/>
      <w:bookmarkStart w:id="507" w:name="Tc_WIVoRjOJY0iLb1mjzg185Q_7_7"/>
      <w:bookmarkStart w:id="508" w:name="Tc_s9rnr3c6-E2OR0rdSawgvA_7_3"/>
      <w:bookmarkStart w:id="509" w:name="Tc_Lgh9v9HEMEOleJq75ry6Hg_7_0"/>
      <w:bookmarkStart w:id="510" w:name="Tc_MFsbKIa-QkyBKX-o3Onj6g_6_21"/>
      <w:bookmarkStart w:id="511" w:name="Tc_54EEkOzDK0uRvegYxVU99Q_6_18"/>
      <w:bookmarkStart w:id="512" w:name="Tc_aG99u3VjWEKrJ-QTvl5zbA_6_15"/>
      <w:bookmarkStart w:id="513" w:name="Tc_2S5M4ZSRCEabF4HDevfVnw_6_12"/>
      <w:bookmarkStart w:id="514" w:name="Tc_kiUkaVANo0aiP0cbqDUGnQ_6_9"/>
      <w:bookmarkStart w:id="515" w:name="Tc_PHm27OUdeESSuZIyevxNEA_6_6"/>
      <w:bookmarkStart w:id="516" w:name="Tc_OmrZ0mDcx0W6prk8cTAnIw_6_3"/>
      <w:bookmarkStart w:id="517" w:name="Tc_Dqja4d_aVECcPsxxHnVKcQ_6_2"/>
      <w:bookmarkStart w:id="518" w:name="Tc_QsB1jGiOf0652AGJrkz55Q_6_0"/>
      <w:bookmarkStart w:id="519" w:name="Tc_pBz8H6H6AEaHBomaovjJWw_4_21"/>
      <w:bookmarkStart w:id="520" w:name="Tc_r1mx46aBD0exFABmrpMITw_4_18"/>
      <w:bookmarkStart w:id="521" w:name="Tc_6AgY0J1s4EanDuxqzXrdmw_4_15"/>
      <w:bookmarkStart w:id="522" w:name="Tc_grHoufCfY06MiBBAU6wL2Q_4_12"/>
      <w:bookmarkStart w:id="523" w:name="Tc_R8nubX3W8k6Xhj-sR6ERPA_4_9"/>
      <w:bookmarkStart w:id="524" w:name="Tc_Vqs1NcTDFEeWUprXfE3SQw_4_6"/>
      <w:bookmarkStart w:id="525" w:name="Tc_2_PJXkdLX0W_LjxwUtXyfA_4_2"/>
      <w:bookmarkStart w:id="526" w:name="Tc_ZPt7Q2qK5kiwih-kWbTPXw_3_21"/>
      <w:bookmarkStart w:id="527" w:name="Tc_fN0WkNLa40SFvpT4t-yAUQ_3_18"/>
      <w:bookmarkStart w:id="528" w:name="Tc_ZiPWc0R4ak-j6i3oSe6N9w_3_15"/>
      <w:bookmarkStart w:id="529" w:name="Tc_O0gSy0P0K0ubtp81aynAGA_3_12"/>
      <w:bookmarkStart w:id="530" w:name="Tc_9EOfOE96LkeFlMQrYZQvcw_3_9"/>
      <w:bookmarkStart w:id="531" w:name="Tc_j5tKwR8Ejk26NIpON_Yk3w_3_6"/>
      <w:bookmarkStart w:id="532" w:name="Tc_xS_f6CXwW0m96xqPxiBw5A_3_2"/>
      <w:bookmarkStart w:id="533" w:name="Tc_RbyS2ShzuEmwu6p0Z3CJQA_2_15"/>
      <w:bookmarkStart w:id="534" w:name="Tc_HxiIkK3NMUq8xTraACmtUw_2_12"/>
      <w:bookmarkStart w:id="535" w:name="Tc_Z99sxYoZZ0iuCVVUDT0S9w_2_9"/>
      <w:bookmarkStart w:id="536" w:name="Tc_vhgMEvOwwE-12dnT4s_l9g_2_6"/>
      <w:bookmarkStart w:id="537" w:name="Tc_g4raVp39r0ySUnSdEw0ysA_2_2"/>
      <w:bookmarkStart w:id="538" w:name="Tc_Xno_tUDQOkaey_sFyYh6Ag_1_15"/>
      <w:bookmarkStart w:id="539" w:name="Tc_U5IWV8nLHEGY1WyTJB5HeA_1_12"/>
      <w:bookmarkStart w:id="540" w:name="_d4bbf3ce_2d97_48af_8578_08a097c762ed"/>
      <w:bookmarkStart w:id="541" w:name="Tc_cVJX6gKkWkmo9lM1QN2rCw_41_21"/>
      <w:bookmarkStart w:id="542" w:name="Tc_TWszrU8eZkK89-O94XpYiw_41_18"/>
      <w:bookmarkStart w:id="543" w:name="Tc_MFEQJJRpG0a0hvd-OEL2kw_41_15"/>
      <w:bookmarkStart w:id="544" w:name="Tc_E5qaTQE080K-q_UTjlmWkQ_41_12"/>
      <w:bookmarkStart w:id="545" w:name="Tc_dnccj6TB_EegmU0EoWBrpQ_41_9"/>
      <w:bookmarkStart w:id="546" w:name="Tc_gwRKQtyZM0C8-bmF0uaA7w_41_6"/>
      <w:bookmarkStart w:id="547" w:name="Tc_pzXjEWNdRkCnU4VExrt6YA_41_3"/>
      <w:bookmarkStart w:id="548" w:name="Tc_k2DsAH-R20SWG8hLSD2C5g_41_2"/>
      <w:bookmarkStart w:id="549" w:name="Tc_zIpZE1_6W0-AI-lQH8-XTg_41_0"/>
      <w:bookmarkStart w:id="550" w:name="Tc_yZqPEO4VA0eoWG0PPDQviw_40_22"/>
      <w:bookmarkStart w:id="551" w:name="Tc_E-gtTx81nkezLpc8jO-ysg_40_19"/>
      <w:bookmarkStart w:id="552" w:name="Tc_18D3LsGGfkqoJLmRhRmQdw_40_16"/>
      <w:bookmarkStart w:id="553" w:name="Tc_FG01aJIINUav0u1Ml9BBzg_40_13"/>
      <w:bookmarkStart w:id="554" w:name="Tc_b5zV5bChG06WFLF7raw-qw_40_10"/>
      <w:bookmarkStart w:id="555" w:name="Tc_RshpO6HUH0uxiCvNz0HE8w_40_7"/>
      <w:bookmarkStart w:id="556" w:name="Tc_GIcH9FzjFEalolprY5kTHw_40_0"/>
      <w:bookmarkStart w:id="557" w:name="Tc_9UIx7vq8L0yU7B9jU-4rJA_39_16"/>
      <w:bookmarkStart w:id="558" w:name="Tc_VMTUBKbhK0uKrZTuRWsS2g_39_13"/>
      <w:bookmarkStart w:id="559" w:name="Tc_VszQBMOenE64r4klpW30kQ_39_10"/>
      <w:bookmarkStart w:id="560" w:name="Tc_41SnyxQfi0uZIEolh78w3g_39_7"/>
      <w:bookmarkStart w:id="561" w:name="Tc_KUzKPyGpvEmPaKkVap2DFg_39_3"/>
      <w:bookmarkStart w:id="562" w:name="Tc_Et4K07rUqEqSWweqW_OPRg_39_0"/>
      <w:bookmarkStart w:id="563" w:name="Tc_kgZVHRJuG0-YfDxM-E78UQ_38_16"/>
      <w:bookmarkStart w:id="564" w:name="Tc_2AARLJYoGUCgAM7oVEvfig_38_13"/>
      <w:bookmarkStart w:id="565" w:name="Tc_mLcB2G7nt0KVMDyNB8tIhA_38_10"/>
      <w:bookmarkStart w:id="566" w:name="Tc_9i5lWmSSbkWa9QO2Dbvv0g_38_7"/>
      <w:bookmarkStart w:id="567" w:name="Tc_Xpgp1SnmZkOM6chvDyYV2Q_38_3"/>
      <w:bookmarkStart w:id="568" w:name="Tc_CGqVmByPSk6EWZnEarz3Lg_38_0"/>
      <w:bookmarkStart w:id="569" w:name="Tc_K4Fo6EdeHk2c_73jRmNbNg_37_19"/>
      <w:bookmarkStart w:id="570" w:name="Tc_nhL8sTxd2ESm4e5BbMMf_w_37_13"/>
      <w:bookmarkStart w:id="571" w:name="Tc_1i3B0Ej0TUKeXfjOnSzLWw_37_10"/>
      <w:bookmarkStart w:id="572" w:name="Tc_mSvy6QANnECuppZEs48qeQ_37_7"/>
      <w:bookmarkStart w:id="573" w:name="Tc_isl-0ydSZ0qnJikl6KrPig_37_3"/>
      <w:bookmarkStart w:id="574" w:name="Tc_3M8TnNz1yUa7E8KckPDoCg_37_0"/>
      <w:bookmarkStart w:id="575" w:name="Tc_Xq9N88N380KbFmcIvkTosw_36_19"/>
      <w:bookmarkStart w:id="576" w:name="Tc_PoNGorEduUSm2sgd8ucXvw_36_16"/>
      <w:bookmarkStart w:id="577" w:name="Tc_DkCeMzPMekWONX46WxcOjw_36_10"/>
      <w:bookmarkStart w:id="578" w:name="Tc_n63KF5e5Z0Oe2S-RDNU88A_36_7"/>
      <w:bookmarkStart w:id="579" w:name="Tc_VtA2YqByiECjQmGqOakSFw_36_3"/>
      <w:bookmarkStart w:id="580" w:name="Tc_RNG0sZLp-U-j3SIBpFrEfg_36_0"/>
      <w:bookmarkStart w:id="581" w:name="Tc_hZO5X6t_DUeWAZSLyrzD6A_35_16"/>
      <w:bookmarkStart w:id="582" w:name="Tc_Ck9_5xlwoUOGRJ45bOyvkg_35_13"/>
      <w:bookmarkStart w:id="583" w:name="Tc_oNE32ySWq0OPsF1svEo3DQ_35_3"/>
      <w:bookmarkStart w:id="584" w:name="Tc_3b8NDRCil0mjip0GWlqwpQ_35_0"/>
      <w:bookmarkStart w:id="585" w:name="Tc_ByYBGul0LU-84xxZOKJ7mw_34_16"/>
      <w:bookmarkStart w:id="586" w:name="Tc_Td-MyfdTjECBjlxJE2T3TA_34_10"/>
      <w:bookmarkStart w:id="587" w:name="Tc_UYfSex1c9ECILUg9w2vsIQ_34_7"/>
      <w:bookmarkStart w:id="588" w:name="Tc_qSrx25coJ0qjcinVmn89rw_34_0"/>
      <w:bookmarkStart w:id="589" w:name="Tc_5fnEn7XAMEuphsjBsEH03g_33_21"/>
      <w:bookmarkStart w:id="590" w:name="Tc_-seZZ797BkOoJCOBtiTojA_33_18"/>
      <w:bookmarkStart w:id="591" w:name="Tc_jMXL5hKwZ0C0SOG1TvePgA_33_15"/>
      <w:bookmarkStart w:id="592" w:name="Tc__csJ1hzQSkyqpbMUiu4HyA_33_12"/>
      <w:bookmarkStart w:id="593" w:name="Tc_kT_QjOTwWUKpbL6TWdM_yg_33_9"/>
      <w:bookmarkStart w:id="594" w:name="Tc_hsfK1clXvUOcgKidlLYNWw_33_6"/>
      <w:bookmarkStart w:id="595" w:name="Tc_uYYvNpAfI0i5Db4Dg1HGLg_33_2"/>
      <w:bookmarkStart w:id="596" w:name="Tc_9c5MFI4rmU-uN2O8Stt8hQ_33_0"/>
      <w:bookmarkStart w:id="597" w:name="Tc_2zb_hSYzZE6_AlxX96yxXw_31_21"/>
      <w:bookmarkStart w:id="598" w:name="Tc_7KXIM4D6gUO6BXqX_YU-9w_31_18"/>
      <w:bookmarkStart w:id="599" w:name="Tc_lXXFIGnet0SmZYqv5Wb8bg_31_15"/>
      <w:bookmarkStart w:id="600" w:name="Tc_OJwNK4rhnkGIPvTQvDFoVg_31_12"/>
      <w:bookmarkStart w:id="601" w:name="Tc_KwTS5CMDD0qwdsaeSAlJpA_31_9"/>
      <w:bookmarkStart w:id="602" w:name="Tc_UkjVRLZ5IUWHb8jk1ARGTQ_31_6"/>
      <w:bookmarkStart w:id="603" w:name="Tc_IMIgE-ugR06v5yaT6XLJSA_31_3"/>
      <w:bookmarkStart w:id="604" w:name="Tc_AlFf6iEHE0aZrAkvoj5F4w_31_2"/>
      <w:bookmarkStart w:id="605" w:name="Tc_83sqe2BnHkmc0khBzuVgyw_31_0"/>
      <w:bookmarkStart w:id="606" w:name="Tc_EsXLaYJmWE2RTjgqKRpqFA_30_16"/>
      <w:bookmarkStart w:id="607" w:name="Tc_7sNJ4p-FBEG4lS8-8Ewb8A_30_13"/>
      <w:bookmarkStart w:id="608" w:name="Tc_6UT1S-xjwUeVkholBVH05Q_30_7"/>
      <w:bookmarkStart w:id="609" w:name="Tc__xRj1TLEsE2D03Wn7Gj8qA_30_3"/>
      <w:bookmarkStart w:id="610" w:name="Tc_2KXFzhGX00eYJeQPrVafrA_30_0"/>
      <w:bookmarkStart w:id="611" w:name="Tc_sayONkL3v0q-GDJfHbwdGg_29_16"/>
      <w:bookmarkStart w:id="612" w:name="Tc_jXBKdEjit0u-mAtPAK_7fg_29_13"/>
      <w:bookmarkStart w:id="613" w:name="Tc_0UDw4Y0qI0Wo4St0kKTHIw_29_10"/>
      <w:bookmarkStart w:id="614" w:name="Tc_DNmxlSqV-EytvKnj-G3HAw_29_7"/>
      <w:bookmarkStart w:id="615" w:name="Tc_ouNu7l4K9UOtgUhqe90eoA_29_3"/>
      <w:bookmarkStart w:id="616" w:name="Tc_OdBptZ0ay0W86Aq80v1U0g_29_0"/>
      <w:bookmarkStart w:id="617" w:name="Tc_S4giw19nOEWNOc1v_WcQwQ_28_19"/>
      <w:bookmarkStart w:id="618" w:name="Tc_RiDwRb7H20q3FoZx42HG8g_28_13"/>
      <w:bookmarkStart w:id="619" w:name="Tc_o3JWYOhQT0mrKwNvIETaJA_28_10"/>
      <w:bookmarkStart w:id="620" w:name="Tc_bn7RfN6dM0mhzPzCvvir6w_28_7"/>
      <w:bookmarkStart w:id="621" w:name="Tc_I5n8HmJAiEyKhxxvXA6aLw_28_3"/>
      <w:bookmarkStart w:id="622" w:name="Tc_MZWKkQU3DUKM94_draUjXQ_28_0"/>
      <w:bookmarkStart w:id="623" w:name="Tc_dLxkdrPPPU6F2wDKyQWM9Q_27_19"/>
      <w:bookmarkStart w:id="624" w:name="Tc__tz8kwtGXEGFOvc_c7uiNA_27_16"/>
      <w:bookmarkStart w:id="625" w:name="Tc_c6IxV5RFdkODr6_TiQ-F5g_27_10"/>
      <w:bookmarkStart w:id="626" w:name="Tc_SN7zfykVqEupqrYxUM66nw_27_7"/>
      <w:bookmarkStart w:id="627" w:name="Tc_rc9sDH1U7U2_r6G8cPswBQ_27_3"/>
      <w:bookmarkStart w:id="628" w:name="Tc__WkORWj1pESdDCSSdwy0DQ_27_0"/>
      <w:bookmarkStart w:id="629" w:name="Tc_y4xufmZmy06FQstr6X_icw_26_16"/>
      <w:bookmarkStart w:id="630" w:name="Tc_-ak6o0CfxkKFMWVGKyDm2Q_26_13"/>
      <w:bookmarkStart w:id="631" w:name="Tc_B71iTrMGU0GG5lnRuS2Rxg_26_3"/>
      <w:bookmarkStart w:id="632" w:name="Tc_R07fHGhNT0qpH7agPDIY-A_26_0"/>
      <w:bookmarkStart w:id="633" w:name="Tc__PZI8hL3jkO8nJyT_Y1EZQ_25_16"/>
      <w:bookmarkStart w:id="634" w:name="Tc_1gA_b4Pj20G6bCOkFv4mCw_25_10"/>
      <w:bookmarkStart w:id="635" w:name="Tc_gd6atURcqEyz6YB4CvuMuA_25_7"/>
      <w:bookmarkStart w:id="636" w:name="Tc_5Zn22rJv9k2PSnM56k4MfQ_25_3"/>
      <w:bookmarkStart w:id="637" w:name="Tc_su0R7vCcEE27l8KMfUEXVg_25_0"/>
      <w:bookmarkStart w:id="638" w:name="Tc_XvEHOOxgD0SN2TQMUJm9CA_24_21"/>
      <w:bookmarkStart w:id="639" w:name="Tc_kE8raJc1tk2WCPIqcDppKw_24_18"/>
      <w:bookmarkStart w:id="640" w:name="Tc_yv5kKueqrE-A0wEo0wwuZg_24_15"/>
      <w:bookmarkStart w:id="641" w:name="Tc_4YKX150jnka-hOqHQTVTGw_24_12"/>
      <w:bookmarkStart w:id="642" w:name="Tc_mLvhVFafVU-iuvfoWcIBfw_24_9"/>
      <w:bookmarkStart w:id="643" w:name="Tc_G02EB-v_nU26MhadCI9olQ_24_6"/>
      <w:bookmarkStart w:id="644" w:name="Tc_x6Zxd2lJB0a3M79jWorIRQ_24_3"/>
      <w:bookmarkStart w:id="645" w:name="Tc_FH-jfYbrHkWAtyYwf5Js_g_24_2"/>
      <w:bookmarkStart w:id="646" w:name="Tc_f-cWnZaU5UmhKVLoZUVRKQ_24_0"/>
      <w:bookmarkStart w:id="647" w:name="Tc_9bkJboMRjUO-tEF2wWF-eg_22_21"/>
      <w:bookmarkStart w:id="648" w:name="Tc_ByzXoRgRxkSvSlWnbUyWDg_22_18"/>
      <w:bookmarkStart w:id="649" w:name="Tc_ymo7cWPJwkS7TygIp9KyJg_22_15"/>
      <w:bookmarkStart w:id="650" w:name="Tc_HCD4-6SZokmR9hEDVaKQxA_22_12"/>
      <w:bookmarkStart w:id="651" w:name="Tc_z8_-h9goDESlcOUeXch4Bg_22_9"/>
      <w:bookmarkStart w:id="652" w:name="Tc_F3UBzZAq1kCDYIWfAM73jA_22_6"/>
      <w:bookmarkStart w:id="653" w:name="Tc_7UTy0c3JRU6pBwVj4_qjLg_22_3"/>
      <w:bookmarkStart w:id="654" w:name="Tc_KEBbg6yRu0-Qr54bM8VeoQ_22_2"/>
      <w:bookmarkStart w:id="655" w:name="Tc_KGboPYuHrU2OJ4JepwFrUA_22_0"/>
      <w:bookmarkStart w:id="656" w:name="Tc_TXuBBxIJxEuqvgPKBbasHQ_21_22"/>
      <w:bookmarkStart w:id="657" w:name="Tc_-JXhiv4xi0yTSGaVHm2tlA_21_19"/>
      <w:bookmarkStart w:id="658" w:name="Tc_pTK_6yWe2UWT9J0PT7wc-w_21_16"/>
      <w:bookmarkStart w:id="659" w:name="Tc_GbiLrdsSVkmGxrr3c5ZMVA_21_13"/>
      <w:bookmarkStart w:id="660" w:name="Tc_5Btn4w0x7EqXkJvaYCAfwA_21_10"/>
      <w:bookmarkStart w:id="661" w:name="Tc_oJ5xFppnp0KtWnkftwDZwA_21_7"/>
      <w:bookmarkStart w:id="662" w:name="Tc_hdhaOOQSAE-V-46Dw3Omyw_21_0"/>
      <w:bookmarkStart w:id="663" w:name="Tc_YprR37ZhBUa7MWaloA1Nog_20_16"/>
      <w:bookmarkStart w:id="664" w:name="Tc_0PaPg6Frg0GP4NqvIP3sDw_20_13"/>
      <w:bookmarkStart w:id="665" w:name="Tc_9ESMFjcB5EqGgmWoQe47nw_20_10"/>
      <w:bookmarkStart w:id="666" w:name="Tc_e0c0_lzJmUqQNLOTMrgY9Q_20_7"/>
      <w:bookmarkStart w:id="667" w:name="Tc_QmULExPj2ES673kgisMOqA_20_3"/>
      <w:bookmarkStart w:id="668" w:name="Tc_3FUPLUZU-EyBUmCvQjqy9Q_20_0"/>
      <w:bookmarkStart w:id="669" w:name="Tc_VpjNzMYeLEmMrT7PsBYH5Q_19_16"/>
      <w:bookmarkStart w:id="670" w:name="Tc_fo-9ZGZ8vkqfrtm5NbisEA_19_13"/>
      <w:bookmarkStart w:id="671" w:name="Tc_HE0VhJ9AcEKp004lHH63lg_19_10"/>
      <w:bookmarkStart w:id="672" w:name="Tc_zfVhs_Kzlk-slOR6tUOciA_19_7"/>
      <w:bookmarkStart w:id="673" w:name="Tc_hzaYYYgZMUGnT-s5fZ_KQQ_19_3"/>
      <w:bookmarkStart w:id="674" w:name="Tc_5gOQomGCDk-Zxsds88Xflw_19_0"/>
      <w:bookmarkStart w:id="675" w:name="Tc_ODmnOicK5kauyl6hEp2RpQ_18_19"/>
      <w:bookmarkStart w:id="676" w:name="Tc_5X3yCQcVdkSS3vbiDALtvA_18_13"/>
      <w:bookmarkStart w:id="677" w:name="Tc_2tuyLOmz2k2nICWe6cN3_Q_18_10"/>
      <w:bookmarkStart w:id="678" w:name="Tc_fiKG4s1bW0m6PLDR8MWnqA_18_7"/>
      <w:bookmarkStart w:id="679" w:name="Tc_zCB_14q0d0iS2oBM5AI9-g_18_3"/>
      <w:bookmarkStart w:id="680" w:name="Tc_j8oR3yoVvk2YMzt-_0PShg_18_0"/>
      <w:bookmarkStart w:id="681" w:name="Tc_v-R6LfVrjkei-4XpvMp4_A_17_19"/>
      <w:bookmarkStart w:id="682" w:name="Tc_edb5fA3970iaCotyq7NM3A_17_16"/>
      <w:bookmarkStart w:id="683" w:name="Tc_k_IL8VK1j0ONF92yMXPY_g_17_10"/>
      <w:bookmarkStart w:id="684" w:name="Tc_meyQW0KOWEK3HLEO3HfwYA_17_7"/>
      <w:bookmarkStart w:id="685" w:name="Tc_yf3Rrr3QS0uqHYcTmPzSUg_17_3"/>
      <w:bookmarkStart w:id="686" w:name="Tc_lH6V0OioNEW46ZbPiYUK6A_17_0"/>
      <w:bookmarkStart w:id="687" w:name="Tc_mh4SumBH1USyEDYFHR3low_16_16"/>
      <w:bookmarkStart w:id="688" w:name="Tc_zwWWmDdQ_EWEllpeWF_HDQ_16_13"/>
      <w:bookmarkStart w:id="689" w:name="Tc_gyDAQRA7SUCv7FwrpTyMWw_16_7"/>
      <w:bookmarkStart w:id="690" w:name="Tc_cIje3v3bgUmpoFlpBWQMVA_16_3"/>
      <w:bookmarkStart w:id="691" w:name="Tc_9ZirsxNIhkWeCZFebhDGfw_16_0"/>
      <w:bookmarkStart w:id="692" w:name="Tc_tdCt01vcZE-U_bqiKseSYg_15_16"/>
      <w:bookmarkStart w:id="693" w:name="Tc_HkKD02bQyEqFRTkWH8nI0w_15_10"/>
      <w:bookmarkStart w:id="694" w:name="Tc_IppSvnXwGUOLhv6-4z_mnA_15_7"/>
      <w:bookmarkStart w:id="695" w:name="Tc_fEdWSIdhwUKo_FA5m4R3gQ_15_0"/>
      <w:bookmarkStart w:id="696" w:name="Tc_FnNMYx3IqEGqBkilbkJ8zg_14_21"/>
      <w:bookmarkStart w:id="697" w:name="Tc_Bi9r0seWWku3JZ58J0OopA_14_18"/>
      <w:bookmarkStart w:id="698" w:name="Tc_-SVV_CWluEOCjFsU2E9s9Q_14_15"/>
      <w:bookmarkStart w:id="699" w:name="Tc_acwThn1bBUK90nN9Tn6WIw_14_12"/>
      <w:bookmarkStart w:id="700" w:name="Tc_HKxlz5oWq0e4AjQtLohnqw_14_9"/>
      <w:bookmarkStart w:id="701" w:name="Tc_CRtphd3KNk2iS2QOIHLK0A_14_6"/>
      <w:bookmarkStart w:id="702" w:name="Tc_bSJakdu820Oxeijr3u53rg_14_2"/>
      <w:bookmarkStart w:id="703" w:name="Tc_gQP8md8Z1kWUkVUfG2_U7w_14_0"/>
      <w:bookmarkStart w:id="704" w:name="Tc_pJyHbG7Gq0ial2T7ASa8xg_12_21"/>
      <w:bookmarkStart w:id="705" w:name="Tc_82e4-Hdgp0-WckqqvW3FHg_12_18"/>
      <w:bookmarkStart w:id="706" w:name="Tc_SDys9oWwnkSD_U2WlB4zgw_12_15"/>
      <w:bookmarkStart w:id="707" w:name="Tc_7cj_MmMVlE6fJBC9sBbTmA_12_12"/>
      <w:bookmarkStart w:id="708" w:name="Tc_clyUT1GJwESOQZDUEHRkTg_12_9"/>
      <w:bookmarkStart w:id="709" w:name="Tc_gTAfSegBj0qlEzQHf1xX0w_12_6"/>
      <w:bookmarkStart w:id="710" w:name="Tc_AjBoOqwkaUa70Zgb1WyiDQ_12_3"/>
      <w:bookmarkStart w:id="711" w:name="Tc_lZ4z_9nHAEaagNN2j0qypA_12_2"/>
      <w:bookmarkStart w:id="712" w:name="Tc_4KC-gADYmU2Ra1caw98reA_12_0"/>
      <w:bookmarkStart w:id="713" w:name="Tc_WohPbmchhUOKa4oqlcQ-kg_11_16"/>
      <w:bookmarkStart w:id="714" w:name="Tc_w2VYQwO7WUSMu-HXmVnC3w_11_13"/>
      <w:bookmarkStart w:id="715" w:name="Tc_g7HJV6epjkqDJsCbzu-ANw_11_10"/>
      <w:bookmarkStart w:id="716" w:name="Tc_SPUz9-Do7EW0ds2PATtv1g_11_7"/>
      <w:bookmarkStart w:id="717" w:name="Tc_Ze_qmdpnQ0KMMF_HBcx44A_11_3"/>
      <w:bookmarkStart w:id="718" w:name="Tc_ymjv6zVhC0OTG54Zg8RyiQ_11_0"/>
      <w:bookmarkStart w:id="719" w:name="Tc_le6IRGf6AUydVwd7-hz_2Q_10_19"/>
      <w:bookmarkStart w:id="720" w:name="Tc_puwJkg_e2Ee2VsMCGYI63A_10_13"/>
      <w:bookmarkStart w:id="721" w:name="Tc_LZde6oJPpU2L2snIaIKPHg_10_10"/>
      <w:bookmarkStart w:id="722" w:name="Tc_etRHNZpdHU2U2nt8NfPoQg_10_7"/>
      <w:bookmarkStart w:id="723" w:name="Tc_mYKBn9dqnkG_kheALyeLUA_10_3"/>
      <w:bookmarkStart w:id="724" w:name="Tc_XoEYrRgtVUKHR9VG8-vvqA_10_0"/>
      <w:bookmarkStart w:id="725" w:name="Tc_K0kTlM95PEK22JYjF5BxSg_9_19"/>
      <w:bookmarkStart w:id="726" w:name="Tc_SwlnatxZ-UaCE8UE2pfLIg_9_16"/>
      <w:bookmarkStart w:id="727" w:name="Tc_yWKB-JoaSUy9v0FS6VWyZg_9_10"/>
      <w:bookmarkStart w:id="728" w:name="Tc_p_LEoo3jYk637ss9LSw5tQ_9_7"/>
      <w:bookmarkStart w:id="729" w:name="Tc_0UGdgO3Cp0SwxshoA3jmPQ_9_3"/>
      <w:bookmarkStart w:id="730" w:name="Tc_uX5Fwkmp1EeoDASaXUk5_g_9_0"/>
      <w:bookmarkStart w:id="731" w:name="Tc_8gHzb5UXcUG9vcwDeJVb3Q_8_16"/>
      <w:bookmarkStart w:id="732" w:name="Tc_DvuDYX7Hb0OJlySPTDxk0g_8_13"/>
      <w:bookmarkStart w:id="733" w:name="Tc_OK7TK2q4JE6SqsV_VCgRew_8_7"/>
      <w:bookmarkStart w:id="734" w:name="Tc_NhvqllHOjECnPz_mCdnD7A_8_3"/>
      <w:bookmarkStart w:id="735" w:name="Tc_97Box-zc70uAZOrMKTCwXg_8_0"/>
      <w:bookmarkStart w:id="736" w:name="Tc_-vJdYlUps0anpz2VjHbaNA_7_16"/>
      <w:bookmarkStart w:id="737" w:name="Tc_owqvMptx70GwmJ456KLXdw_7_10"/>
      <w:bookmarkStart w:id="738" w:name="Tc_WIVoRjOJY0iLb1mjzg185Q_7_7"/>
      <w:bookmarkStart w:id="739" w:name="Tc_s9rnr3c6-E2OR0rdSawgvA_7_3"/>
      <w:bookmarkStart w:id="740" w:name="Tc_Lgh9v9HEMEOleJq75ry6Hg_7_0"/>
      <w:bookmarkStart w:id="741" w:name="Tc_MFsbKIa-QkyBKX-o3Onj6g_6_21"/>
      <w:bookmarkStart w:id="742" w:name="Tc_54EEkOzDK0uRvegYxVU99Q_6_18"/>
      <w:bookmarkStart w:id="743" w:name="Tc_aG99u3VjWEKrJ-QTvl5zbA_6_15"/>
      <w:bookmarkStart w:id="744" w:name="Tc_2S5M4ZSRCEabF4HDevfVnw_6_12"/>
      <w:bookmarkStart w:id="745" w:name="Tc_kiUkaVANo0aiP0cbqDUGnQ_6_9"/>
      <w:bookmarkStart w:id="746" w:name="Tc_PHm27OUdeESSuZIyevxNEA_6_6"/>
      <w:bookmarkStart w:id="747" w:name="Tc_OmrZ0mDcx0W6prk8cTAnIw_6_3"/>
      <w:bookmarkStart w:id="748" w:name="Tc_Dqja4d_aVECcPsxxHnVKcQ_6_2"/>
      <w:bookmarkStart w:id="749" w:name="Tc_QsB1jGiOf0652AGJrkz55Q_6_0"/>
      <w:bookmarkStart w:id="750" w:name="Tc_pBz8H6H6AEaHBomaovjJWw_4_21"/>
      <w:bookmarkStart w:id="751" w:name="Tc_r1mx46aBD0exFABmrpMITw_4_18"/>
      <w:bookmarkStart w:id="752" w:name="Tc_6AgY0J1s4EanDuxqzXrdmw_4_15"/>
      <w:bookmarkStart w:id="753" w:name="Tc_grHoufCfY06MiBBAU6wL2Q_4_12"/>
      <w:bookmarkStart w:id="754" w:name="Tc_R8nubX3W8k6Xhj-sR6ERPA_4_9"/>
      <w:bookmarkStart w:id="755" w:name="Tc_Vqs1NcTDFEeWUprXfE3SQw_4_6"/>
      <w:bookmarkStart w:id="756" w:name="Tc_2_PJXkdLX0W_LjxwUtXyfA_4_2"/>
      <w:bookmarkStart w:id="757" w:name="Tc_ZPt7Q2qK5kiwih-kWbTPXw_3_21"/>
      <w:bookmarkStart w:id="758" w:name="Tc_fN0WkNLa40SFvpT4t-yAUQ_3_18"/>
      <w:bookmarkStart w:id="759" w:name="Tc_ZiPWc0R4ak-j6i3oSe6N9w_3_15"/>
      <w:bookmarkStart w:id="760" w:name="Tc_O0gSy0P0K0ubtp81aynAGA_3_12"/>
      <w:bookmarkStart w:id="761" w:name="Tc_9EOfOE96LkeFlMQrYZQvcw_3_9"/>
      <w:bookmarkStart w:id="762" w:name="Tc_j5tKwR8Ejk26NIpON_Yk3w_3_6"/>
      <w:bookmarkStart w:id="763" w:name="Tc_xS_f6CXwW0m96xqPxiBw5A_3_2"/>
      <w:bookmarkStart w:id="764" w:name="Tc_RbyS2ShzuEmwu6p0Z3CJQA_2_15"/>
      <w:bookmarkStart w:id="765" w:name="Tc_HxiIkK3NMUq8xTraACmtUw_2_12"/>
      <w:bookmarkStart w:id="766" w:name="Tc_Z99sxYoZZ0iuCVVUDT0S9w_2_9"/>
      <w:bookmarkStart w:id="767" w:name="Tc_vhgMEvOwwE-12dnT4s_l9g_2_6"/>
      <w:bookmarkStart w:id="768" w:name="Tc_g4raVp39r0ySUnSdEw0ysA_2_2"/>
      <w:bookmarkStart w:id="769" w:name="Tc_Xno_tUDQOkaey_sFyYh6Ag_1_15"/>
      <w:bookmarkStart w:id="770" w:name="Tc_U5IWV8nLHEGY1WyTJB5HeA_1_12"/>
      <w:bookmarkStart w:id="771" w:name="_d4bbf3ce_2d97_48af_8578_08a097c762ed"/>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tbl>
      <w:tblPr>
        <w:tblW w:w="10268" w:type="dxa"/>
        <w:jc w:val="left"/>
        <w:tblInd w:w="0" w:type="dxa"/>
        <w:tblLayout w:type="fixed"/>
        <w:tblCellMar>
          <w:top w:w="0" w:type="dxa"/>
          <w:left w:w="0" w:type="dxa"/>
          <w:bottom w:w="0" w:type="dxa"/>
          <w:right w:w="0" w:type="dxa"/>
        </w:tblCellMar>
      </w:tblPr>
      <w:tblGrid>
        <w:gridCol w:w="1216"/>
        <w:gridCol w:w="326"/>
        <w:gridCol w:w="250"/>
        <w:gridCol w:w="771"/>
        <w:gridCol w:w="326"/>
        <w:gridCol w:w="326"/>
        <w:gridCol w:w="216"/>
        <w:gridCol w:w="415"/>
        <w:gridCol w:w="326"/>
        <w:gridCol w:w="181"/>
        <w:gridCol w:w="691"/>
        <w:gridCol w:w="326"/>
        <w:gridCol w:w="216"/>
        <w:gridCol w:w="700"/>
        <w:gridCol w:w="326"/>
        <w:gridCol w:w="266"/>
        <w:gridCol w:w="755"/>
        <w:gridCol w:w="326"/>
        <w:gridCol w:w="267"/>
        <w:gridCol w:w="754"/>
        <w:gridCol w:w="326"/>
        <w:gridCol w:w="181"/>
        <w:gridCol w:w="781"/>
      </w:tblGrid>
      <w:tr>
        <w:trPr/>
        <w:tc>
          <w:tcPr>
            <w:tcW w:w="1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58750" cy="175260"/>
                      <wp:effectExtent l="0" t="0" r="0" b="0"/>
                      <wp:wrapNone/>
                      <wp:docPr id="64" name="Frame64"/>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89585" cy="175260"/>
                      <wp:effectExtent l="0" t="0" r="0" b="0"/>
                      <wp:wrapNone/>
                      <wp:docPr id="65" name="Frame65"/>
                      <a:graphic xmlns:a="http://schemas.openxmlformats.org/drawingml/2006/main">
                        <a:graphicData uri="http://schemas.microsoft.com/office/word/2010/wordprocessingShape">
                          <wps:wsp>
                            <wps:cNvSpPr txBox="1"/>
                            <wps:spPr>
                              <a:xfrm>
                                <a:off x="0" y="0"/>
                                <a:ext cx="489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7160" cy="175260"/>
                      <wp:effectExtent l="0" t="0" r="0" b="0"/>
                      <wp:wrapNone/>
                      <wp:docPr id="68" name="Frame68"/>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63525" cy="175260"/>
                      <wp:effectExtent l="0" t="0" r="0" b="0"/>
                      <wp:wrapNone/>
                      <wp:docPr id="69" name="Frame69"/>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70"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14935" cy="175260"/>
                      <wp:effectExtent l="0" t="0" r="0" b="0"/>
                      <wp:wrapNone/>
                      <wp:docPr id="71" name="Frame7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38785" cy="175260"/>
                      <wp:effectExtent l="0" t="0" r="0" b="0"/>
                      <wp:wrapNone/>
                      <wp:docPr id="72" name="Frame7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73"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7160" cy="175260"/>
                      <wp:effectExtent l="0" t="0" r="0" b="0"/>
                      <wp:wrapNone/>
                      <wp:docPr id="74" name="Frame74"/>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444500" cy="175260"/>
                      <wp:effectExtent l="0" t="0" r="0" b="0"/>
                      <wp:wrapNone/>
                      <wp:docPr id="75" name="Frame75"/>
                      <a:graphic xmlns:a="http://schemas.openxmlformats.org/drawingml/2006/main">
                        <a:graphicData uri="http://schemas.microsoft.com/office/word/2010/wordprocessingShape">
                          <wps:wsp>
                            <wps:cNvSpPr txBox="1"/>
                            <wps:spPr>
                              <a:xfrm>
                                <a:off x="0" y="0"/>
                                <a:ext cx="444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6" name="Frame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68910" cy="175260"/>
                      <wp:effectExtent l="0" t="0" r="0" b="0"/>
                      <wp:wrapNone/>
                      <wp:docPr id="77" name="Frame7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79425" cy="175260"/>
                      <wp:effectExtent l="0" t="0" r="0" b="0"/>
                      <wp:wrapNone/>
                      <wp:docPr id="78" name="Frame78"/>
                      <a:graphic xmlns:a="http://schemas.openxmlformats.org/drawingml/2006/main">
                        <a:graphicData uri="http://schemas.microsoft.com/office/word/2010/wordprocessingShape">
                          <wps:wsp>
                            <wps:cNvSpPr txBox="1"/>
                            <wps:spPr>
                              <a:xfrm>
                                <a:off x="0" y="0"/>
                                <a:ext cx="479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9"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69545" cy="175260"/>
                      <wp:effectExtent l="0" t="0" r="0" b="0"/>
                      <wp:wrapNone/>
                      <wp:docPr id="80" name="Frame80"/>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78790" cy="175260"/>
                      <wp:effectExtent l="0" t="0" r="0" b="0"/>
                      <wp:wrapNone/>
                      <wp:docPr id="81" name="Frame81"/>
                      <a:graphic xmlns:a="http://schemas.openxmlformats.org/drawingml/2006/main">
                        <a:graphicData uri="http://schemas.microsoft.com/office/word/2010/wordprocessingShape">
                          <wps:wsp>
                            <wps:cNvSpPr txBox="1"/>
                            <wps:spPr>
                              <a:xfrm>
                                <a:off x="0" y="0"/>
                                <a:ext cx="478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2" name="Frame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14935" cy="175260"/>
                      <wp:effectExtent l="0" t="0" r="0" b="0"/>
                      <wp:wrapNone/>
                      <wp:docPr id="83" name="Frame8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95935" cy="175260"/>
                      <wp:effectExtent l="0" t="0" r="0" b="0"/>
                      <wp:wrapNone/>
                      <wp:docPr id="84" name="Frame8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50" w:type="dxa"/>
            <w:tcBorders/>
            <w:vAlign w:val="center"/>
          </w:tcPr>
          <w:p>
            <w:pPr>
              <w:pStyle w:val="TableContents"/>
              <w:bidi w:val="0"/>
              <w:spacing w:before="0" w:after="0"/>
              <w:ind w:left="0" w:right="0" w:hanging="0"/>
              <w:jc w:val="center"/>
              <w:rPr/>
            </w:pPr>
            <w:r>
              <w:rPr/>
              <w:t>​</w:t>
            </w:r>
          </w:p>
        </w:tc>
        <w:tc>
          <w:tcPr>
            <w:tcW w:w="7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0"/>
              <w:ind w:left="0" w:right="0" w:hanging="0"/>
              <w:jc w:val="center"/>
              <w:rPr/>
            </w:pPr>
            <w:r>
              <w:rPr/>
              <w:t>​</w:t>
            </w:r>
          </w:p>
        </w:tc>
        <w:tc>
          <w:tcPr>
            <w:tcW w:w="267"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1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Redeemable</w:t>
            </w:r>
          </w:p>
        </w:tc>
        <w:tc>
          <w:tcPr>
            <w:tcW w:w="3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w:t>
            </w:r>
          </w:p>
        </w:tc>
        <w:tc>
          <w:tcPr>
            <w:tcW w:w="326" w:type="dxa"/>
            <w:tcBorders/>
            <w:vAlign w:val="center"/>
          </w:tcPr>
          <w:p>
            <w:pPr>
              <w:pStyle w:val="TableContents"/>
              <w:bidi w:val="0"/>
              <w:spacing w:before="0" w:after="0"/>
              <w:ind w:left="0" w:right="0" w:hanging="0"/>
              <w:jc w:val="center"/>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26" w:type="dxa"/>
            <w:tcBorders/>
            <w:vAlign w:val="center"/>
          </w:tcPr>
          <w:p>
            <w:pPr>
              <w:pStyle w:val="TableContents"/>
              <w:bidi w:val="0"/>
              <w:spacing w:before="0" w:after="0"/>
              <w:ind w:left="0" w:right="0" w:hanging="0"/>
              <w:jc w:val="center"/>
              <w:rPr/>
            </w:pPr>
            <w:r>
              <w:rPr/>
              <w:t>​</w:t>
            </w:r>
          </w:p>
        </w:tc>
        <w:tc>
          <w:tcPr>
            <w:tcW w:w="267"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1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Noncontrolling</w:t>
            </w:r>
          </w:p>
        </w:tc>
        <w:tc>
          <w:tcPr>
            <w:tcW w:w="3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 at</w:t>
            </w:r>
          </w:p>
        </w:tc>
        <w:tc>
          <w:tcPr>
            <w:tcW w:w="326" w:type="dxa"/>
            <w:tcBorders/>
            <w:vAlign w:val="center"/>
          </w:tcPr>
          <w:p>
            <w:pPr>
              <w:pStyle w:val="TableContents"/>
              <w:bidi w:val="0"/>
              <w:spacing w:before="0" w:after="0"/>
              <w:ind w:left="0" w:right="0" w:hanging="0"/>
              <w:jc w:val="center"/>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2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Noncontrolling</w:t>
            </w:r>
          </w:p>
        </w:tc>
        <w:tc>
          <w:tcPr>
            <w:tcW w:w="326" w:type="dxa"/>
            <w:tcBorders/>
            <w:vAlign w:val="center"/>
          </w:tcPr>
          <w:p>
            <w:pPr>
              <w:pStyle w:val="TableContents"/>
              <w:bidi w:val="0"/>
              <w:spacing w:before="0" w:after="0"/>
              <w:ind w:left="0" w:right="0" w:hanging="0"/>
              <w:jc w:val="center"/>
              <w:rPr/>
            </w:pPr>
            <w:r>
              <w:rPr/>
              <w:t>​</w:t>
            </w:r>
          </w:p>
        </w:tc>
        <w:tc>
          <w:tcPr>
            <w:tcW w:w="96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21"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Interests</w:t>
            </w:r>
            <w:r>
              <w:rPr>
                <w:rFonts w:ascii="Times New Roman;Times;serif" w:hAnsi="Times New Roman;Times;serif"/>
                <w:b/>
                <w:sz w:val="11"/>
              </w:rPr>
              <w:t>(1)</w:t>
            </w:r>
          </w:p>
        </w:tc>
        <w:tc>
          <w:tcPr>
            <w:tcW w:w="326"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Par</w:t>
            </w:r>
          </w:p>
        </w:tc>
        <w:tc>
          <w:tcPr>
            <w:tcW w:w="326" w:type="dxa"/>
            <w:tcBorders/>
            <w:vAlign w:val="center"/>
          </w:tcPr>
          <w:p>
            <w:pPr>
              <w:pStyle w:val="TableContents"/>
              <w:bidi w:val="0"/>
              <w:spacing w:before="0" w:after="0"/>
              <w:ind w:left="0" w:right="0" w:hanging="0"/>
              <w:jc w:val="center"/>
              <w:rPr/>
            </w:pPr>
            <w:r>
              <w:rPr/>
              <w:t>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0"/>
              <w:ind w:left="0" w:right="0" w:hanging="0"/>
              <w:jc w:val="center"/>
              <w:rPr/>
            </w:pPr>
            <w:r>
              <w:rPr/>
              <w:t>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26" w:type="dxa"/>
            <w:tcBorders/>
            <w:vAlign w:val="center"/>
          </w:tcPr>
          <w:p>
            <w:pPr>
              <w:pStyle w:val="TableContents"/>
              <w:bidi w:val="0"/>
              <w:spacing w:before="0" w:after="0"/>
              <w:ind w:left="0" w:right="0" w:hanging="0"/>
              <w:jc w:val="center"/>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Income (Loss)</w:t>
            </w:r>
          </w:p>
        </w:tc>
        <w:tc>
          <w:tcPr>
            <w:tcW w:w="326" w:type="dxa"/>
            <w:tcBorders/>
            <w:vAlign w:val="center"/>
          </w:tcPr>
          <w:p>
            <w:pPr>
              <w:pStyle w:val="TableContents"/>
              <w:bidi w:val="0"/>
              <w:spacing w:before="0" w:after="0"/>
              <w:ind w:left="0" w:right="0" w:hanging="0"/>
              <w:jc w:val="center"/>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Interests</w:t>
            </w:r>
          </w:p>
        </w:tc>
        <w:tc>
          <w:tcPr>
            <w:tcW w:w="326" w:type="dxa"/>
            <w:tcBorders/>
            <w:vAlign w:val="center"/>
          </w:tcPr>
          <w:p>
            <w:pPr>
              <w:pStyle w:val="TableContents"/>
              <w:bidi w:val="0"/>
              <w:spacing w:before="0" w:after="0"/>
              <w:ind w:left="0" w:right="0" w:hanging="0"/>
              <w:jc w:val="center"/>
              <w:rPr/>
            </w:pPr>
            <w:r>
              <w:rPr/>
              <w:t>    </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1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7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75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at March 31, 2025</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1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717</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2,195,721</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0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119,034</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35,360</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30,344</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2,381,176</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27,947</w:t>
            </w:r>
          </w:p>
        </w:tc>
        <w:tc>
          <w:tcPr>
            <w:tcW w:w="32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27,969</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net /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771" w:type="dxa"/>
            <w:tcBorders/>
            <w:shd w:fill="CCEEFF" w:val="cle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1,038</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70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327</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1,365</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Dividends declared ($0.177 per share)</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(12,795)</w:t>
            </w:r>
          </w:p>
        </w:tc>
        <w:tc>
          <w:tcPr>
            <w:tcW w:w="32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(12,795)</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Change in accumulated 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771" w:type="dxa"/>
            <w:tcBorders/>
            <w:shd w:fill="CCEEFF" w:val="cle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70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6,370</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75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6,370</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Distributions to noncontrolling interests</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at June 30, 2025</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717</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2,196,759</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134,186</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41,730</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30,675</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2,404,067</w:t>
            </w:r>
          </w:p>
        </w:tc>
      </w:tr>
      <w:tr>
        <w:trPr/>
        <w:tc>
          <w:tcPr>
            <w:tcW w:w="1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7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75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at March 31, 2024</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19,011</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1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714</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2,190,671</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0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65,630</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26,458</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46,038</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2,329,511</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(576)</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29,665</w:t>
            </w:r>
          </w:p>
        </w:tc>
        <w:tc>
          <w:tcPr>
            <w:tcW w:w="32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466</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30,131</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net /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771" w:type="dxa"/>
            <w:tcBorders/>
            <w:shd w:fill="CCEEFF" w:val="cle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683</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70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423</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Dividends declared ($0.177 per share)</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(12,698)</w:t>
            </w:r>
          </w:p>
        </w:tc>
        <w:tc>
          <w:tcPr>
            <w:tcW w:w="32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(12,698)</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Change in accumulated 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771" w:type="dxa"/>
            <w:tcBorders/>
            <w:shd w:fill="CCEEFF" w:val="cle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70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11,781</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75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11,781</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Contributions from noncontrolling interests</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7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75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23,559</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23,559</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Distributions to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771" w:type="dxa"/>
            <w:tcBorders/>
            <w:shd w:fill="CCEEFF" w:val="cle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70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(248)</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(248)</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Redemption of noncontrolling interests</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(18,435)</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at June 30, 2024</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714</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2,191,354</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82,597</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38,239</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69,555</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2,382,459</w:t>
            </w:r>
          </w:p>
        </w:tc>
      </w:tr>
      <w:tr>
        <w:trPr/>
        <w:tc>
          <w:tcPr>
            <w:tcW w:w="1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50" w:type="dxa"/>
            <w:tcBorders/>
            <w:vAlign w:val="center"/>
          </w:tcPr>
          <w:p>
            <w:pPr>
              <w:pStyle w:val="TableContents"/>
              <w:bidi w:val="0"/>
              <w:spacing w:before="0" w:after="0"/>
              <w:ind w:left="0" w:right="0" w:hanging="0"/>
              <w:jc w:val="center"/>
              <w:rPr/>
            </w:pPr>
            <w:r>
              <w:rPr/>
              <w:t>​</w:t>
            </w:r>
          </w:p>
        </w:tc>
        <w:tc>
          <w:tcPr>
            <w:tcW w:w="7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6" w:type="dxa"/>
            <w:tcBorders/>
            <w:vAlign w:val="center"/>
          </w:tcPr>
          <w:p>
            <w:pPr>
              <w:pStyle w:val="TableContents"/>
              <w:bidi w:val="0"/>
              <w:spacing w:before="0" w:after="0"/>
              <w:ind w:left="0" w:right="0" w:hanging="0"/>
              <w:jc w:val="center"/>
              <w:rPr/>
            </w:pPr>
            <w:r>
              <w:rPr/>
              <w:t>​</w:t>
            </w:r>
          </w:p>
        </w:tc>
        <w:tc>
          <w:tcPr>
            <w:tcW w:w="70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75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67"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at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1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714</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2,191,840</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0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102,472</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48,992</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30,009</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2,374,027</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57,311</w:t>
            </w:r>
          </w:p>
        </w:tc>
        <w:tc>
          <w:tcPr>
            <w:tcW w:w="32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57,379</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net /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41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5,028</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70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656</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5,687</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Dividends declared ($0.354 per share)</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(25,597)</w:t>
            </w:r>
          </w:p>
        </w:tc>
        <w:tc>
          <w:tcPr>
            <w:tcW w:w="32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(25,597)</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Change in accumulated 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70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(7,262)</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75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(7,262)</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Distributions to noncontrolling interests</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Redemption of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(109)</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(125)</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at June 30, 2025</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7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717</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2,196,759</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134,186</w:t>
            </w:r>
          </w:p>
        </w:tc>
        <w:tc>
          <w:tcPr>
            <w:tcW w:w="326" w:type="dxa"/>
            <w:tcBorders/>
            <w:vAlign w:val="center"/>
          </w:tcPr>
          <w:p>
            <w:pPr>
              <w:pStyle w:val="TableContents"/>
              <w:bidi w:val="0"/>
              <w:spacing w:before="0" w:after="0"/>
              <w:ind w:left="0" w:right="0" w:hanging="0"/>
              <w:jc w:val="left"/>
              <w:rPr/>
            </w:pPr>
            <w:r>
              <w:rPr/>
              <w:t>​</w:t>
            </w:r>
          </w:p>
        </w:tc>
        <w:tc>
          <w:tcPr>
            <w:tcW w:w="2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41,730</w:t>
            </w:r>
          </w:p>
        </w:tc>
        <w:tc>
          <w:tcPr>
            <w:tcW w:w="326" w:type="dxa"/>
            <w:tcBorders/>
            <w:vAlign w:val="center"/>
          </w:tcPr>
          <w:p>
            <w:pPr>
              <w:pStyle w:val="TableContents"/>
              <w:bidi w:val="0"/>
              <w:spacing w:before="0" w:after="0"/>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30,675</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2,404,067</w:t>
            </w:r>
          </w:p>
        </w:tc>
      </w:tr>
      <w:tr>
        <w:trPr/>
        <w:tc>
          <w:tcPr>
            <w:tcW w:w="12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70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75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at December 31, 2023</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7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19,011</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1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711</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2,184,299</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0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47,580</w:t>
            </w:r>
          </w:p>
        </w:tc>
        <w:tc>
          <w:tcPr>
            <w:tcW w:w="32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5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(1,337)</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5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45,412</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2,276,665</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(576)</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70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60,393</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767</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61,160</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net / amortization</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7,055</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113</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7,171</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Dividends declared ($0.354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70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(25,376)</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75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(25,376)</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Change in accumulated other comprehensive income (loss)</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39,576</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39,576</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Contribution from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70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75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23,682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23,682</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Distributions to noncontrolling interests</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(419)</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(419)</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Redemption of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(18,435)</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at June 30, 2024</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7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714</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2,191,354</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82,597</w:t>
            </w:r>
          </w:p>
        </w:tc>
        <w:tc>
          <w:tcPr>
            <w:tcW w:w="326" w:type="dxa"/>
            <w:tcBorders/>
            <w:vAlign w:val="center"/>
          </w:tcPr>
          <w:p>
            <w:pPr>
              <w:pStyle w:val="TableContents"/>
              <w:bidi w:val="0"/>
              <w:spacing w:before="0" w:after="0"/>
              <w:ind w:left="0" w:right="0" w:hanging="0"/>
              <w:jc w:val="left"/>
              <w:rPr/>
            </w:pPr>
            <w:r>
              <w:rPr/>
              <w:t>​</w:t>
            </w:r>
          </w:p>
        </w:tc>
        <w:tc>
          <w:tcPr>
            <w:tcW w:w="2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38,239</w:t>
            </w:r>
          </w:p>
        </w:tc>
        <w:tc>
          <w:tcPr>
            <w:tcW w:w="326" w:type="dxa"/>
            <w:tcBorders/>
            <w:vAlign w:val="center"/>
          </w:tcPr>
          <w:p>
            <w:pPr>
              <w:pStyle w:val="TableContents"/>
              <w:bidi w:val="0"/>
              <w:spacing w:before="0" w:after="0"/>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69,555</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bottom w:val="double" w:sz="6"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2,382,459</w:t>
            </w:r>
          </w:p>
        </w:tc>
      </w:tr>
    </w:tbl>
    <w:p>
      <w:pPr>
        <w:pStyle w:val="TextBody"/>
        <w:bidi w:val="0"/>
        <w:spacing w:before="0" w:after="0"/>
        <w:ind w:left="0" w:right="0" w:hanging="0"/>
        <w:jc w:val="left"/>
        <w:rPr/>
      </w:pPr>
      <w:r>
        <w:rPr/>
        <w:t>​</w:t>
      </w:r>
    </w:p>
    <w:p>
      <w:pPr>
        <w:pStyle w:val="TextBody"/>
        <w:bidi w:val="0"/>
        <w:spacing w:lineRule="atLeast" w:line="142" w:before="0" w:after="240"/>
        <w:ind w:left="0" w:right="0" w:firstLine="720"/>
        <w:jc w:val="center"/>
        <w:rPr/>
      </w:pPr>
      <w:r>
        <w:rPr/>
        <w:t>​</w:t>
      </w:r>
    </w:p>
    <w:tbl>
      <w:tblPr>
        <w:tblW w:w="1592" w:type="dxa"/>
        <w:jc w:val="left"/>
        <w:tblInd w:w="0" w:type="dxa"/>
        <w:tblLayout w:type="fixed"/>
        <w:tblCellMar>
          <w:top w:w="0" w:type="dxa"/>
          <w:left w:w="0" w:type="dxa"/>
          <w:bottom w:w="0" w:type="dxa"/>
          <w:right w:w="0" w:type="dxa"/>
        </w:tblCellMar>
      </w:tblPr>
      <w:tblGrid>
        <w:gridCol w:w="331"/>
        <w:gridCol w:w="126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12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shd w:fill="FFFFFF" w:val="clear"/>
              </w:rPr>
            </w:pPr>
            <w:r>
              <w:rPr>
                <w:rFonts w:ascii="Times New Roman;Times;serif" w:hAnsi="Times New Roman;Times;serif"/>
                <w:b w:val="false"/>
                <w:i w:val="false"/>
                <w:caps w:val="false"/>
                <w:smallCaps w:val="false"/>
                <w:sz w:val="16"/>
                <w:shd w:fill="FFFFFF" w:val="clear"/>
              </w:rPr>
              <w:t>Refer to Note 3.</w:t>
            </w:r>
          </w:p>
        </w:tc>
      </w:tr>
    </w:tbl>
    <w:p>
      <w:pPr>
        <w:pStyle w:val="TextBody"/>
        <w:bidi w:val="0"/>
        <w:spacing w:before="0" w:after="240"/>
        <w:ind w:left="0" w:right="0" w:firstLine="720"/>
        <w:jc w:val="center"/>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18"/>
        </w:rPr>
      </w:pPr>
      <w:bookmarkStart w:id="772" w:name="_4d021cfb_12ff_4460_ba16_57d64a953166"/>
      <w:bookmarkEnd w:id="772"/>
      <w:r>
        <w:rPr>
          <w:rFonts w:ascii="Times New Roman;Times;serif" w:hAnsi="Times New Roman;Times;serif"/>
          <w:b/>
          <w:sz w:val="18"/>
        </w:rPr>
        <w:t>Safehold Inc.</w:t>
      </w:r>
    </w:p>
    <w:p>
      <w:pPr>
        <w:pStyle w:val="TextBody"/>
        <w:bidi w:val="0"/>
        <w:spacing w:before="0" w:after="0"/>
        <w:ind w:left="0" w:right="0" w:hanging="0"/>
        <w:jc w:val="center"/>
        <w:rPr>
          <w:rFonts w:ascii="Times New Roman;Times;serif" w:hAnsi="Times New Roman;Times;serif"/>
          <w:b/>
          <w:sz w:val="18"/>
        </w:rPr>
      </w:pPr>
      <w:bookmarkStart w:id="773" w:name="ConsolidatedStatementsofCashFlows_424097"/>
      <w:bookmarkEnd w:id="773"/>
      <w:r>
        <w:rPr>
          <w:rFonts w:ascii="Times New Roman;Times;serif" w:hAnsi="Times New Roman;Times;serif"/>
          <w:b/>
          <w:sz w:val="18"/>
        </w:rPr>
        <w:t>Consolidated Statements of Cash Flows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 thousands)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774" w:name="Tc_cF4Fc7J46k-IH9qrCf9NUQ_48_5"/>
      <w:bookmarkStart w:id="775" w:name="Tc_HB1vhlPHv0KS1zNbE-b0oQ_48_2"/>
      <w:bookmarkStart w:id="776" w:name="Tc__rUgRTJPtEqZGn-rRclRYQ_48_0"/>
      <w:bookmarkStart w:id="777" w:name="Tc_txs31_RthkCFc4F0L145Aw_47_0"/>
      <w:bookmarkStart w:id="778" w:name="Tc_HWY-ElEpmU2t2QePkz_h9g_46_0"/>
      <w:bookmarkStart w:id="779" w:name="Tc_UppRa0kPnU-QAw3e3xIKUQ_45_0"/>
      <w:bookmarkStart w:id="780" w:name="Tc_rtjn-p3uwEibrLoj58YnFQ_44_3"/>
      <w:bookmarkStart w:id="781" w:name="Tc_cI1KDW4-yEOCrsBaIIXlZw_44_0"/>
      <w:bookmarkStart w:id="782" w:name="Tc_lJowdARoQEKQZ4QhfhlwJg_43_0"/>
      <w:bookmarkStart w:id="783" w:name="Tc_eZ_GyfrrJUahuqRqeSGA_g_42_0"/>
      <w:bookmarkStart w:id="784" w:name="Tc_HVzQTaIFxki4tFGXrPH-jA_41_0"/>
      <w:bookmarkStart w:id="785" w:name="Tc_je-Qbjc3LkG8vLvDAPE0FQ_40_3"/>
      <w:bookmarkStart w:id="786" w:name="Tc_Uw3EDawyoE-X9jeqv_0RSw_40_0"/>
      <w:bookmarkStart w:id="787" w:name="Tc_KjdBeslbhUO0t-CiUB3B6g_39_0"/>
      <w:bookmarkStart w:id="788" w:name="Tc_7nXZG-TbLkiS0LfEohG_kw_38_0"/>
      <w:bookmarkStart w:id="789" w:name="Tc_dWWa0uxOdUa1-3NiVlRQhQ_37_0"/>
      <w:bookmarkStart w:id="790" w:name="Tc_kRZrYgE-o0uHyID2uGlGXQ_36_0"/>
      <w:bookmarkStart w:id="791" w:name="Tc_0wC6ETUmlU-fYXvffxFi-w_35_0"/>
      <w:bookmarkStart w:id="792" w:name="Tc_3thTIiVLz0mlGxob-oIphg_34_0"/>
      <w:bookmarkStart w:id="793" w:name="Tc_dHobdNBC10-kK88uycUG0g_33_0"/>
      <w:bookmarkStart w:id="794" w:name="Tc_a8wo84K0IU-_r4J4zPlKWQ_32_3"/>
      <w:bookmarkStart w:id="795" w:name="Tc_X0dzHfFCqEaj1p9gg7USGA_32_0"/>
      <w:bookmarkStart w:id="796" w:name="Tc_E-cCYBVQ506Ii629aWBIHg_31_0"/>
      <w:bookmarkStart w:id="797" w:name="Tc_vAVY3yNm6kOdBtmx3SxFpg_30_3"/>
      <w:bookmarkStart w:id="798" w:name="Tc_hXNE_LFLN0iqu40d3Pnyuw_30_0"/>
      <w:bookmarkStart w:id="799" w:name="Tc_DcZtiM-m3EW6XC-nnD-KkA_29_3"/>
      <w:bookmarkStart w:id="800" w:name="Tc_WqiIXaZijE21eUmO121heg_29_0"/>
      <w:bookmarkStart w:id="801" w:name="Tc_wuT0R0uDBUCU9bM6ixS8Ew_28_0"/>
      <w:bookmarkStart w:id="802" w:name="Tc_3W4O52_l0Eaa0_LP4SnaJg_27_0"/>
      <w:bookmarkStart w:id="803" w:name="Tc_guWpnLqgZEGl3dBjK2foJQ_26_0"/>
      <w:bookmarkStart w:id="804" w:name="Tc_0B_Q_yLsUUuHiCjVBHhlWg_25_6"/>
      <w:bookmarkStart w:id="805" w:name="Tc_6MEaHFsLTU-RroL4SPanHQ_25_0"/>
      <w:bookmarkStart w:id="806" w:name="Tc_LTmh4_Jl7ke3lds6jJV9Ow_24_0"/>
      <w:bookmarkStart w:id="807" w:name="Tc_qmApXq-jYEywdnE4_l8Mlg_23_0"/>
      <w:bookmarkStart w:id="808" w:name="Tc_UkZy0Ac_ekGYFW-wtlbKAQ_22_0"/>
      <w:bookmarkStart w:id="809" w:name="Tc_Iu59fRi66EelIeGDQhOZqg_21_0"/>
      <w:bookmarkStart w:id="810" w:name="Tc_shz_8DbAWkGX_gA3r6f6fg_20_0"/>
      <w:bookmarkStart w:id="811" w:name="Tc_IoFUKFQxY0uZt4x2rAUxcQ_19_0"/>
      <w:bookmarkStart w:id="812" w:name="Tc_T47kndjTUk6CiINT0mWKMA_18_0"/>
      <w:bookmarkStart w:id="813" w:name="Tc_xW6_j5vGrUGTV9apn3vRSQ_17_0"/>
      <w:bookmarkStart w:id="814" w:name="Tc_l9z4jDFtV0CbusJXPRp5pA_16_0"/>
      <w:bookmarkStart w:id="815" w:name="Tc_cjxss9UawkickzHLb-pw7A_15_0"/>
      <w:bookmarkStart w:id="816" w:name="Tc_z5bGRtvSHk2lOX7qPtgmXA_14_0"/>
      <w:bookmarkStart w:id="817" w:name="Tc_GHYQMR7ApEqRwW-njv4vig_13_6"/>
      <w:bookmarkStart w:id="818" w:name="Tc_IRMv3YICj02l0W8_ae5MWg_13_0"/>
      <w:bookmarkStart w:id="819" w:name="Tc_CzCl-hUoTkqg9fHNLXgUrg_12_0"/>
      <w:bookmarkStart w:id="820" w:name="Tc_OdVle3hbYUiMcMSIBmQrHg_11_0"/>
      <w:bookmarkStart w:id="821" w:name="Tc_-kTC7ouvEUKm4ccbgI51Bw_10_0"/>
      <w:bookmarkStart w:id="822" w:name="Tc_0kWfA6d3RUyTDJTOtRhvdA_9_0"/>
      <w:bookmarkStart w:id="823" w:name="Tc_sNUOA_CP9keYL2Z9qkS7DQ_8_0"/>
      <w:bookmarkStart w:id="824" w:name="Tc_fg0oR-sZI0C_8s4oaYs-kw_7_0"/>
      <w:bookmarkStart w:id="825" w:name="Tc_6wpxO-VM8keecZr3nim1hA_6_0"/>
      <w:bookmarkStart w:id="826" w:name="Tc_ly9jVYc2BkiOiNOVVKy2-Q_5_5"/>
      <w:bookmarkStart w:id="827" w:name="Tc_DvQnXW4n5k-lTwgtlACElw_5_2"/>
      <w:bookmarkStart w:id="828" w:name="Tc_qARJinFksEWbfHx-KWuNaA_5_0"/>
      <w:bookmarkStart w:id="829" w:name="Tc_YBQtF7L-hkOsPnLmWTxUuw_4_0"/>
      <w:bookmarkStart w:id="830" w:name="Tc_g2AUt-gfb0Gh1PtDtCcb3A_3_5"/>
      <w:bookmarkStart w:id="831" w:name="Tc_XyGtiUdAfEyszpQTPLrEIw_3_2"/>
      <w:bookmarkStart w:id="832" w:name="Tc_4Pc2mEP0Xk-ZwJ-qWoyoIg_2_2"/>
      <w:bookmarkStart w:id="833" w:name="Tc_p36V5bRH-E68xpvLj4e07Q_1_2"/>
      <w:bookmarkStart w:id="834" w:name="_fd0d9590_db30_4207_bda2_308ab1eb4f5b"/>
      <w:bookmarkStart w:id="835" w:name="Tc_cF4Fc7J46k-IH9qrCf9NUQ_48_5"/>
      <w:bookmarkStart w:id="836" w:name="Tc_HB1vhlPHv0KS1zNbE-b0oQ_48_2"/>
      <w:bookmarkStart w:id="837" w:name="Tc__rUgRTJPtEqZGn-rRclRYQ_48_0"/>
      <w:bookmarkStart w:id="838" w:name="Tc_txs31_RthkCFc4F0L145Aw_47_0"/>
      <w:bookmarkStart w:id="839" w:name="Tc_HWY-ElEpmU2t2QePkz_h9g_46_0"/>
      <w:bookmarkStart w:id="840" w:name="Tc_UppRa0kPnU-QAw3e3xIKUQ_45_0"/>
      <w:bookmarkStart w:id="841" w:name="Tc_rtjn-p3uwEibrLoj58YnFQ_44_3"/>
      <w:bookmarkStart w:id="842" w:name="Tc_cI1KDW4-yEOCrsBaIIXlZw_44_0"/>
      <w:bookmarkStart w:id="843" w:name="Tc_lJowdARoQEKQZ4QhfhlwJg_43_0"/>
      <w:bookmarkStart w:id="844" w:name="Tc_eZ_GyfrrJUahuqRqeSGA_g_42_0"/>
      <w:bookmarkStart w:id="845" w:name="Tc_HVzQTaIFxki4tFGXrPH-jA_41_0"/>
      <w:bookmarkStart w:id="846" w:name="Tc_je-Qbjc3LkG8vLvDAPE0FQ_40_3"/>
      <w:bookmarkStart w:id="847" w:name="Tc_Uw3EDawyoE-X9jeqv_0RSw_40_0"/>
      <w:bookmarkStart w:id="848" w:name="Tc_KjdBeslbhUO0t-CiUB3B6g_39_0"/>
      <w:bookmarkStart w:id="849" w:name="Tc_7nXZG-TbLkiS0LfEohG_kw_38_0"/>
      <w:bookmarkStart w:id="850" w:name="Tc_dWWa0uxOdUa1-3NiVlRQhQ_37_0"/>
      <w:bookmarkStart w:id="851" w:name="Tc_kRZrYgE-o0uHyID2uGlGXQ_36_0"/>
      <w:bookmarkStart w:id="852" w:name="Tc_0wC6ETUmlU-fYXvffxFi-w_35_0"/>
      <w:bookmarkStart w:id="853" w:name="Tc_3thTIiVLz0mlGxob-oIphg_34_0"/>
      <w:bookmarkStart w:id="854" w:name="Tc_dHobdNBC10-kK88uycUG0g_33_0"/>
      <w:bookmarkStart w:id="855" w:name="Tc_a8wo84K0IU-_r4J4zPlKWQ_32_3"/>
      <w:bookmarkStart w:id="856" w:name="Tc_X0dzHfFCqEaj1p9gg7USGA_32_0"/>
      <w:bookmarkStart w:id="857" w:name="Tc_E-cCYBVQ506Ii629aWBIHg_31_0"/>
      <w:bookmarkStart w:id="858" w:name="Tc_vAVY3yNm6kOdBtmx3SxFpg_30_3"/>
      <w:bookmarkStart w:id="859" w:name="Tc_hXNE_LFLN0iqu40d3Pnyuw_30_0"/>
      <w:bookmarkStart w:id="860" w:name="Tc_DcZtiM-m3EW6XC-nnD-KkA_29_3"/>
      <w:bookmarkStart w:id="861" w:name="Tc_WqiIXaZijE21eUmO121heg_29_0"/>
      <w:bookmarkStart w:id="862" w:name="Tc_wuT0R0uDBUCU9bM6ixS8Ew_28_0"/>
      <w:bookmarkStart w:id="863" w:name="Tc_3W4O52_l0Eaa0_LP4SnaJg_27_0"/>
      <w:bookmarkStart w:id="864" w:name="Tc_guWpnLqgZEGl3dBjK2foJQ_26_0"/>
      <w:bookmarkStart w:id="865" w:name="Tc_0B_Q_yLsUUuHiCjVBHhlWg_25_6"/>
      <w:bookmarkStart w:id="866" w:name="Tc_6MEaHFsLTU-RroL4SPanHQ_25_0"/>
      <w:bookmarkStart w:id="867" w:name="Tc_LTmh4_Jl7ke3lds6jJV9Ow_24_0"/>
      <w:bookmarkStart w:id="868" w:name="Tc_qmApXq-jYEywdnE4_l8Mlg_23_0"/>
      <w:bookmarkStart w:id="869" w:name="Tc_UkZy0Ac_ekGYFW-wtlbKAQ_22_0"/>
      <w:bookmarkStart w:id="870" w:name="Tc_Iu59fRi66EelIeGDQhOZqg_21_0"/>
      <w:bookmarkStart w:id="871" w:name="Tc_shz_8DbAWkGX_gA3r6f6fg_20_0"/>
      <w:bookmarkStart w:id="872" w:name="Tc_IoFUKFQxY0uZt4x2rAUxcQ_19_0"/>
      <w:bookmarkStart w:id="873" w:name="Tc_T47kndjTUk6CiINT0mWKMA_18_0"/>
      <w:bookmarkStart w:id="874" w:name="Tc_xW6_j5vGrUGTV9apn3vRSQ_17_0"/>
      <w:bookmarkStart w:id="875" w:name="Tc_l9z4jDFtV0CbusJXPRp5pA_16_0"/>
      <w:bookmarkStart w:id="876" w:name="Tc_cjxss9UawkickzHLb-pw7A_15_0"/>
      <w:bookmarkStart w:id="877" w:name="Tc_z5bGRtvSHk2lOX7qPtgmXA_14_0"/>
      <w:bookmarkStart w:id="878" w:name="Tc_GHYQMR7ApEqRwW-njv4vig_13_6"/>
      <w:bookmarkStart w:id="879" w:name="Tc_IRMv3YICj02l0W8_ae5MWg_13_0"/>
      <w:bookmarkStart w:id="880" w:name="Tc_CzCl-hUoTkqg9fHNLXgUrg_12_0"/>
      <w:bookmarkStart w:id="881" w:name="Tc_OdVle3hbYUiMcMSIBmQrHg_11_0"/>
      <w:bookmarkStart w:id="882" w:name="Tc_-kTC7ouvEUKm4ccbgI51Bw_10_0"/>
      <w:bookmarkStart w:id="883" w:name="Tc_0kWfA6d3RUyTDJTOtRhvdA_9_0"/>
      <w:bookmarkStart w:id="884" w:name="Tc_sNUOA_CP9keYL2Z9qkS7DQ_8_0"/>
      <w:bookmarkStart w:id="885" w:name="Tc_fg0oR-sZI0C_8s4oaYs-kw_7_0"/>
      <w:bookmarkStart w:id="886" w:name="Tc_6wpxO-VM8keecZr3nim1hA_6_0"/>
      <w:bookmarkStart w:id="887" w:name="Tc_ly9jVYc2BkiOiNOVVKy2-Q_5_5"/>
      <w:bookmarkStart w:id="888" w:name="Tc_DvQnXW4n5k-lTwgtlACElw_5_2"/>
      <w:bookmarkStart w:id="889" w:name="Tc_qARJinFksEWbfHx-KWuNaA_5_0"/>
      <w:bookmarkStart w:id="890" w:name="Tc_YBQtF7L-hkOsPnLmWTxUuw_4_0"/>
      <w:bookmarkStart w:id="891" w:name="Tc_g2AUt-gfb0Gh1PtDtCcb3A_3_5"/>
      <w:bookmarkStart w:id="892" w:name="Tc_XyGtiUdAfEyszpQTPLrEIw_3_2"/>
      <w:bookmarkStart w:id="893" w:name="Tc_4Pc2mEP0Xk-ZwJ-qWoyoIg_2_2"/>
      <w:bookmarkStart w:id="894" w:name="Tc_p36V5bRH-E68xpvLj4e07Q_1_2"/>
      <w:bookmarkStart w:id="895" w:name="_fd0d9590_db30_4207_bda2_308ab1eb4f5b"/>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p>
    <w:tbl>
      <w:tblPr>
        <w:tblW w:w="9458" w:type="dxa"/>
        <w:jc w:val="left"/>
        <w:tblInd w:w="0" w:type="dxa"/>
        <w:tblLayout w:type="fixed"/>
        <w:tblCellMar>
          <w:top w:w="0" w:type="dxa"/>
          <w:left w:w="0" w:type="dxa"/>
          <w:bottom w:w="0" w:type="dxa"/>
          <w:right w:w="0" w:type="dxa"/>
        </w:tblCellMar>
      </w:tblPr>
      <w:tblGrid>
        <w:gridCol w:w="6421"/>
        <w:gridCol w:w="326"/>
        <w:gridCol w:w="196"/>
        <w:gridCol w:w="811"/>
        <w:gridCol w:w="326"/>
        <w:gridCol w:w="196"/>
        <w:gridCol w:w="811"/>
        <w:gridCol w:w="371"/>
      </w:tblGrid>
      <w:tr>
        <w:trPr/>
        <w:tc>
          <w:tcPr>
            <w:tcW w:w="6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4077335" cy="175260"/>
                      <wp:effectExtent l="0" t="0" r="0" b="0"/>
                      <wp:wrapNone/>
                      <wp:docPr id="85" name="Frame85"/>
                      <a:graphic xmlns:a="http://schemas.openxmlformats.org/drawingml/2006/main">
                        <a:graphicData uri="http://schemas.microsoft.com/office/word/2010/wordprocessingShape">
                          <wps:wsp>
                            <wps:cNvSpPr txBox="1"/>
                            <wps:spPr>
                              <a:xfrm>
                                <a:off x="0" y="0"/>
                                <a:ext cx="407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6" name="Frame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24460" cy="175260"/>
                      <wp:effectExtent l="0" t="0" r="0" b="0"/>
                      <wp:wrapNone/>
                      <wp:docPr id="87" name="Frame8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514985" cy="175260"/>
                      <wp:effectExtent l="0" t="0" r="0" b="0"/>
                      <wp:wrapNone/>
                      <wp:docPr id="88" name="Frame88"/>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24460" cy="175260"/>
                      <wp:effectExtent l="0" t="0" r="0" b="0"/>
                      <wp:wrapNone/>
                      <wp:docPr id="90" name="Frame9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14985" cy="175260"/>
                      <wp:effectExtent l="0" t="0" r="0" b="0"/>
                      <wp:wrapNone/>
                      <wp:docPr id="91" name="Frame9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35585" cy="175260"/>
                      <wp:effectExtent l="0" t="0" r="0" b="0"/>
                      <wp:wrapNone/>
                      <wp:docPr id="92" name="Frame92"/>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71" w:type="dxa"/>
            <w:tcBorders/>
            <w:vAlign w:val="center"/>
          </w:tcPr>
          <w:p>
            <w:pPr>
              <w:pStyle w:val="TableContents"/>
              <w:bidi w:val="0"/>
              <w:spacing w:before="0" w:after="0"/>
              <w:ind w:left="0" w:right="0" w:hanging="0"/>
              <w:jc w:val="left"/>
              <w:rPr/>
            </w:pPr>
            <w:r>
              <w:rPr/>
              <w:t>​</w:t>
            </w:r>
          </w:p>
        </w:tc>
      </w:tr>
      <w:tr>
        <w:trPr/>
        <w:tc>
          <w:tcPr>
            <w:tcW w:w="6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71" w:type="dxa"/>
            <w:tcBorders/>
            <w:vAlign w:val="center"/>
          </w:tcPr>
          <w:p>
            <w:pPr>
              <w:pStyle w:val="TableContents"/>
              <w:bidi w:val="0"/>
              <w:spacing w:before="0" w:after="0"/>
              <w:ind w:left="0" w:right="0" w:hanging="0"/>
              <w:jc w:val="center"/>
              <w:rPr/>
            </w:pPr>
            <w:r>
              <w:rPr/>
              <w:t>​</w:t>
            </w:r>
          </w:p>
        </w:tc>
      </w:tr>
      <w:tr>
        <w:trPr/>
        <w:tc>
          <w:tcPr>
            <w:tcW w:w="6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71" w:type="dxa"/>
            <w:tcBorders/>
            <w:vAlign w:val="center"/>
          </w:tcPr>
          <w:p>
            <w:pPr>
              <w:pStyle w:val="TableContents"/>
              <w:bidi w:val="0"/>
              <w:spacing w:before="0" w:after="0"/>
              <w:ind w:left="0" w:right="0" w:hanging="0"/>
              <w:jc w:val="left"/>
              <w:rPr/>
            </w:pPr>
            <w:r>
              <w:rPr/>
              <w:t>    </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  </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57,379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60,584</w:t>
            </w:r>
          </w:p>
        </w:tc>
        <w:tc>
          <w:tcPr>
            <w:tcW w:w="371" w:type="dxa"/>
            <w:tcBorders/>
            <w:vAlign w:val="center"/>
          </w:tcPr>
          <w:p>
            <w:pPr>
              <w:pStyle w:val="TableContents"/>
              <w:bidi w:val="0"/>
              <w:spacing w:before="0" w:after="0"/>
              <w:ind w:left="0" w:right="0" w:hanging="0"/>
              <w:jc w:val="left"/>
              <w:rPr/>
            </w:pPr>
            <w:r>
              <w:rPr/>
              <w:t>​</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income to 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4,323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4,977</w:t>
            </w:r>
          </w:p>
        </w:tc>
        <w:tc>
          <w:tcPr>
            <w:tcW w:w="371" w:type="dxa"/>
            <w:tcBorders/>
            <w:vAlign w:val="center"/>
          </w:tcPr>
          <w:p>
            <w:pPr>
              <w:pStyle w:val="TableContents"/>
              <w:bidi w:val="0"/>
              <w:spacing w:before="0" w:after="0"/>
              <w:ind w:left="0" w:right="0" w:hanging="0"/>
              <w:jc w:val="left"/>
              <w:rPr/>
            </w:pPr>
            <w:r>
              <w:rPr/>
              <w:t>​</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6,568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6,658</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operating lease income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(15,208)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(15,411)</w:t>
            </w:r>
          </w:p>
        </w:tc>
        <w:tc>
          <w:tcPr>
            <w:tcW w:w="371" w:type="dxa"/>
            <w:tcBorders/>
            <w:vAlign w:val="center"/>
          </w:tcPr>
          <w:p>
            <w:pPr>
              <w:pStyle w:val="TableContents"/>
              <w:bidi w:val="0"/>
              <w:spacing w:before="0" w:after="0"/>
              <w:ind w:left="0" w:right="0" w:hanging="0"/>
              <w:jc w:val="left"/>
              <w:rPr/>
            </w:pPr>
            <w:r>
              <w:rPr/>
              <w:t>​</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interest income from sales-type leases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(49,506)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(44,420)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interest expense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6,882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7,258</w:t>
            </w:r>
          </w:p>
        </w:tc>
        <w:tc>
          <w:tcPr>
            <w:tcW w:w="371" w:type="dxa"/>
            <w:tcBorders/>
            <w:vAlign w:val="center"/>
          </w:tcPr>
          <w:p>
            <w:pPr>
              <w:pStyle w:val="TableContents"/>
              <w:bidi w:val="0"/>
              <w:spacing w:before="0" w:after="0"/>
              <w:ind w:left="0" w:right="0" w:hanging="0"/>
              <w:jc w:val="left"/>
              <w:rPr/>
            </w:pPr>
            <w:r>
              <w:rPr/>
              <w:t>​</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real estate-related intangibles,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Write-off of investment in preferred equity</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Provision for credit losses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4,646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Earnings from equity method investments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(9,904)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(13,381)</w:t>
            </w:r>
          </w:p>
        </w:tc>
        <w:tc>
          <w:tcPr>
            <w:tcW w:w="371" w:type="dxa"/>
            <w:tcBorders/>
            <w:vAlign w:val="center"/>
          </w:tcPr>
          <w:p>
            <w:pPr>
              <w:pStyle w:val="TableContents"/>
              <w:bidi w:val="0"/>
              <w:spacing w:before="0" w:after="0"/>
              <w:ind w:left="0" w:right="0" w:hanging="0"/>
              <w:jc w:val="left"/>
              <w:rPr/>
            </w:pPr>
            <w:r>
              <w:rPr/>
              <w:t>​</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Distributions from operations of equity method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4,795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9,578</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premium, discount and deferred financing costs on debt obligations,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4,097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3,617</w:t>
            </w:r>
          </w:p>
        </w:tc>
        <w:tc>
          <w:tcPr>
            <w:tcW w:w="371" w:type="dxa"/>
            <w:tcBorders/>
            <w:vAlign w:val="center"/>
          </w:tcPr>
          <w:p>
            <w:pPr>
              <w:pStyle w:val="TableContents"/>
              <w:bidi w:val="0"/>
              <w:spacing w:before="0" w:after="0"/>
              <w:ind w:left="0" w:right="0" w:hanging="0"/>
              <w:jc w:val="left"/>
              <w:rPr/>
            </w:pPr>
            <w:r>
              <w:rPr/>
              <w:t>​</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(3,785)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assets and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deferred expenses and other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15,378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accounts payable, accrued expenses and other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5,766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1,410</w:t>
            </w:r>
          </w:p>
        </w:tc>
        <w:tc>
          <w:tcPr>
            <w:tcW w:w="371" w:type="dxa"/>
            <w:tcBorders/>
            <w:vAlign w:val="center"/>
          </w:tcPr>
          <w:p>
            <w:pPr>
              <w:pStyle w:val="TableContents"/>
              <w:bidi w:val="0"/>
              <w:spacing w:before="0" w:after="0"/>
              <w:ind w:left="0" w:right="0" w:hanging="0"/>
              <w:jc w:val="left"/>
              <w:rPr/>
            </w:pPr>
            <w:r>
              <w:rPr/>
              <w:t>​</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flows provided by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36,902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21,695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flows from investing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Origination/acquisition of net investment in sales-type leases and Ground Lease 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(81,293)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(180,649)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Origination of loans receivable,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(42,090)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Contributions to equity method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(15,387)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(9,621)</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Distributions from equity method investments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9,528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52,425</w:t>
            </w:r>
          </w:p>
        </w:tc>
        <w:tc>
          <w:tcPr>
            <w:tcW w:w="371" w:type="dxa"/>
            <w:tcBorders/>
            <w:vAlign w:val="center"/>
          </w:tcPr>
          <w:p>
            <w:pPr>
              <w:pStyle w:val="TableContents"/>
              <w:bidi w:val="0"/>
              <w:spacing w:before="0" w:after="0"/>
              <w:ind w:left="0" w:right="0" w:hanging="0"/>
              <w:jc w:val="left"/>
              <w:rPr/>
            </w:pPr>
            <w:r>
              <w:rPr/>
              <w:t>​</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proceeds received from sale of real estate available and held for sale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3,332</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Return of deposits on Ground Lease investments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536</w:t>
            </w:r>
          </w:p>
        </w:tc>
        <w:tc>
          <w:tcPr>
            <w:tcW w:w="371" w:type="dxa"/>
            <w:tcBorders/>
            <w:vAlign w:val="center"/>
          </w:tcPr>
          <w:p>
            <w:pPr>
              <w:pStyle w:val="TableContents"/>
              <w:bidi w:val="0"/>
              <w:spacing w:before="0" w:after="0"/>
              <w:ind w:left="0" w:right="0" w:hanging="0"/>
              <w:jc w:val="left"/>
              <w:rPr/>
            </w:pPr>
            <w:r>
              <w:rPr/>
              <w:t>​</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Funding of cash collateral for debt obligations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(19,112)</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received from derivative transactions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3,351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5,895</w:t>
            </w:r>
          </w:p>
        </w:tc>
        <w:tc>
          <w:tcPr>
            <w:tcW w:w="371" w:type="dxa"/>
            <w:tcBorders/>
            <w:vAlign w:val="center"/>
          </w:tcPr>
          <w:p>
            <w:pPr>
              <w:pStyle w:val="TableContents"/>
              <w:bidi w:val="0"/>
              <w:spacing w:before="0" w:after="0"/>
              <w:ind w:left="0" w:right="0" w:hanging="0"/>
              <w:jc w:val="left"/>
              <w:rPr/>
            </w:pPr>
            <w:r>
              <w:rPr/>
              <w:t>​</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received from the settlement of derivative transactions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9,687</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investing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684</w:t>
            </w:r>
          </w:p>
        </w:tc>
        <w:tc>
          <w:tcPr>
            <w:tcW w:w="371" w:type="dxa"/>
            <w:tcBorders/>
            <w:vAlign w:val="center"/>
          </w:tcPr>
          <w:p>
            <w:pPr>
              <w:pStyle w:val="TableContents"/>
              <w:bidi w:val="0"/>
              <w:spacing w:before="0" w:after="0"/>
              <w:ind w:left="0" w:right="0" w:hanging="0"/>
              <w:jc w:val="left"/>
              <w:rPr/>
            </w:pPr>
            <w:r>
              <w:rPr/>
              <w:t>​</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flows provided by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(123,961)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(136,823)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debt obligations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543,000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491,871</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Repayments of debt obligations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(420,000)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(356,000)</w:t>
            </w:r>
          </w:p>
        </w:tc>
        <w:tc>
          <w:tcPr>
            <w:tcW w:w="371" w:type="dxa"/>
            <w:tcBorders/>
            <w:vAlign w:val="center"/>
          </w:tcPr>
          <w:p>
            <w:pPr>
              <w:pStyle w:val="TableContents"/>
              <w:bidi w:val="0"/>
              <w:spacing w:before="0" w:after="0"/>
              <w:ind w:left="0" w:right="0" w:hanging="0"/>
              <w:jc w:val="left"/>
              <w:rPr/>
            </w:pPr>
            <w:r>
              <w:rPr/>
              <w:t>​</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for deferred financing costs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(19,747)</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Dividends paid to common shareholders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(25,538)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(25,310)</w:t>
            </w:r>
          </w:p>
        </w:tc>
        <w:tc>
          <w:tcPr>
            <w:tcW w:w="371" w:type="dxa"/>
            <w:tcBorders/>
            <w:vAlign w:val="center"/>
          </w:tcPr>
          <w:p>
            <w:pPr>
              <w:pStyle w:val="TableContents"/>
              <w:bidi w:val="0"/>
              <w:spacing w:before="0" w:after="0"/>
              <w:ind w:left="0" w:right="0" w:hanging="0"/>
              <w:jc w:val="left"/>
              <w:rPr/>
            </w:pPr>
            <w:r>
              <w:rPr/>
              <w:t>​</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 of offering costs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for withholding taxes upon vesting for stock-based compensation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(3,975)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(5,059)</w:t>
            </w:r>
          </w:p>
        </w:tc>
        <w:tc>
          <w:tcPr>
            <w:tcW w:w="371" w:type="dxa"/>
            <w:tcBorders/>
            <w:vAlign w:val="center"/>
          </w:tcPr>
          <w:p>
            <w:pPr>
              <w:pStyle w:val="TableContents"/>
              <w:bidi w:val="0"/>
              <w:spacing w:before="0" w:after="0"/>
              <w:ind w:left="0" w:right="0" w:hanging="0"/>
              <w:jc w:val="left"/>
              <w:rPr/>
            </w:pPr>
            <w:r>
              <w:rPr/>
              <w:t>​</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Redemption of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(18,435)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Distributions to noncontrolling interests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(419)</w:t>
            </w:r>
          </w:p>
        </w:tc>
        <w:tc>
          <w:tcPr>
            <w:tcW w:w="371" w:type="dxa"/>
            <w:tcBorders/>
            <w:vAlign w:val="center"/>
          </w:tcPr>
          <w:p>
            <w:pPr>
              <w:pStyle w:val="TableContents"/>
              <w:bidi w:val="0"/>
              <w:spacing w:before="0" w:after="0"/>
              <w:ind w:left="0" w:right="0" w:hanging="0"/>
              <w:jc w:val="left"/>
              <w:rPr/>
            </w:pPr>
            <w:r>
              <w:rPr/>
              <w:t>​</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Contributions from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23,560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flows provided by (used in) financing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92,878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90,410</w:t>
            </w:r>
          </w:p>
        </w:tc>
        <w:tc>
          <w:tcPr>
            <w:tcW w:w="371" w:type="dxa"/>
            <w:tcBorders/>
            <w:vAlign w:val="center"/>
          </w:tcPr>
          <w:p>
            <w:pPr>
              <w:pStyle w:val="TableContents"/>
              <w:bidi w:val="0"/>
              <w:spacing w:before="0" w:after="0"/>
              <w:ind w:left="0" w:right="0" w:hanging="0"/>
              <w:jc w:val="left"/>
              <w:rPr/>
            </w:pPr>
            <w:r>
              <w:rPr/>
              <w:t>​</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cash, cash equivalents and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5,819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(24,718)</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 at beginning of period</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17,118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46,740</w:t>
            </w:r>
          </w:p>
        </w:tc>
        <w:tc>
          <w:tcPr>
            <w:tcW w:w="371" w:type="dxa"/>
            <w:tcBorders/>
            <w:vAlign w:val="center"/>
          </w:tcPr>
          <w:p>
            <w:pPr>
              <w:pStyle w:val="TableContents"/>
              <w:bidi w:val="0"/>
              <w:spacing w:before="0" w:after="0"/>
              <w:ind w:left="0" w:right="0" w:hanging="0"/>
              <w:jc w:val="left"/>
              <w:rPr/>
            </w:pPr>
            <w:r>
              <w:rPr/>
              <w:t>​</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22,937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22,022</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896" w:name="Tc_VePeE-8_S0eDavyJl24vjw_10_3"/>
      <w:bookmarkStart w:id="897" w:name="Tc_8fV2hl1Wi0GsPHhjyx5F2Q_10_0"/>
      <w:bookmarkStart w:id="898" w:name="Tc_UCJzgPX8R0Kudvf8mErzqA_9_6"/>
      <w:bookmarkStart w:id="899" w:name="Tc_NqaqPjCNsEaLkVEcdmJhhQ_9_0"/>
      <w:bookmarkStart w:id="900" w:name="Tc_bkKafRYzNka5W6fiTmUtzg_8_3"/>
      <w:bookmarkStart w:id="901" w:name="Tc_TbC8h_1N20a4i0-JdAtbVA_8_0"/>
      <w:bookmarkStart w:id="902" w:name="Tc_4s0k5AbxhkKhty2EHkfA-w_7_0"/>
      <w:bookmarkStart w:id="903" w:name="Tc_57BhFqOkJUm2kA3gY5hDCg_6_5"/>
      <w:bookmarkStart w:id="904" w:name="Tc_0kZwUdvQlE27zdtWjFfFuA_6_2"/>
      <w:bookmarkStart w:id="905" w:name="Tc_7u6pvUfu8kWfngk83HgI3Q_6_0"/>
      <w:bookmarkStart w:id="906" w:name="Tc_itw5Oy9hq0ysPeRvBbl0bQ_5_0"/>
      <w:bookmarkStart w:id="907" w:name="Tc_FEpdddm9906YrR0cW9-x_Q_4_5"/>
      <w:bookmarkStart w:id="908" w:name="Tc_J-Xahyt7J0G3MQy1tbIiqA_4_2"/>
      <w:bookmarkStart w:id="909" w:name="Tc_DzJEpH1q70aHpDustP1dtg_4_0"/>
      <w:bookmarkStart w:id="910" w:name="Tc_mTDS33Af2Ua5UAMtGV3DvA_3_0"/>
      <w:bookmarkStart w:id="911" w:name="Tc_jZhAKhipz0m67efUm8ajtQ_2_5"/>
      <w:bookmarkStart w:id="912" w:name="Tc_tKgBK7wooUaj8x7LN-eNZA_2_2"/>
      <w:bookmarkStart w:id="913" w:name="Tc_q531PnmAZ0yiw3rABa_YOg_2_0"/>
      <w:bookmarkStart w:id="914" w:name="Tc_HR58KtFUpUaOyyta9rVm-g_1_0"/>
      <w:bookmarkStart w:id="915" w:name="_98dcd834_4744_49ba_ad35_ead54d580ad5"/>
      <w:bookmarkStart w:id="916" w:name="Tc_VePeE-8_S0eDavyJl24vjw_10_3"/>
      <w:bookmarkStart w:id="917" w:name="Tc_8fV2hl1Wi0GsPHhjyx5F2Q_10_0"/>
      <w:bookmarkStart w:id="918" w:name="Tc_UCJzgPX8R0Kudvf8mErzqA_9_6"/>
      <w:bookmarkStart w:id="919" w:name="Tc_NqaqPjCNsEaLkVEcdmJhhQ_9_0"/>
      <w:bookmarkStart w:id="920" w:name="Tc_bkKafRYzNka5W6fiTmUtzg_8_3"/>
      <w:bookmarkStart w:id="921" w:name="Tc_TbC8h_1N20a4i0-JdAtbVA_8_0"/>
      <w:bookmarkStart w:id="922" w:name="Tc_4s0k5AbxhkKhty2EHkfA-w_7_0"/>
      <w:bookmarkStart w:id="923" w:name="Tc_57BhFqOkJUm2kA3gY5hDCg_6_5"/>
      <w:bookmarkStart w:id="924" w:name="Tc_0kZwUdvQlE27zdtWjFfFuA_6_2"/>
      <w:bookmarkStart w:id="925" w:name="Tc_7u6pvUfu8kWfngk83HgI3Q_6_0"/>
      <w:bookmarkStart w:id="926" w:name="Tc_itw5Oy9hq0ysPeRvBbl0bQ_5_0"/>
      <w:bookmarkStart w:id="927" w:name="Tc_FEpdddm9906YrR0cW9-x_Q_4_5"/>
      <w:bookmarkStart w:id="928" w:name="Tc_J-Xahyt7J0G3MQy1tbIiqA_4_2"/>
      <w:bookmarkStart w:id="929" w:name="Tc_DzJEpH1q70aHpDustP1dtg_4_0"/>
      <w:bookmarkStart w:id="930" w:name="Tc_mTDS33Af2Ua5UAMtGV3DvA_3_0"/>
      <w:bookmarkStart w:id="931" w:name="Tc_jZhAKhipz0m67efUm8ajtQ_2_5"/>
      <w:bookmarkStart w:id="932" w:name="Tc_tKgBK7wooUaj8x7LN-eNZA_2_2"/>
      <w:bookmarkStart w:id="933" w:name="Tc_q531PnmAZ0yiw3rABa_YOg_2_0"/>
      <w:bookmarkStart w:id="934" w:name="Tc_HR58KtFUpUaOyyta9rVm-g_1_0"/>
      <w:bookmarkStart w:id="935" w:name="_98dcd834_4744_49ba_ad35_ead54d580ad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p>
    <w:tbl>
      <w:tblPr>
        <w:tblW w:w="8563" w:type="dxa"/>
        <w:jc w:val="left"/>
        <w:tblInd w:w="0" w:type="dxa"/>
        <w:tblLayout w:type="fixed"/>
        <w:tblCellMar>
          <w:top w:w="0" w:type="dxa"/>
          <w:left w:w="0" w:type="dxa"/>
          <w:bottom w:w="0" w:type="dxa"/>
          <w:right w:w="0" w:type="dxa"/>
        </w:tblCellMar>
      </w:tblPr>
      <w:tblGrid>
        <w:gridCol w:w="6916"/>
        <w:gridCol w:w="109"/>
        <w:gridCol w:w="181"/>
        <w:gridCol w:w="511"/>
        <w:gridCol w:w="109"/>
        <w:gridCol w:w="181"/>
        <w:gridCol w:w="556"/>
      </w:tblGrid>
      <w:tr>
        <w:trPr/>
        <w:tc>
          <w:tcPr>
            <w:tcW w:w="6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4391660" cy="175260"/>
                      <wp:effectExtent l="0" t="0" r="0" b="0"/>
                      <wp:wrapNone/>
                      <wp:docPr id="93" name="Frame93"/>
                      <a:graphic xmlns:a="http://schemas.openxmlformats.org/drawingml/2006/main">
                        <a:graphicData uri="http://schemas.microsoft.com/office/word/2010/wordprocessingShape">
                          <wps:wsp>
                            <wps:cNvSpPr txBox="1"/>
                            <wps:spPr>
                              <a:xfrm>
                                <a:off x="0" y="0"/>
                                <a:ext cx="439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9215" cy="175260"/>
                      <wp:effectExtent l="0" t="0" r="0" b="0"/>
                      <wp:wrapNone/>
                      <wp:docPr id="94" name="Frame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14935" cy="175260"/>
                      <wp:effectExtent l="0" t="0" r="0" b="0"/>
                      <wp:wrapNone/>
                      <wp:docPr id="95" name="Frame9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324485" cy="175260"/>
                      <wp:effectExtent l="0" t="0" r="0" b="0"/>
                      <wp:wrapNone/>
                      <wp:docPr id="96" name="Frame9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9215" cy="175260"/>
                      <wp:effectExtent l="0" t="0" r="0" b="0"/>
                      <wp:wrapNone/>
                      <wp:docPr id="97" name="Frame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14935" cy="175260"/>
                      <wp:effectExtent l="0" t="0" r="0" b="0"/>
                      <wp:wrapNone/>
                      <wp:docPr id="98" name="Frame9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353060" cy="175260"/>
                      <wp:effectExtent l="0" t="0" r="0" b="0"/>
                      <wp:wrapNone/>
                      <wp:docPr id="99" name="Frame99"/>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9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Reconciliation of cash and cash equivalents and restricted cash presented on the consolidated statements of cash flows</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0" w:hanging="0"/>
              <w:jc w:val="right"/>
              <w:rPr/>
            </w:pPr>
            <w:r>
              <w:rPr/>
              <w:t>​</w:t>
            </w:r>
          </w:p>
        </w:tc>
      </w:tr>
      <w:tr>
        <w:trPr/>
        <w:tc>
          <w:tcPr>
            <w:tcW w:w="69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Cash and cash equivalents</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13,907</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13,418</w:t>
            </w:r>
          </w:p>
        </w:tc>
      </w:tr>
      <w:tr>
        <w:trPr/>
        <w:tc>
          <w:tcPr>
            <w:tcW w:w="69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Restricted cash </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9,030</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8,604</w:t>
            </w:r>
          </w:p>
        </w:tc>
      </w:tr>
      <w:tr>
        <w:trPr/>
        <w:tc>
          <w:tcPr>
            <w:tcW w:w="69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 cash and cash equivalents and restricted cash</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22,937</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22,022</w:t>
            </w:r>
          </w:p>
        </w:tc>
      </w:tr>
      <w:tr>
        <w:trPr/>
        <w:tc>
          <w:tcPr>
            <w:tcW w:w="69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Supplemental disclosure of non-cash investing and financing activity:</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56" w:type="dxa"/>
            <w:tcBorders/>
            <w:vAlign w:val="center"/>
          </w:tcPr>
          <w:p>
            <w:pPr>
              <w:pStyle w:val="TableContents"/>
              <w:bidi w:val="0"/>
              <w:spacing w:before="0" w:after="1"/>
              <w:ind w:left="0" w:right="0" w:hanging="0"/>
              <w:jc w:val="right"/>
              <w:rPr/>
            </w:pPr>
            <w:r>
              <w:rPr/>
              <w:t>  </w:t>
            </w:r>
          </w:p>
        </w:tc>
      </w:tr>
      <w:tr>
        <w:trPr/>
        <w:tc>
          <w:tcPr>
            <w:tcW w:w="69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Dividends declared to common shareholders</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12,789</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12,745</w:t>
            </w:r>
          </w:p>
        </w:tc>
      </w:tr>
      <w:tr>
        <w:trPr/>
        <w:tc>
          <w:tcPr>
            <w:tcW w:w="69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Non-cash interest accrued to debt balances</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2,123</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5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2,068</w:t>
            </w:r>
          </w:p>
        </w:tc>
      </w:tr>
      <w:tr>
        <w:trPr/>
        <w:tc>
          <w:tcPr>
            <w:tcW w:w="69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Accrued finance costs</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5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661</w:t>
            </w:r>
          </w:p>
        </w:tc>
      </w:tr>
      <w:tr>
        <w:trPr/>
        <w:tc>
          <w:tcPr>
            <w:tcW w:w="69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Accrued loan acquisition costs</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1,525</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56" w:type="dxa"/>
            <w:tcBorders/>
            <w:vAlign w:val="center"/>
          </w:tcPr>
          <w:p>
            <w:pPr>
              <w:pStyle w:val="TableContents"/>
              <w:bidi w:val="0"/>
              <w:spacing w:before="0" w:after="1"/>
              <w:ind w:left="0" w:right="0" w:hanging="0"/>
              <w:jc w:val="right"/>
              <w:rPr/>
            </w:pPr>
            <w:r>
              <w:rPr/>
              <w:t>—</w:t>
            </w:r>
          </w:p>
        </w:tc>
      </w:tr>
      <w:tr>
        <w:trPr/>
        <w:tc>
          <w:tcPr>
            <w:tcW w:w="69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Real estate transferred to real estate available and held for sale</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60" w:hanging="0"/>
              <w:jc w:val="right"/>
              <w:rPr>
                <w:rFonts w:ascii="Times New Roman;Times;serif" w:hAnsi="Times New Roman;Times;serif"/>
                <w:sz w:val="14"/>
              </w:rPr>
            </w:pPr>
            <w:r>
              <w:rPr>
                <w:rFonts w:ascii="Times New Roman;Times;serif" w:hAnsi="Times New Roman;Times;serif"/>
                <w:sz w:val="14"/>
              </w:rPr>
              <w:t>3,366</w:t>
            </w:r>
          </w:p>
        </w:tc>
      </w:tr>
    </w:tbl>
    <w:p>
      <w:pPr>
        <w:pStyle w:val="TextBody"/>
        <w:bidi w:val="0"/>
        <w:spacing w:before="0" w:after="240"/>
        <w:ind w:left="0" w:right="0" w:firstLine="720"/>
        <w:jc w:val="center"/>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36" w:name="Note1BusinessandOrganization_244472"/>
      <w:bookmarkEnd w:id="936"/>
      <w:r>
        <w:rPr>
          <w:rFonts w:ascii="Times New Roman;Times;serif" w:hAnsi="Times New Roman;Times;serif"/>
          <w:b/>
          <w:sz w:val="20"/>
        </w:rPr>
        <w:t>Note 1—Business and Organization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Business</w:t>
      </w:r>
      <w:r>
        <w:rPr>
          <w:rFonts w:ascii="Times New Roman;Times;serif" w:hAnsi="Times New Roman;Times;serif"/>
          <w:sz w:val="20"/>
        </w:rPr>
        <w:t xml:space="preserve">—On March 31, 2023, Safehold Inc. (“Old Safe”) merged with and into iStar Inc. (“iStar”), at which time Old Safe ceased to exist and iStar continued as the surviving corporation and changed its name to “Safehold Inc.” (the “Merger”). Unless context otherwise requires, references to “the Company” refer to the business and operations of Old Safe and its consolidated subsidiaries prior to the Merger, and to Safehold Inc. (formerly iStar) and its consolidated subsidiaries following the consummation of the Merger. The Company is internally managed and operates its business through one reportable segment by acquiring, managing and capitalizing ground leases. The Company also manages entities focused on ground leases (refer to Note 8) and a wholly-owned subsidiary of the Company serves as external manager to Star Holdings (“Star Holdings”), a Maryland statutory trust that holds the legacy non-ground lease assets held by iStar prior to the Merger as well as shares of common stock of the Company. Ground leases are long-term contracts between the landlord (the Company) and a tenant or leaseholder. Ground leases generally represent ownership of the land underlying commercial real estate projects that is net leased by the fee owner of the land to the owners/operators of the real estate projects built thereon (“Ground Leases”). Under a Ground Lease, the tenant is generally responsible for all property operating expenses, such as maintenance, real estate taxes and insurance and is also responsible for development costs and capital expenditures. Ground Leases are typically long-term (base terms ranging from </w:t>
      </w:r>
      <w:r>
        <w:rPr>
          <w:rFonts w:ascii="Times New Roman;Times;serif" w:hAnsi="Times New Roman;Times;serif"/>
          <w:b w:val="false"/>
          <w:i w:val="false"/>
          <w:caps w:val="false"/>
          <w:smallCaps w:val="false"/>
          <w:sz w:val="20"/>
        </w:rPr>
        <w:t>30</w:t>
      </w:r>
      <w:r>
        <w:rPr>
          <w:rFonts w:ascii="Times New Roman;Times;serif" w:hAnsi="Times New Roman;Times;serif"/>
          <w:sz w:val="20"/>
        </w:rPr>
        <w:t xml:space="preserve"> to 99 years, often with tenant renewal options) and have contractual base rent increases (either at a specified percentage or consumer price index (“CPI”) based, or both) and sometimes include percentage rent participations. The Company’s CPI lookbacks are generally capped between 3.0% - 3.5% and generally start between years 11 and 21 of the lease term. In the event cumulative inflation growth for the lookback period exceeds the cap, these rent adjustments may not keep up fully with changes in inflation.</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intends to target investments in long-term Ground Leases in which: (i) the initial cost of its Ground Lease represents 30% to 45% of the combined value of the land and buildings and improvements thereon as if there was no Ground Lease on the land (“Combined Property Value”); (ii) the ratio of property net operating income to the Ground Lease payment due the Company (“Ground Rent Coverage”) is between 2.0x to 4.5x, and for this purpose the Company uses estimates of the stabilized property net operating income if it does not receive current tenant information and for properties under construction or in transition, in each case based on leasing activity at the property and available market information, including leasing activity at comparable properties in the relevant market; and (iii) the Ground Lease contains contractual rent escalation clauses or percentage rent that participates in gross revenues generated by the commercial real estate on the land. As Ground Lease lessor, the Company typically has the right to regain possession of its land and take ownership of the buildings and improvements thereon upon tenant default and the termination of the Ground Lease on account of such default. The Company believes that the Ground Lease structure provides an opportunity for potential value accretion through the reversion to the Company, as the Ground Lease owner, of the buildings and improvements on the land at the expiration or earlier termination of the lease, for no additional consideration from the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Organization</w:t>
      </w:r>
      <w:r>
        <w:rPr>
          <w:rFonts w:ascii="Times New Roman;Times;serif" w:hAnsi="Times New Roman;Times;serif"/>
          <w:sz w:val="20"/>
        </w:rPr>
        <w:t xml:space="preserve">—The Company is a Maryland corporation and its common stock is listed on the New York Stock Exchange (“NYSE”) under the symbol “SAFE.” The Company (then known as iStar) elected to be treated as a real estate investment trust (“REIT”) for U.S. federal income tax purposes, commencing with the tax year ended December 31, 1998.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conducts all of its business and owns all of its properties through Safehold GL Holdings LLC (“Portfolio Holdings”), which, prior to its conversion into a Delaware limited liability company in connection with the Merger, was named Safehold Operating Partnership LP. The Company, management of the Company, employees and former employees of the Company, affiliates of MSD Partners, L.P. (“MSD Partners”) and other outside investors own the issued and outstanding equity of Portfolio Holdings.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Safehold Management Services Inc. (“SpinCo Manager”), a Delaware corporation and a subsidiary of the Company, is party to a management agreement with Star Holdings dated as of March 31, 2023, as amended, pursuant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which SpinCo Manager is operating and pursuing the orderly monetization of Star Holding’s assets. Star Holdings paid SpinCo Manager an annual management fee of $25.0 million for the term ended March 31, 2024 and $15.0 million for the term ended March 31, 2025. The annual fee declines to $10.0 million and $7.5 million (refer to Note 15), respectively, for each of the following annual terms, and adjusts to 2.0% of the gross book value of Star Holdings’ assets, excluding shares of the Company’s common stock held by Star Holdings, thereafter. The Company and Star Holdings also entered into a governance agreement that places certain restrictions on the transfer and voting of the shares of the Company owned by Star Holdings, and a registration rights agreement under which the Company agreed to register such shares for resale in accordance with applicable securities laws.</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2—Basis of Presentation and Principles of Consolidation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Basis of Presentation</w:t>
      </w:r>
      <w:r>
        <w:rPr>
          <w:rFonts w:ascii="Times New Roman;Times;serif" w:hAnsi="Times New Roman;Times;serif"/>
          <w:sz w:val="20"/>
        </w:rPr>
        <w:t>—The accompanying unaudited condensed consolidated financial statements have been prepared in conformity with the instructions to Form 10-Q and Article 10-01 of Regulation S-X for interim financial statements. Accordingly, they do not include all the information and footnotes required by generally accepted accounting principles in the United States of America (“GAAP”) for complete financial statements. These unaudited consolidated financial statements and related notes should be read in conjunction with the consolidated financial statements and related notes included in the Company’s Annual Report on Form 10-K for the year ended December 31, 2024 (the “2024 Annual Report”).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preparation of these consolidated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 Certain prior year amounts have been reclassified in the Company's consolidated financial statements and the related notes to conform to the current period presentation.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opinion of management, the accompanying consolidated financial statements contain all adjustments consisting of normal recurring adjustments necessary for a fair statement of the results for the interim periods presented. Such operating results may not be indicative of the expected results for any other interim periods or the entire year.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Principles of Consolidation</w:t>
      </w:r>
      <w:r>
        <w:rPr>
          <w:rFonts w:ascii="Times New Roman;Times;serif" w:hAnsi="Times New Roman;Times;serif"/>
          <w:sz w:val="20"/>
        </w:rPr>
        <w:t>—The consolidated financial statements include the accounts and operations of the Company, its wholly-owned subsidiaries and VIEs for which the Company is the primary beneficiary. All intercompany balances and transactions have been eliminated in consolidation.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Consolidated VIEs</w:t>
      </w:r>
      <w:r>
        <w:rPr>
          <w:rFonts w:ascii="Times New Roman;Times;serif" w:hAnsi="Times New Roman;Times;serif"/>
          <w:sz w:val="20"/>
        </w:rPr>
        <w:t xml:space="preserve">—The Company consolidates VIEs for which it is considered the primary beneficiary. As of June 30, 2025, the total assets of these consolidated VIEs were $77.7 million and total liabilities were $30.0 million. The classifications of these assets are primarily within “Net investment in sales-type leases,” “Real estate, net,” “Real estate-related intangible assets, net” and “Deferred operating lease income receivable” on the Company’s consolidated balance sheets. The classifications of liabilities are primarily within “Debt obligations, net” and “Accounts payable, accrued expenses and other liabilities” on the Company’s consolidated balance sheets. The liabilities of these VIEs are non-recourse to the Company and can only be satisfied from each VIE’s respective assets. The Company has provided no financial support to VIEs that it was not previously contractually required to provide and did not have any unfunded commitments related to consolidated VIEs as of June 30, 2025.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3—Summary of Significant Accounting Policies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Significant Accounting Policies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Loans receivable, net</w:t>
      </w:r>
      <w:r>
        <w:rPr>
          <w:rFonts w:ascii="Times New Roman;Times;serif" w:hAnsi="Times New Roman;Times;serif"/>
          <w:sz w:val="20"/>
        </w:rPr>
        <w:t>—Loans receivable, net includes senior mortgages that the Company originated to certain of its Ground Lease tenants in connection with Ground Leases (refer to Note 6). The Company’s loans receivable are classified as held-for-investment and are reported at their outstanding unpaid principal balance net of any unamortized acquisition premiums or discounts, unamortized deferred loan costs or fees and credit loss allowances.</w:t>
      </w:r>
    </w:p>
    <w:p>
      <w:pPr>
        <w:pStyle w:val="TextBody"/>
        <w:bidi w:val="0"/>
        <w:spacing w:before="0" w:after="0"/>
        <w:ind w:left="0" w:right="0" w:hanging="0"/>
        <w:jc w:val="both"/>
        <w:rPr/>
      </w:pPr>
      <w:r>
        <w:rPr/>
        <w:t>​</w:t>
      </w:r>
    </w:p>
    <w:p>
      <w:pPr>
        <w:pStyle w:val="TextBody"/>
        <w:bidi w:val="0"/>
        <w:spacing w:before="0" w:after="0"/>
        <w:ind w:left="0" w:right="0" w:firstLine="810"/>
        <w:jc w:val="both"/>
        <w:rPr>
          <w:rFonts w:ascii="Times New Roman;Times;serif" w:hAnsi="Times New Roman;Times;serif"/>
          <w:sz w:val="20"/>
        </w:rPr>
      </w:pPr>
      <w:r>
        <w:rPr>
          <w:rFonts w:ascii="Times New Roman;Times;serif" w:hAnsi="Times New Roman;Times;serif"/>
          <w:sz w:val="20"/>
        </w:rPr>
        <w:t>The Company performs a quarterly analysis of its loans receivable that incorporates management’s current judgments about credit quality based on all known and relevant internal and external factors that may affect collectability. The Company considers, among other things, payment status, lien position, borrower financial resources and investment collateral, collateral type, project economics and other economic factors. The Company estimates its expected loss on its loans receivable (including unfunded commitments) based on relevant information including current market conditions and reasonable and supportable forecasts that affect the collectability of its investments. The estimate of the Company’s expected loss requires significant judgment. The Company calculates its expected loss through the use of third-party historical market data for loans with similar characteristics to the Company’s loan portfolio. The Company also utilizes a third-party to provide forecasts to incorporate current and future economic conditions that may impact the performance of the commercial real estate assets securing its investments.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will consider a loan to be non-performing and place it on non-accrual status at such time as: (1) interest payments become 90 days delinquent; (2) it has a maturity default; or (3) management determines it is probable that it will be unable to collect all amounts due according to the contractual terms of the loan. Non-accrual loans will be returned to accrual status when they have become contractually current and management believes all amounts contractually owed will be received.</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made the accounting policy election to record accrued interest on its loans receivable separate from its loans receivable and to exclude accrued interest from its amortized cost basis disclosures. Any accrued interest receivable is recorded in “Deferred expenses and other assets, net” on the Company’s consolidated balance sheets. As of June 30, 2025, the Company had $0.1 million of accrued interest on its consolidated balance sheet. The Company will place its loans on non-accrual status once interest on the loan becomes 90 days delinquent and will reverse any accrued interest as a reduction to interest income or recognize a credit loss expense at such time. As such, the Company elected the practical expedient to not record an allowance against accrued interest receivable. During the three and six months ended June 30, 2025, the Company did not reverse any accrued interest on its loans receivable.</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Interest Income</w:t>
      </w:r>
      <w:r>
        <w:rPr>
          <w:rFonts w:ascii="Times New Roman;Times;serif" w:hAnsi="Times New Roman;Times;serif"/>
          <w:sz w:val="20"/>
        </w:rPr>
        <w:t>—Interest income on the Company’s loans receivable (refer to Note 6) is recognized on an accrual basis using the effective interest method and is recorded in “Interest income” in the Company’s consolidated statements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bookmarkStart w:id="937" w:name="Tc_q2I35_4X80-yosZRChbtBw_16_0"/>
      <w:bookmarkStart w:id="938" w:name="Tc_5Ck0lKHSyk6F_o_-fLv5YA_15_0"/>
      <w:bookmarkStart w:id="939" w:name="Tc_is8ZLijniUGcYRhllWg8gQ_14_0"/>
      <w:bookmarkStart w:id="940" w:name="Tc_H9iXZFYHaEulVFjr8c9F7g_13_0"/>
      <w:bookmarkStart w:id="941" w:name="Tc_pIR7GTe6OkiU0Xk-PpKkAQ_12_0"/>
      <w:bookmarkStart w:id="942" w:name="Tc_QfesbyxyH0WCV55OiPGlGg_10_0"/>
      <w:bookmarkStart w:id="943" w:name="Tc_q6O6hXuNAU6jRrbj42L5fw_9_0"/>
      <w:bookmarkStart w:id="944" w:name="Tc_CxNstq1WZkSP0hBjiVCe1g_8_0"/>
      <w:bookmarkStart w:id="945" w:name="Tc_YRI4WEWUSEuD37LRjD8PDA_7_12"/>
      <w:bookmarkStart w:id="946" w:name="Tc_mzF8mf_AzUeD2F4YXgmqcw_7_9"/>
      <w:bookmarkStart w:id="947" w:name="Tc_WLlQyXiLz0i4JZCUnEhVbA_7_0"/>
      <w:bookmarkStart w:id="948" w:name="Tc_EiDmqN5U60uA-d64kpnETQ_6_0"/>
      <w:bookmarkStart w:id="949" w:name="Tc_KBVckSWStEqfXqGQP1QhLQ_5_11"/>
      <w:bookmarkStart w:id="950" w:name="Tc__bzc8zpO8EK1mUcgkSFPfg_5_8"/>
      <w:bookmarkStart w:id="951" w:name="Tc_CpruCuXRrUKxZrWRmXwJ0A_5_5"/>
      <w:bookmarkStart w:id="952" w:name="Tc_c0yLudFvTk6oNd6KORO0DA_5_2"/>
      <w:bookmarkStart w:id="953" w:name="Tc_o2RNDl1rLUSBzutiwNsUkg_5_0"/>
      <w:bookmarkStart w:id="954" w:name="Tc_v8DS8RIZM0ibH6Pd9xKuwA_4_0"/>
      <w:bookmarkStart w:id="955" w:name="Tc_1qmT_QU5IkOb9kB0lQhzLA_3_11"/>
      <w:bookmarkStart w:id="956" w:name="Tc_CImNcwxbqEGqhaYQgm1iCg_3_8"/>
      <w:bookmarkStart w:id="957" w:name="Tc_aKbd08KoB0Ox8AcJ88Fx8A_3_5"/>
      <w:bookmarkStart w:id="958" w:name="Tc_SzkG5JFdWECqx1D-9g9EDA_3_2"/>
      <w:bookmarkStart w:id="959" w:name="Tc_TXhsUgP7FEiQ6L6Sctkhog_2_11"/>
      <w:bookmarkStart w:id="960" w:name="Tc_xcyVyV4jiESMuOgQTiC3dg_2_8"/>
      <w:bookmarkStart w:id="961" w:name="Tc_Wf5pgFEuAkCKOmv3mMXAlw_2_5"/>
      <w:bookmarkStart w:id="962" w:name="Tc_qPTvbFzNrkq5VGzpQmHTEA_2_2"/>
      <w:bookmarkStart w:id="963" w:name="Tc_3JFC1lr-YkKaAmG7OGVpnA_1_8"/>
      <w:bookmarkStart w:id="964" w:name="Tc_z2AcfTRLiEmykX_hcAa8qg_1_2"/>
      <w:bookmarkStart w:id="965" w:name="_0dcd32ce_8522_4439_8488_cc4ddec7d7a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r>
        <w:rPr>
          <w:rFonts w:ascii="Times New Roman;Times;serif" w:hAnsi="Times New Roman;Times;serif"/>
          <w:i/>
          <w:sz w:val="20"/>
        </w:rPr>
        <w:t>Fair Values</w:t>
      </w:r>
      <w:r>
        <w:rPr>
          <w:rFonts w:ascii="Times New Roman;Times;serif" w:hAnsi="Times New Roman;Times;serif"/>
          <w:sz w:val="20"/>
        </w:rPr>
        <w:t>—The Company is required to disclose fair value information with regard to its financial instruments, whether or not recognized in the consolidated balance sheets, for which it is practical to estimate fair value. The Financial Accounting Standards Board (“FASB”) guidance defines fair value as the price that would be received to sell an asset or paid to transfer a liability in an orderly transaction between market participants on the measurement date. The following fair value hierarchy prioritizes the inputs to be used in valuation techniques to measure fair value: Level 1: unadjusted quoted prices in active markets that are accessible at the measurement date for identical, unrestricted assets or liabilities; Level 2: quoted prices in markets that are not active, or inputs which are observable, either directly or indirectly, for substantially the full term of the asset or liability; and Level 3: prices or valuation techniques that require inputs that are both significant to the fair value measurement and unobservable (i.e., supported by little or no market activity). The Company determines the estimated fair values of financial assets and liabilities based on a hierarchy that distinguishes between market participant assumptions based on market data obtained from sources independent of the Company and the Company’s own assumptions about market participant assumptions.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following table presents the carrying value and fair value for the Company’s financial instruments ($ in millions): </w:t>
      </w:r>
    </w:p>
    <w:tbl>
      <w:tblPr>
        <w:tblW w:w="7762" w:type="dxa"/>
        <w:jc w:val="left"/>
        <w:tblInd w:w="0" w:type="dxa"/>
        <w:tblLayout w:type="fixed"/>
        <w:tblCellMar>
          <w:top w:w="0" w:type="dxa"/>
          <w:left w:w="0" w:type="dxa"/>
          <w:bottom w:w="0" w:type="dxa"/>
          <w:right w:w="0" w:type="dxa"/>
        </w:tblCellMar>
      </w:tblPr>
      <w:tblGrid>
        <w:gridCol w:w="3181"/>
        <w:gridCol w:w="326"/>
        <w:gridCol w:w="211"/>
        <w:gridCol w:w="571"/>
        <w:gridCol w:w="326"/>
        <w:gridCol w:w="211"/>
        <w:gridCol w:w="571"/>
        <w:gridCol w:w="326"/>
        <w:gridCol w:w="222"/>
        <w:gridCol w:w="604"/>
        <w:gridCol w:w="326"/>
        <w:gridCol w:w="211"/>
        <w:gridCol w:w="676"/>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19935" cy="175260"/>
                      <wp:effectExtent l="0" t="0" r="0" b="0"/>
                      <wp:wrapNone/>
                      <wp:docPr id="100" name="Frame100"/>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2"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362585" cy="175260"/>
                      <wp:effectExtent l="0" t="0" r="0" b="0"/>
                      <wp:wrapNone/>
                      <wp:docPr id="103" name="Frame10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4"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3985" cy="175260"/>
                      <wp:effectExtent l="0" t="0" r="0" b="0"/>
                      <wp:wrapNone/>
                      <wp:docPr id="105" name="Frame1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362585" cy="175260"/>
                      <wp:effectExtent l="0" t="0" r="0" b="0"/>
                      <wp:wrapNone/>
                      <wp:docPr id="106" name="Frame10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7" name="Frame1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40970" cy="175260"/>
                      <wp:effectExtent l="0" t="0" r="0" b="0"/>
                      <wp:wrapNone/>
                      <wp:docPr id="108" name="Frame108"/>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383540" cy="175260"/>
                      <wp:effectExtent l="0" t="0" r="0" b="0"/>
                      <wp:wrapNone/>
                      <wp:docPr id="109" name="Frame109"/>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3985" cy="175260"/>
                      <wp:effectExtent l="0" t="0" r="0" b="0"/>
                      <wp:wrapNone/>
                      <wp:docPr id="111" name="Frame1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29260" cy="175260"/>
                      <wp:effectExtent l="0" t="0" r="0" b="0"/>
                      <wp:wrapNone/>
                      <wp:docPr id="112" name="Frame11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8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2025</w:t>
            </w:r>
          </w:p>
        </w:tc>
        <w:tc>
          <w:tcPr>
            <w:tcW w:w="326" w:type="dxa"/>
            <w:tcBorders/>
            <w:vAlign w:val="center"/>
          </w:tcPr>
          <w:p>
            <w:pPr>
              <w:pStyle w:val="TableContents"/>
              <w:bidi w:val="0"/>
              <w:spacing w:before="0" w:after="1"/>
              <w:ind w:left="0" w:right="0" w:hanging="0"/>
              <w:jc w:val="left"/>
              <w:rPr/>
            </w:pPr>
            <w:r>
              <w:rPr/>
              <w:t>​</w:t>
            </w:r>
          </w:p>
        </w:tc>
        <w:tc>
          <w:tcPr>
            <w:tcW w:w="203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2024</w:t>
            </w:r>
          </w:p>
        </w:tc>
      </w:tr>
      <w:tr>
        <w:trPr/>
        <w:tc>
          <w:tcPr>
            <w:tcW w:w="3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26" w:type="dxa"/>
            <w:tcBorders/>
            <w:vAlign w:val="center"/>
          </w:tcPr>
          <w:p>
            <w:pPr>
              <w:pStyle w:val="TableContents"/>
              <w:bidi w:val="0"/>
              <w:spacing w:before="0" w:after="1"/>
              <w:ind w:left="0" w:right="0" w:hanging="0"/>
              <w:jc w:val="center"/>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326" w:type="dxa"/>
            <w:tcBorders/>
            <w:vAlign w:val="center"/>
          </w:tcPr>
          <w:p>
            <w:pPr>
              <w:pStyle w:val="TableContents"/>
              <w:bidi w:val="0"/>
              <w:spacing w:before="0" w:after="1"/>
              <w:ind w:left="0" w:right="0" w:hanging="0"/>
              <w:jc w:val="left"/>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 </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3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1"/>
              <w:ind w:left="0" w:right="0" w:hanging="0"/>
              <w:jc w:val="left"/>
              <w:rPr/>
            </w:pPr>
            <w:r>
              <w:rPr/>
              <w:t>    </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center"/>
              <w:rPr/>
            </w:pPr>
            <w:r>
              <w:rPr/>
              <w:t>​</w:t>
            </w:r>
          </w:p>
        </w:tc>
        <w:tc>
          <w:tcPr>
            <w:tcW w:w="60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r>
      <w:tr>
        <w:trPr/>
        <w:tc>
          <w:tcPr>
            <w:tcW w:w="318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Net investment in sales-type leases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3,328</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3,680</w:t>
            </w:r>
          </w:p>
        </w:tc>
      </w:tr>
      <w:tr>
        <w:trPr/>
        <w:tc>
          <w:tcPr>
            <w:tcW w:w="318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Ground Lease receivables</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1,897</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2,043</w:t>
            </w:r>
          </w:p>
        </w:tc>
      </w:tr>
      <w:tr>
        <w:trPr/>
        <w:tc>
          <w:tcPr>
            <w:tcW w:w="318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Loans receivable, net</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r>
      <w:tr>
        <w:trPr/>
        <w:tc>
          <w:tcPr>
            <w:tcW w:w="318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Loans receivable, net - related party</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318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318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Restricted cash</w:t>
            </w:r>
            <w:r>
              <w:rPr>
                <w:rFonts w:ascii="Times New Roman;Times;serif" w:hAnsi="Times New Roman;Times;serif"/>
                <w:sz w:val="15"/>
              </w:rPr>
              <w:t>(2)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31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r>
      <w:tr>
        <w:trPr/>
        <w:tc>
          <w:tcPr>
            <w:tcW w:w="318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Debt obligations, net</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Level 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1,377</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1,335</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Level 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2,482</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6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2,351</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 obligations,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3,859</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6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3,686</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1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shd w:fill="FFFFFF" w:val="clear"/>
              </w:rPr>
              <w:t>The fair value of the Company’s net investment in sales-type leases, Ground Lease receivables, loans receivable, net and loans receivable, net – related party are classified as Level 3 within the fair value hierarchy</w:t>
            </w:r>
            <w:r>
              <w:rPr>
                <w:rFonts w:ascii="Times New Roman;Times;serif" w:hAnsi="Times New Roman;Times;serif"/>
                <w:b w:val="false"/>
                <w:i w:val="false"/>
                <w:caps w:val="false"/>
                <w:smallCaps w:val="false"/>
                <w:sz w:val="16"/>
              </w:rPr>
              <w:t>.</w:t>
            </w:r>
            <w:r>
              <w:rPr>
                <w:caps w:val="false"/>
                <w:smallCaps w:val="false"/>
                <w:shd w:fill="FFFFFF" w:val="clear"/>
              </w:rPr>
              <w:t xml:space="preserve"> </w:t>
            </w:r>
            <w:r>
              <w:rPr>
                <w:rFonts w:ascii="Times New Roman;Times;serif" w:hAnsi="Times New Roman;Times;serif"/>
                <w:b w:val="false"/>
                <w:i w:val="false"/>
                <w:caps w:val="false"/>
                <w:smallCaps w:val="false"/>
                <w:sz w:val="16"/>
                <w:shd w:fill="FFFFFF" w:val="clear"/>
              </w:rPr>
              <w:t>The fair value of the Company’s debt obligations traded in secondary markets are classified as Level 1 within the fair value hierarchy and the fair value of the Company’s debt obligations not traded in secondary markets are classified as Level 3 within the fair value hierarchy.</w:t>
            </w:r>
          </w:p>
        </w:tc>
      </w:tr>
    </w:tbl>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9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Company determined the carrying values of its cash and cash equivalents and restricted cash approximated their fair values and are classified as Level 1 within the fair value hierarchy</w:t>
            </w:r>
            <w:r>
              <w:rPr>
                <w:rFonts w:ascii="Times New Roman;Times;serif" w:hAnsi="Times New Roman;Times;serif"/>
                <w:b w:val="false"/>
                <w:i w:val="false"/>
                <w:caps w:val="false"/>
                <w:smallCaps w:val="false"/>
                <w:sz w:val="16"/>
                <w:shd w:fill="FFFFFF" w:val="clear"/>
              </w:rPr>
              <w:t>.</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Redeemable Noncontrolling Interests</w:t>
      </w:r>
      <w:r>
        <w:rPr>
          <w:rFonts w:ascii="Times New Roman;Times;serif" w:hAnsi="Times New Roman;Times;serif"/>
          <w:sz w:val="20"/>
        </w:rPr>
        <w:t xml:space="preserve">—In February 2022, the Company sold 108,571 Caret units of Portfolio Holdings (refer to Note 13) for $19.0 million to third-party investors and received a commitment from an existing shareholder (which was affiliated with one of the Company’s independent directors) for the purchase of 28,571 Caret units for $5.0 million (which did not close). As part of the sale, the Company agreed to use commercially reasonable efforts to provide public market liquidity for such Caret units by seeking to provide a listing of the Caret units, or securities into which they may be exchanged, within two years of the sale. Because public market liquidity was not achieved by February 2024, </w:t>
      </w:r>
      <w:r>
        <w:rPr>
          <w:rFonts w:ascii="Times New Roman;Times;serif" w:hAnsi="Times New Roman;Times;serif"/>
          <w:sz w:val="20"/>
          <w:shd w:fill="FFFFFF" w:val="clear"/>
        </w:rPr>
        <w:t>the investors in the February 2022 transaction had the right to cause their Caret units purchased in February 2022 to be redeemed by Portfolio Holdings at their original purchase price less the amount of distributions previously made on such units.</w:t>
      </w:r>
      <w:r>
        <w:rPr>
          <w:rFonts w:ascii="Times New Roman;Times;serif" w:hAnsi="Times New Roman;Times;serif"/>
          <w:sz w:val="20"/>
        </w:rPr>
        <w:t xml:space="preserve"> During the three months ended March 31, 2024, the redemption option was extended to April 2024. In April 2024, all of the investors in the February 2022 transaction exercised this right and elected to have their Caret units redeemed at the original purchase price </w:t>
      </w:r>
      <w:r>
        <w:rPr>
          <w:rFonts w:ascii="Times New Roman;Times;serif" w:hAnsi="Times New Roman;Times;serif"/>
          <w:sz w:val="20"/>
          <w:shd w:fill="FFFFFF" w:val="clear"/>
        </w:rPr>
        <w:t>less the amount of distributions previously made on such units</w:t>
      </w:r>
      <w:r>
        <w:rPr>
          <w:rFonts w:ascii="Times New Roman;Times;serif" w:hAnsi="Times New Roman;Time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classified these redeemable Caret units in accordance with Accounting Standards Codification (“ASC”) 480: Distinguishing Liabilities from Equity. ASC 480-10-S99-3A requires that equity securities redeemable at the option of the holder be classified outside of permanent stockholders’ equity. The Company classified redeemable Caret units as “Redeemable noncontrolling interests” in its consolidated balance sheets and consolidated statements of changes in equity. The redeemable noncontrolling interest’s carrying amount was equal to the higher of (i) the initial carrying amount, increased or decreased for the redeemable noncontrolling interest’s share of net income or loss and dividends; or (ii) the redemption value. </w:t>
      </w:r>
    </w:p>
    <w:p>
      <w:pPr>
        <w:pStyle w:val="TextBody"/>
        <w:bidi w:val="0"/>
        <w:spacing w:before="0" w:after="0"/>
        <w:ind w:left="0" w:right="0" w:firstLine="720"/>
        <w:jc w:val="both"/>
        <w:rPr>
          <w:spacing w:val="4"/>
        </w:rPr>
      </w:pPr>
      <w:r>
        <w:rPr>
          <w:spacing w:val="4"/>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Note 4—Net Investment in Sales-type Leases and Ground Lease Receivables </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classifies certain of its Ground Leases as sales-type leases and records the leases within “Net investment in sales-type leases” on the Company’s consolidated balance sheets and records interest income in “Interest income from sales-type leases” in the Company’s consolidated statements of operations. In addition, the Company may enter into transactions whereby it acquires land and enters into Ground Leases directly with the seller. These Ground Leases qualify as sales-type leases and, as such, do not qualify for sale leaseback accounting and are accounted for as financing receivables in accordance with ASC 310 - Receivables and are included in “Ground Lease receivables” on the Company’s consolidated balance sheets. The Company records interest income from Ground Lease receivables in “Interest income from sales-type leases” in the Company’s consolidated statements of operations.</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May 2023, the Company entered into a joint venture with a sovereign wealth fund, which is also an existing shareholder, focused on new acquisitions for certain Ground Lease investments. The Company committed approximately $275 million for a 55% controlling interest in the joint venture and the sovereign wealth fund committed approximately $225 million for a 45% noncontrolling interest in the joint venture. Each party’s commitment is discretionary. The joint venture is a voting interest entity and the Company consolidates the joint venture in its financial statements due to its controlling interest. The Company receives a management fee, measured on an asset-by-asset basis, equal to 25 basis points on invested equity for such asset for the first five years following its acquisition, and 15 basis points on invested equity thereafter. The Company will also receive a promote of 15% over a 9% internal rate of return, subject to a 1.275x multiple on invested capital. Since formation through August 30, 2024, the joint venture acquired nine Ground Leases for an aggregate purchase price of $170.4 million, of which $101.2 million had been funded as of August 30, 2024. On August 30, 2024, the Company acquired its partners’ share of the outstanding commitment for all existing Ground Leases in the venture for $48.3 million. The excess of the purchase price and related transaction costs over the carrying value of $46.0 million was recorded as a reduction to additional paid-in capital in the Company’s consolidated statement of changes in equity. The venture remains in place, and the partner's participation right in certain qualifying Ground Lease investment opportunities expired on September 30, 2024.</w:t>
      </w:r>
    </w:p>
    <w:p>
      <w:pPr>
        <w:pStyle w:val="TextBody"/>
        <w:shd w:fill="FFFFFF" w:val="clear"/>
        <w:bidi w:val="0"/>
        <w:spacing w:before="0" w:after="0"/>
        <w:ind w:left="0" w:right="0" w:firstLine="72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January 2024, the Company acquired a Ground Lease from the Ground Lease Plus Fund for $38.3 million, excluding amounts funded by the Company pursuant to a leasehold improvement allowance (refer to Note 8 and Note 15).</w:t>
      </w:r>
    </w:p>
    <w:p>
      <w:pPr>
        <w:pStyle w:val="TextBody"/>
        <w:shd w:fill="FFFFFF" w:val="clear"/>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120"/>
        <w:ind w:left="0" w:right="0" w:firstLine="720"/>
        <w:jc w:val="both"/>
        <w:rPr>
          <w:rFonts w:ascii="Times New Roman;Times;serif" w:hAnsi="Times New Roman;Times;serif"/>
          <w:sz w:val="20"/>
        </w:rPr>
      </w:pPr>
      <w:bookmarkStart w:id="966" w:name="Tc_r7wZh2uTyUOo4zbUjGsFmg_8_8"/>
      <w:bookmarkStart w:id="967" w:name="Tc_Km4-qp_SrUCJDUDWv9SZtg_8_5"/>
      <w:bookmarkStart w:id="968" w:name="Tc_t4lWa2Y8e0uQ-U5UikCFYQ_8_2"/>
      <w:bookmarkStart w:id="969" w:name="Tc_lqEDXK_LOkOqZX398_jeig_8_0"/>
      <w:bookmarkStart w:id="970" w:name="Tc_NtOAatm-1U6SzgdLQ2yMyA_7_0"/>
      <w:bookmarkStart w:id="971" w:name="Tc_gvo6yhiFy0GiCLt4mycGmA_6_0"/>
      <w:bookmarkStart w:id="972" w:name="Tc_f9sLy5PUkE2nhjNSIJlADA_5_0"/>
      <w:bookmarkStart w:id="973" w:name="Tc_YfNJtUptfkyo2bnzd1HmrA_4_8"/>
      <w:bookmarkStart w:id="974" w:name="Tc_DLE7bcJ3TkS51dETANi3RA_4_5"/>
      <w:bookmarkStart w:id="975" w:name="Tc_mksNcVoDckyMrENf9abl8Q_4_2"/>
      <w:bookmarkStart w:id="976" w:name="Tc_AUjq-QkRc0-OAFjemyhEuw_4_0"/>
      <w:bookmarkStart w:id="977" w:name="Tc__n5WPzOOdE6DPSr4RakjdA_3_0"/>
      <w:bookmarkStart w:id="978" w:name="Tc_kMuMKys-a0GbuIWgP69tJw_2_8"/>
      <w:bookmarkStart w:id="979" w:name="Tc_aOwIlq_WJUav9VWu92TsqQ_2_5"/>
      <w:bookmarkStart w:id="980" w:name="Tc_brdCv02DWkeuZgRZmQtdkQ_2_2"/>
      <w:bookmarkStart w:id="981" w:name="Tc_-nkfGbBp8UyehOnbQOFp8g_1_5"/>
      <w:bookmarkStart w:id="982" w:name="Tc_VGkvcTKM6ECS9Np766OXSg_1_2"/>
      <w:bookmarkStart w:id="983" w:name="_5e5cc62b_6ba5_453a_a67c_962afb4fbfc2"/>
      <w:bookmarkStart w:id="984" w:name="Tc_pdAP4_pzEEuG39xL7NF56Q_8_8"/>
      <w:bookmarkStart w:id="985" w:name="Tc_ZP0WBATYskislNuS3W0oFg_8_5"/>
      <w:bookmarkStart w:id="986" w:name="Tc_jt-JqX-OIEqtAVKHnYjORQ_8_2"/>
      <w:bookmarkStart w:id="987" w:name="Tc_LTC6Dfu2NkKzklJCzOapuA_8_0"/>
      <w:bookmarkStart w:id="988" w:name="Tc_YHJVlo-EoEWW2rRQogGtQw_7_0"/>
      <w:bookmarkStart w:id="989" w:name="Tc_UVbf8G5duUCiNi_XFc29aw_6_0"/>
      <w:bookmarkStart w:id="990" w:name="Tc_c--y-9S5s0ODH-2QKwp2Qw_5_0"/>
      <w:bookmarkStart w:id="991" w:name="Tc_DVHVydwPZkCx37oseEO3Xg_4_8"/>
      <w:bookmarkStart w:id="992" w:name="Tc_Xu-RVCs3Fk6WpuJxNjslOw_4_5"/>
      <w:bookmarkStart w:id="993" w:name="Tc_VTFPuIY7CUWm7bMjLx2rdw_4_2"/>
      <w:bookmarkStart w:id="994" w:name="Tc_9LPPp4Q2J0acqwGHEfjx6Q_4_0"/>
      <w:bookmarkStart w:id="995" w:name="Tc__u91Ns1SLUioRK1ix7SiTQ_3_0"/>
      <w:bookmarkStart w:id="996" w:name="Tc_iHxqNIdu2UC_ymL0YGS_7A_2_8"/>
      <w:bookmarkStart w:id="997" w:name="Tc_Z2uJU5LWWU2E7cN0nxyCag_2_5"/>
      <w:bookmarkStart w:id="998" w:name="Tc_nY_dmN57SEK7jLu7h-_81A_2_2"/>
      <w:bookmarkStart w:id="999" w:name="Tc_pdVA215SWEmTJDu8RNxl_Q_1_5"/>
      <w:bookmarkStart w:id="1000" w:name="Tc_yyOGB-RTkEi5g71ox6wQXw_1_2"/>
      <w:bookmarkStart w:id="1001" w:name="_74a0e76f_5276_4a57_96ff_f02535000264"/>
      <w:bookmarkStart w:id="1002" w:name="Tc_BXrPesbeSEOkGHCgpQYLnw_6_5"/>
      <w:bookmarkStart w:id="1003" w:name="Tc_pYuZ_Lt56EKEREo4nJUNJQ_6_2"/>
      <w:bookmarkStart w:id="1004" w:name="Tc_mvkaOcrZ0kepWopCdk1pNQ_6_0"/>
      <w:bookmarkStart w:id="1005" w:name="Tc_LVkiKTho9kOpN-1XqPlefg_5_0"/>
      <w:bookmarkStart w:id="1006" w:name="Tc_DlySDsoDOU215iNK0XdBeA_4_0"/>
      <w:bookmarkStart w:id="1007" w:name="Tc_2rfI_Pb2dkyzhwnb4Mh-Pg_3_0"/>
      <w:bookmarkStart w:id="1008" w:name="Tc_47hsfskZSE29W3GH_WEIIQ_2_5"/>
      <w:bookmarkStart w:id="1009" w:name="Tc_WHOl-wol0E-ezMNKMcDckg_2_2"/>
      <w:bookmarkStart w:id="1010" w:name="Tc_WLABBxqoNU6uMjAl2vzyYg_2_0"/>
      <w:bookmarkStart w:id="1011" w:name="Tc_zK8744hN5UC0bVq2tfP7fw_1_5"/>
      <w:bookmarkStart w:id="1012" w:name="Tc_I19jveh0TUOMy8saQ1Kodw_1_2"/>
      <w:bookmarkStart w:id="1013" w:name="_d9630a6f_501d_4e8f_9ff9_d50d231246f6"/>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r>
        <w:rPr>
          <w:rFonts w:ascii="Times New Roman;Times;serif" w:hAnsi="Times New Roman;Times;serif"/>
          <w:sz w:val="20"/>
        </w:rPr>
        <w:t xml:space="preserve">The Company’s net investment in sales-type leases were comprised of the following ($ in thousands): </w:t>
      </w:r>
    </w:p>
    <w:tbl>
      <w:tblPr>
        <w:tblW w:w="7001" w:type="dxa"/>
        <w:jc w:val="left"/>
        <w:tblInd w:w="0" w:type="dxa"/>
        <w:tblLayout w:type="fixed"/>
        <w:tblCellMar>
          <w:top w:w="0" w:type="dxa"/>
          <w:left w:w="0" w:type="dxa"/>
          <w:bottom w:w="0" w:type="dxa"/>
          <w:right w:w="0" w:type="dxa"/>
        </w:tblCellMar>
      </w:tblPr>
      <w:tblGrid>
        <w:gridCol w:w="3436"/>
        <w:gridCol w:w="326"/>
        <w:gridCol w:w="211"/>
        <w:gridCol w:w="1156"/>
        <w:gridCol w:w="326"/>
        <w:gridCol w:w="241"/>
        <w:gridCol w:w="1305"/>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81860" cy="175260"/>
                      <wp:effectExtent l="0" t="0" r="0" b="0"/>
                      <wp:wrapNone/>
                      <wp:docPr id="113" name="Frame113"/>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4"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5" name="Frame1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734060" cy="175260"/>
                      <wp:effectExtent l="0" t="0" r="0" b="0"/>
                      <wp:wrapNone/>
                      <wp:docPr id="116" name="Frame116"/>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53035" cy="175260"/>
                      <wp:effectExtent l="0" t="0" r="0" b="0"/>
                      <wp:wrapNone/>
                      <wp:docPr id="118" name="Frame118"/>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828675" cy="175260"/>
                      <wp:effectExtent l="0" t="0" r="0" b="0"/>
                      <wp:wrapNone/>
                      <wp:docPr id="119" name="Frame119"/>
                      <a:graphic xmlns:a="http://schemas.openxmlformats.org/drawingml/2006/main">
                        <a:graphicData uri="http://schemas.microsoft.com/office/word/2010/wordprocessingShape">
                          <wps:wsp>
                            <wps:cNvSpPr txBox="1"/>
                            <wps:spPr>
                              <a:xfrm>
                                <a:off x="0" y="0"/>
                                <a:ext cx="828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3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43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Total undiscounted cash flows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33,974,979</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32,934,705</w:t>
            </w:r>
          </w:p>
        </w:tc>
      </w:tr>
      <w:tr>
        <w:trPr/>
        <w:tc>
          <w:tcPr>
            <w:tcW w:w="343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Unguaranteed estimated residual value</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3,090,615</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13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3,039,649</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Present value discount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(33,546,007)</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13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(32,512,580)</w:t>
            </w:r>
          </w:p>
        </w:tc>
      </w:tr>
      <w:tr>
        <w:trPr/>
        <w:tc>
          <w:tcPr>
            <w:tcW w:w="34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Allowance for credit losses </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(8,330)</w:t>
            </w:r>
          </w:p>
        </w:tc>
        <w:tc>
          <w:tcPr>
            <w:tcW w:w="326"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(6,821)</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investment in sales-type leases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3,511,257</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5"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3,454,953</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1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June 30, 2025, total discounted cash flows were approximately $3,487</w:t>
            </w:r>
            <w:r>
              <w:rPr>
                <w:caps w:val="false"/>
                <w:smallCaps w:val="false"/>
              </w:rPr>
              <w:t xml:space="preserve"> </w:t>
            </w:r>
            <w:r>
              <w:rPr>
                <w:rFonts w:ascii="Times New Roman;Times;serif" w:hAnsi="Times New Roman;Times;serif"/>
                <w:b w:val="false"/>
                <w:i w:val="false"/>
                <w:caps w:val="false"/>
                <w:smallCaps w:val="false"/>
                <w:sz w:val="16"/>
              </w:rPr>
              <w:t>million and the discounted unguaranteed estimated residual value was $33.0</w:t>
            </w:r>
            <w:r>
              <w:rPr>
                <w:caps w:val="false"/>
                <w:smallCaps w:val="false"/>
              </w:rPr>
              <w:t xml:space="preserve"> </w:t>
            </w:r>
            <w:r>
              <w:rPr>
                <w:rFonts w:ascii="Times New Roman;Times;serif" w:hAnsi="Times New Roman;Times;serif"/>
                <w:b w:val="false"/>
                <w:i w:val="false"/>
                <w:caps w:val="false"/>
                <w:smallCaps w:val="false"/>
                <w:sz w:val="16"/>
              </w:rPr>
              <w:t>million. As of December 31, 2024, total discounted cash flows were approximately $3,430</w:t>
            </w:r>
            <w:r>
              <w:rPr>
                <w:caps w:val="false"/>
                <w:smallCaps w:val="false"/>
              </w:rPr>
              <w:t xml:space="preserve"> </w:t>
            </w:r>
            <w:r>
              <w:rPr>
                <w:rFonts w:ascii="Times New Roman;Times;serif" w:hAnsi="Times New Roman;Times;serif"/>
                <w:b w:val="false"/>
                <w:i w:val="false"/>
                <w:caps w:val="false"/>
                <w:smallCaps w:val="false"/>
                <w:sz w:val="16"/>
              </w:rPr>
              <w:t>million and the discounted unguaranteed estimated residual value was $32.0</w:t>
            </w:r>
            <w:r>
              <w:rPr>
                <w:caps w:val="false"/>
                <w:smallCaps w:val="false"/>
              </w:rPr>
              <w:t xml:space="preserve"> </w:t>
            </w:r>
            <w:r>
              <w:rPr>
                <w:rFonts w:ascii="Times New Roman;Times;serif" w:hAnsi="Times New Roman;Times;serif"/>
                <w:b w:val="false"/>
                <w:i w:val="false"/>
                <w:caps w:val="false"/>
                <w:smallCaps w:val="false"/>
                <w:sz w:val="16"/>
              </w:rPr>
              <w:t>million.</w:t>
            </w:r>
          </w:p>
        </w:tc>
      </w:tr>
    </w:tbl>
    <w:p>
      <w:pPr>
        <w:pStyle w:val="TextBody"/>
        <w:bidi w:val="0"/>
        <w:spacing w:before="0" w:after="0"/>
        <w:ind w:left="36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following table presents a rollforward of the Company’s net investment in sales-type leases and Ground Lease receivables for the six months ended June 30, 2025 and 2024 ($ in thousands): </w:t>
      </w:r>
    </w:p>
    <w:p>
      <w:pPr>
        <w:pStyle w:val="TextBody"/>
        <w:bidi w:val="0"/>
        <w:spacing w:before="0" w:after="0"/>
        <w:ind w:left="0" w:right="0" w:hanging="0"/>
        <w:jc w:val="left"/>
        <w:rPr/>
      </w:pPr>
      <w:r>
        <w:rPr/>
        <w:t>​</w:t>
      </w:r>
    </w:p>
    <w:tbl>
      <w:tblPr>
        <w:tblW w:w="7791" w:type="dxa"/>
        <w:jc w:val="left"/>
        <w:tblInd w:w="0" w:type="dxa"/>
        <w:tblLayout w:type="fixed"/>
        <w:tblCellMar>
          <w:top w:w="0" w:type="dxa"/>
          <w:left w:w="0" w:type="dxa"/>
          <w:bottom w:w="0" w:type="dxa"/>
          <w:right w:w="0" w:type="dxa"/>
        </w:tblCellMar>
      </w:tblPr>
      <w:tblGrid>
        <w:gridCol w:w="3001"/>
        <w:gridCol w:w="326"/>
        <w:gridCol w:w="284"/>
        <w:gridCol w:w="1201"/>
        <w:gridCol w:w="326"/>
        <w:gridCol w:w="230"/>
        <w:gridCol w:w="970"/>
        <w:gridCol w:w="326"/>
        <w:gridCol w:w="196"/>
        <w:gridCol w:w="931"/>
      </w:tblGrid>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20"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80340" cy="175260"/>
                      <wp:effectExtent l="0" t="0" r="0" b="0"/>
                      <wp:wrapNone/>
                      <wp:docPr id="121" name="Frame121"/>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762635" cy="175260"/>
                      <wp:effectExtent l="0" t="0" r="0" b="0"/>
                      <wp:wrapNone/>
                      <wp:docPr id="122" name="Frame122"/>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46050" cy="175260"/>
                      <wp:effectExtent l="0" t="0" r="0" b="0"/>
                      <wp:wrapNone/>
                      <wp:docPr id="124" name="Frame124"/>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15950" cy="175260"/>
                      <wp:effectExtent l="0" t="0" r="0" b="0"/>
                      <wp:wrapNone/>
                      <wp:docPr id="125" name="Frame125"/>
                      <a:graphic xmlns:a="http://schemas.openxmlformats.org/drawingml/2006/main">
                        <a:graphicData uri="http://schemas.microsoft.com/office/word/2010/wordprocessingShape">
                          <wps:wsp>
                            <wps:cNvSpPr txBox="1"/>
                            <wps:spPr>
                              <a:xfrm>
                                <a:off x="0" y="0"/>
                                <a:ext cx="615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24460" cy="175260"/>
                      <wp:effectExtent l="0" t="0" r="0" b="0"/>
                      <wp:wrapNone/>
                      <wp:docPr id="127" name="Frame12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91185" cy="175260"/>
                      <wp:effectExtent l="0" t="0" r="0" b="0"/>
                      <wp:wrapNone/>
                      <wp:docPr id="128" name="Frame12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48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Net Investment in</w:t>
            </w:r>
          </w:p>
        </w:tc>
        <w:tc>
          <w:tcPr>
            <w:tcW w:w="326" w:type="dxa"/>
            <w:tcBorders/>
            <w:vAlign w:val="center"/>
          </w:tcPr>
          <w:p>
            <w:pPr>
              <w:pStyle w:val="TableContents"/>
              <w:bidi w:val="0"/>
              <w:spacing w:before="0" w:after="0"/>
              <w:ind w:left="0" w:right="0" w:hanging="0"/>
              <w:jc w:val="center"/>
              <w:rPr/>
            </w:pPr>
            <w:r>
              <w:rPr/>
              <w:t>​</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Ground Lease</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4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Sales-type Leases</w:t>
            </w:r>
          </w:p>
        </w:tc>
        <w:tc>
          <w:tcPr>
            <w:tcW w:w="326" w:type="dxa"/>
            <w:tcBorders/>
            <w:vAlign w:val="center"/>
          </w:tcPr>
          <w:p>
            <w:pPr>
              <w:pStyle w:val="TableContents"/>
              <w:bidi w:val="0"/>
              <w:spacing w:before="0" w:after="0"/>
              <w:ind w:left="0" w:right="0" w:hanging="0"/>
              <w:jc w:val="center"/>
              <w:rPr/>
            </w:pPr>
            <w:r>
              <w:rPr/>
              <w:t>    </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Receivables</w:t>
            </w:r>
          </w:p>
        </w:tc>
        <w:tc>
          <w:tcPr>
            <w:tcW w:w="326" w:type="dxa"/>
            <w:tcBorders/>
            <w:vAlign w:val="center"/>
          </w:tcPr>
          <w:p>
            <w:pPr>
              <w:pStyle w:val="TableContents"/>
              <w:bidi w:val="0"/>
              <w:spacing w:before="0" w:after="0"/>
              <w:ind w:left="0" w:right="0" w:hanging="0"/>
              <w:jc w:val="center"/>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30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Six Months Ended June 30, 2025</w:t>
            </w:r>
          </w:p>
        </w:tc>
        <w:tc>
          <w:tcPr>
            <w:tcW w:w="32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  </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Beginning balance</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3,454,953</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1,833,398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5,288,351</w:t>
            </w:r>
          </w:p>
        </w:tc>
      </w:tr>
      <w:tr>
        <w:trPr/>
        <w:tc>
          <w:tcPr>
            <w:tcW w:w="3001"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Origination/acquisition/fundings</w:t>
            </w:r>
            <w:r>
              <w:rPr>
                <w:rFonts w:ascii="Times New Roman;Times;serif" w:hAnsi="Times New Roman;Times;serif"/>
                <w:sz w:val="14"/>
              </w:rPr>
              <w:t>(1)</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25,770</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54,948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80,718</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Accretion</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32,043</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97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17,463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49,506</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(Provision for) recovery of credit losses </w:t>
            </w:r>
          </w:p>
        </w:tc>
        <w:tc>
          <w:tcPr>
            <w:tcW w:w="326" w:type="dxa"/>
            <w:tcBorders/>
            <w:vAlign w:val="center"/>
          </w:tcPr>
          <w:p>
            <w:pPr>
              <w:pStyle w:val="TableContents"/>
              <w:bidi w:val="0"/>
              <w:spacing w:before="0" w:after="0"/>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(1,509)</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(3,435)</w:t>
            </w:r>
          </w:p>
        </w:tc>
      </w:tr>
      <w:tr>
        <w:trPr/>
        <w:tc>
          <w:tcPr>
            <w:tcW w:w="30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Ending balance</w:t>
            </w:r>
            <w:r>
              <w:rPr>
                <w:rFonts w:ascii="Times New Roman;Times;serif" w:hAnsi="Times New Roman;Times;serif"/>
                <w:sz w:val="14"/>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3,511,257</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1,903,883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5,415,140</w:t>
            </w:r>
          </w:p>
        </w:tc>
      </w:tr>
    </w:tbl>
    <w:p>
      <w:pPr>
        <w:pStyle w:val="TextBody"/>
        <w:bidi w:val="0"/>
        <w:spacing w:before="0" w:after="0"/>
        <w:ind w:left="0" w:right="0" w:hanging="0"/>
        <w:jc w:val="left"/>
        <w:rPr/>
      </w:pPr>
      <w:r>
        <w:rPr/>
        <w:t>​</w:t>
      </w:r>
    </w:p>
    <w:tbl>
      <w:tblPr>
        <w:tblW w:w="7791" w:type="dxa"/>
        <w:jc w:val="left"/>
        <w:tblInd w:w="0" w:type="dxa"/>
        <w:tblLayout w:type="fixed"/>
        <w:tblCellMar>
          <w:top w:w="0" w:type="dxa"/>
          <w:left w:w="0" w:type="dxa"/>
          <w:bottom w:w="0" w:type="dxa"/>
          <w:right w:w="0" w:type="dxa"/>
        </w:tblCellMar>
      </w:tblPr>
      <w:tblGrid>
        <w:gridCol w:w="3001"/>
        <w:gridCol w:w="326"/>
        <w:gridCol w:w="284"/>
        <w:gridCol w:w="1201"/>
        <w:gridCol w:w="326"/>
        <w:gridCol w:w="230"/>
        <w:gridCol w:w="970"/>
        <w:gridCol w:w="326"/>
        <w:gridCol w:w="196"/>
        <w:gridCol w:w="931"/>
      </w:tblGrid>
      <w:tr>
        <w:trPr/>
        <w:tc>
          <w:tcPr>
            <w:tcW w:w="30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9"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80340" cy="175260"/>
                      <wp:effectExtent l="0" t="0" r="0" b="0"/>
                      <wp:wrapNone/>
                      <wp:docPr id="130" name="Frame130"/>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762635" cy="175260"/>
                      <wp:effectExtent l="0" t="0" r="0" b="0"/>
                      <wp:wrapNone/>
                      <wp:docPr id="131" name="Frame131"/>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46050" cy="175260"/>
                      <wp:effectExtent l="0" t="0" r="0" b="0"/>
                      <wp:wrapNone/>
                      <wp:docPr id="133" name="Frame133"/>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15950" cy="175260"/>
                      <wp:effectExtent l="0" t="0" r="0" b="0"/>
                      <wp:wrapNone/>
                      <wp:docPr id="134" name="Frame134"/>
                      <a:graphic xmlns:a="http://schemas.openxmlformats.org/drawingml/2006/main">
                        <a:graphicData uri="http://schemas.microsoft.com/office/word/2010/wordprocessingShape">
                          <wps:wsp>
                            <wps:cNvSpPr txBox="1"/>
                            <wps:spPr>
                              <a:xfrm>
                                <a:off x="0" y="0"/>
                                <a:ext cx="615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5"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24460" cy="175260"/>
                      <wp:effectExtent l="0" t="0" r="0" b="0"/>
                      <wp:wrapNone/>
                      <wp:docPr id="136" name="Frame13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591185" cy="175260"/>
                      <wp:effectExtent l="0" t="0" r="0" b="0"/>
                      <wp:wrapNone/>
                      <wp:docPr id="137" name="Frame13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4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Net Investment in</w:t>
            </w:r>
          </w:p>
        </w:tc>
        <w:tc>
          <w:tcPr>
            <w:tcW w:w="326" w:type="dxa"/>
            <w:tcBorders/>
            <w:vAlign w:val="center"/>
          </w:tcPr>
          <w:p>
            <w:pPr>
              <w:pStyle w:val="TableContents"/>
              <w:bidi w:val="0"/>
              <w:spacing w:before="0" w:after="1"/>
              <w:ind w:left="0" w:right="0" w:hanging="0"/>
              <w:jc w:val="center"/>
              <w:rPr/>
            </w:pPr>
            <w:r>
              <w:rPr/>
              <w:t>​</w:t>
            </w:r>
          </w:p>
        </w:tc>
        <w:tc>
          <w:tcPr>
            <w:tcW w:w="120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Ground Lease</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r>
      <w:tr>
        <w:trPr/>
        <w:tc>
          <w:tcPr>
            <w:tcW w:w="30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4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Sales-type Leases</w:t>
            </w:r>
          </w:p>
        </w:tc>
        <w:tc>
          <w:tcPr>
            <w:tcW w:w="326" w:type="dxa"/>
            <w:tcBorders/>
            <w:vAlign w:val="center"/>
          </w:tcPr>
          <w:p>
            <w:pPr>
              <w:pStyle w:val="TableContents"/>
              <w:bidi w:val="0"/>
              <w:spacing w:before="0" w:after="1"/>
              <w:ind w:left="0" w:right="0" w:hanging="0"/>
              <w:jc w:val="center"/>
              <w:rPr/>
            </w:pPr>
            <w:r>
              <w:rPr/>
              <w:t>    </w:t>
            </w:r>
          </w:p>
        </w:tc>
        <w:tc>
          <w:tcPr>
            <w:tcW w:w="12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Receivables</w:t>
            </w:r>
          </w:p>
        </w:tc>
        <w:tc>
          <w:tcPr>
            <w:tcW w:w="326" w:type="dxa"/>
            <w:tcBorders/>
            <w:vAlign w:val="center"/>
          </w:tcPr>
          <w:p>
            <w:pPr>
              <w:pStyle w:val="TableContents"/>
              <w:bidi w:val="0"/>
              <w:spacing w:before="0" w:after="1"/>
              <w:ind w:left="0" w:right="0" w:hanging="0"/>
              <w:jc w:val="center"/>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300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Six Months Ended June 30, 2024</w:t>
            </w:r>
          </w:p>
        </w:tc>
        <w:tc>
          <w:tcPr>
            <w:tcW w:w="326" w:type="dxa"/>
            <w:tcBorders/>
            <w:vAlign w:val="center"/>
          </w:tcPr>
          <w:p>
            <w:pPr>
              <w:pStyle w:val="TableContents"/>
              <w:bidi w:val="0"/>
              <w:spacing w:before="0" w:after="1"/>
              <w:ind w:left="0" w:right="0" w:hanging="0"/>
              <w:jc w:val="left"/>
              <w:rPr/>
            </w:pPr>
            <w:r>
              <w:rPr/>
              <w:t> </w:t>
            </w:r>
          </w:p>
        </w:tc>
        <w:tc>
          <w:tcPr>
            <w:tcW w:w="284"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30" w:type="dxa"/>
            <w:tcBorders/>
            <w:vAlign w:val="center"/>
          </w:tcPr>
          <w:p>
            <w:pPr>
              <w:pStyle w:val="TableContents"/>
              <w:bidi w:val="0"/>
              <w:spacing w:before="0" w:after="1"/>
              <w:ind w:left="0" w:right="0" w:hanging="0"/>
              <w:jc w:val="left"/>
              <w:rPr/>
            </w:pPr>
            <w:r>
              <w:rPr/>
              <w:t>​</w:t>
            </w:r>
          </w:p>
        </w:tc>
        <w:tc>
          <w:tcPr>
            <w:tcW w:w="97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  </w:t>
            </w:r>
          </w:p>
        </w:tc>
      </w:tr>
      <w:tr>
        <w:trPr/>
        <w:tc>
          <w:tcPr>
            <w:tcW w:w="30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Beginning balance</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3,255,195</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1,622,298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4,877,493</w:t>
            </w:r>
          </w:p>
        </w:tc>
      </w:tr>
      <w:tr>
        <w:trPr/>
        <w:tc>
          <w:tcPr>
            <w:tcW w:w="3001"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Origination/acquisition/fundings</w:t>
            </w: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95,916</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97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110,206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206,122</w:t>
            </w:r>
          </w:p>
        </w:tc>
      </w:tr>
      <w:tr>
        <w:trPr/>
        <w:tc>
          <w:tcPr>
            <w:tcW w:w="30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Accretion</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29,953</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97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14,467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44,420</w:t>
            </w:r>
          </w:p>
        </w:tc>
      </w:tr>
      <w:tr>
        <w:trPr/>
        <w:tc>
          <w:tcPr>
            <w:tcW w:w="30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(Provision for) recovery of credit losses </w:t>
            </w:r>
          </w:p>
        </w:tc>
        <w:tc>
          <w:tcPr>
            <w:tcW w:w="326" w:type="dxa"/>
            <w:tcBorders/>
            <w:vAlign w:val="center"/>
          </w:tcPr>
          <w:p>
            <w:pPr>
              <w:pStyle w:val="TableContents"/>
              <w:bidi w:val="0"/>
              <w:spacing w:before="0" w:after="1"/>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(1,057)</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(1,461)</w:t>
            </w:r>
          </w:p>
        </w:tc>
      </w:tr>
      <w:tr>
        <w:trPr/>
        <w:tc>
          <w:tcPr>
            <w:tcW w:w="300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Ending balance</w:t>
            </w:r>
            <w:r>
              <w:rPr>
                <w:rFonts w:ascii="Times New Roman;Times;serif" w:hAnsi="Times New Roman;Times;serif"/>
                <w:sz w:val="14"/>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3,380,007</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1,746,567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5,126,574</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net investment in sales-type leases is initially measured at the present value of the fixed and determinable lease payments, including any guaranteed or unguaranteed estimated residual value of the asset at the end of the lease, discounted at the rate implicit in the lease. For newly originated or acquired Ground Leases, the Company’s estimate of residual value equals the fair value of the land at lease commencement.</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1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June 30, 2025 and December 31, 2024, all of the Company’s net investment in sales-type leases and Ground Lease receivables were current in their payment status. As of June 30, 2025, the Company’s weighted average accrual rate for its net investment in sales-type leases and Ground Lease receivables was 5.3%</w:t>
            </w:r>
            <w:r>
              <w:rPr>
                <w:caps w:val="false"/>
                <w:smallCaps w:val="false"/>
              </w:rPr>
              <w:t xml:space="preserve"> </w:t>
            </w:r>
            <w:r>
              <w:rPr>
                <w:rFonts w:ascii="Times New Roman;Times;serif" w:hAnsi="Times New Roman;Times;serif"/>
                <w:b w:val="false"/>
                <w:i w:val="false"/>
                <w:caps w:val="false"/>
                <w:smallCaps w:val="false"/>
                <w:sz w:val="16"/>
              </w:rPr>
              <w:t>and 5.6%, respectively. As of June 30, 2025, the weighted average remaining life of the Company’s 43</w:t>
            </w:r>
            <w:r>
              <w:rPr>
                <w:caps w:val="false"/>
                <w:smallCaps w:val="false"/>
              </w:rPr>
              <w:t xml:space="preserve"> </w:t>
            </w:r>
            <w:r>
              <w:rPr>
                <w:rFonts w:ascii="Times New Roman;Times;serif" w:hAnsi="Times New Roman;Times;serif"/>
                <w:b w:val="false"/>
                <w:i w:val="false"/>
                <w:caps w:val="false"/>
                <w:smallCaps w:val="false"/>
                <w:sz w:val="16"/>
              </w:rPr>
              <w:t>Ground Lease receivables was 96.8</w:t>
            </w:r>
            <w:r>
              <w:rPr>
                <w:caps w:val="false"/>
                <w:smallCaps w:val="false"/>
              </w:rPr>
              <w:t> </w:t>
            </w:r>
            <w:r>
              <w:rPr>
                <w:rFonts w:ascii="Times New Roman;Times;serif" w:hAnsi="Times New Roman;Times;serif"/>
                <w:b w:val="false"/>
                <w:i w:val="false"/>
                <w:caps w:val="false"/>
                <w:smallCaps w:val="false"/>
                <w:sz w:val="16"/>
              </w:rPr>
              <w:t>years.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1014" w:name="Tc_mdGUZs4H3kOF7SSJVt3wag_21_11"/>
      <w:bookmarkStart w:id="1015" w:name="Tc_IalgeC53w0iL5-KXVbNV3A_21_8"/>
      <w:bookmarkStart w:id="1016" w:name="Tc_KFH5WUaXMEuLl-TJk5NoqQ_21_5"/>
      <w:bookmarkStart w:id="1017" w:name="Tc_CyiJuBWmMkucDRdCT00bqw_21_2"/>
      <w:bookmarkStart w:id="1018" w:name="Tc_jFCqrUhX3kSfA2Bny_ZzbA_21_0"/>
      <w:bookmarkStart w:id="1019" w:name="Tc_pbJg9crhbEK596C73GeRNA_20_0"/>
      <w:bookmarkStart w:id="1020" w:name="Tc_uVUjBFP1V0uXNyc4rjLmjg_19_11"/>
      <w:bookmarkStart w:id="1021" w:name="Tc_Fv5NW7FSZEKVxumYlKCb-A_19_9"/>
      <w:bookmarkStart w:id="1022" w:name="Tc_1QWvqSpBq06Dn2Icuo_LLg_19_8"/>
      <w:bookmarkStart w:id="1023" w:name="Tc_hsvsQ-J-yUW7PwJ3Zr-7zA_19_5"/>
      <w:bookmarkStart w:id="1024" w:name="Tc_Jh82n1hKIECkqEpy3YLZlg_19_2"/>
      <w:bookmarkStart w:id="1025" w:name="Tc_eRqXK3Te-0uRTsQzVxkRaQ_19_0"/>
      <w:bookmarkStart w:id="1026" w:name="Tc_j-OlvpXvnEO5cJLF8xAf0g_18_0"/>
      <w:bookmarkStart w:id="1027" w:name="Tc_N9F-5RoggEWwmqBoQzad5Q_16_11"/>
      <w:bookmarkStart w:id="1028" w:name="Tc_b1HrYDE6vEmMW-3SQW6XvA_16_8"/>
      <w:bookmarkStart w:id="1029" w:name="Tc_UKRgNadWV06zJeiDeXguQA_16_5"/>
      <w:bookmarkStart w:id="1030" w:name="Tc_tAHNK4qp_k-dIrRJ8Jnyvg_16_2"/>
      <w:bookmarkStart w:id="1031" w:name="Tc_5nXWrQagRkG-w2ELZyTTXQ_16_0"/>
      <w:bookmarkStart w:id="1032" w:name="Tc_5c7VoXDfVUGm8oivihqNpw_15_0"/>
      <w:bookmarkStart w:id="1033" w:name="Tc_qj7a5A9rzU6GHKmautqd3A_14_11"/>
      <w:bookmarkStart w:id="1034" w:name="Tc_XY_mXhO2AU-YGtrW7KSlLg_14_9"/>
      <w:bookmarkStart w:id="1035" w:name="Tc_qaH2gz_gCkqKK4DXUikBcg_14_8"/>
      <w:bookmarkStart w:id="1036" w:name="Tc_YlWgtGbo2EKEsOgY92NWoQ_14_5"/>
      <w:bookmarkStart w:id="1037" w:name="Tc_xw0NCb8XW0eEZy3sR7lisA_14_2"/>
      <w:bookmarkStart w:id="1038" w:name="Tc_dLkL6etJVEm2CIWGdx2v7A_14_0"/>
      <w:bookmarkStart w:id="1039" w:name="Tc_8sN9IKtjTEGBmlb3bDXvXQ_13_0"/>
      <w:bookmarkStart w:id="1040" w:name="Tc_K8rXYKHV0Uu-zEpcrMeq8Q_11_11"/>
      <w:bookmarkStart w:id="1041" w:name="Tc_U6-7Ci_ngUiu8sNR64n0dg_11_8"/>
      <w:bookmarkStart w:id="1042" w:name="Tc_BRgcWqTq4UqL68HbQbX1zA_11_5"/>
      <w:bookmarkStart w:id="1043" w:name="Tc_YbUGdvZaV0yKHZ6PX9Ue0A_11_2"/>
      <w:bookmarkStart w:id="1044" w:name="Tc_wlHl5wDfNE2KGD6zm5dynQ_11_0"/>
      <w:bookmarkStart w:id="1045" w:name="Tc_qUFCMIQH1UeGWZS9nfQSrA_10_0"/>
      <w:bookmarkStart w:id="1046" w:name="Tc_Ol8nhDPG00asM7-cZ95grg_9_11"/>
      <w:bookmarkStart w:id="1047" w:name="Tc_DmO-gu64_0e5ZvgM1oejJA_9_8"/>
      <w:bookmarkStart w:id="1048" w:name="Tc_b0hJTYidrUu_oSvwmlatNA_9_5"/>
      <w:bookmarkStart w:id="1049" w:name="Tc_DIVqm2Hf5UGh2HONylGy1g_9_2"/>
      <w:bookmarkStart w:id="1050" w:name="Tc_pjd1Lm5AekC6KGVj4cQPVw_9_0"/>
      <w:bookmarkStart w:id="1051" w:name="Tc_aOBMjEdx_U6mHipKTUVtyw_8_0"/>
      <w:bookmarkStart w:id="1052" w:name="Tc_3Bn3AdmwVEe79DG9u_CqEg_6_11"/>
      <w:bookmarkStart w:id="1053" w:name="Tc_H1y1uvQtb0yb66H4-H1ooQ_6_8"/>
      <w:bookmarkStart w:id="1054" w:name="Tc_Ifxe2n-GpUyBYkQ4S-KA5w_6_5"/>
      <w:bookmarkStart w:id="1055" w:name="Tc_kjk7cl9WIkWcme8Cs_-aIw_6_2"/>
      <w:bookmarkStart w:id="1056" w:name="Tc_PnN8RQXQD0CRwQcVvEW1pA_6_0"/>
      <w:bookmarkStart w:id="1057" w:name="Tc_2HFQ-Lhqh0SqiRtDYcx6ng_5_0"/>
      <w:bookmarkStart w:id="1058" w:name="Tc_TR8qSdBoz0Oja7obx_9gQw_4_11"/>
      <w:bookmarkStart w:id="1059" w:name="Tc_X_RYtdUlhkahD6RsdLzyUg_4_9"/>
      <w:bookmarkStart w:id="1060" w:name="Tc_3Tc2r2RpkESQAtkOjRUJjg_4_8"/>
      <w:bookmarkStart w:id="1061" w:name="Tc_HHZVmMGXSEKmGaivFEjU8w_4_5"/>
      <w:bookmarkStart w:id="1062" w:name="Tc_le9glBDCNEmHcq9at_Z_dA_4_2"/>
      <w:bookmarkStart w:id="1063" w:name="Tc_Q-tQT7OVQUGlLTx565NgIg_4_0"/>
      <w:bookmarkStart w:id="1064" w:name="Tc_kOP8gDgnqkmzH0Fpu6Y6sQ_3_11"/>
      <w:bookmarkStart w:id="1065" w:name="Tc_0mqc0wid0EqpCz-vOuzwXA_3_8"/>
      <w:bookmarkStart w:id="1066" w:name="Tc_jKWnEXIz20W1c41qVvkZ6Q_3_5"/>
      <w:bookmarkStart w:id="1067" w:name="Tc_9-5MNH2Z4EuLjVTBu4Ciiw_3_2"/>
      <w:bookmarkStart w:id="1068" w:name="Tc_2cmI4FExZUSYb1c3D1OSIA_3_0"/>
      <w:bookmarkStart w:id="1069" w:name="Tc_jStcvwd27E-0WwrtaURqGg_2_8"/>
      <w:bookmarkStart w:id="1070" w:name="Tc_riBQ_AGdh0adVrX9nD8cjg_2_5"/>
      <w:bookmarkStart w:id="1071" w:name="Tc_sZ1BuPs8yk6Fvdfgn1gI-A_2_2"/>
      <w:bookmarkStart w:id="1072" w:name="Tc_JXkPFmSugkyrhzdYevn91A_1_2"/>
      <w:bookmarkStart w:id="1073" w:name="_64d1bc3f_87fd_4d34_a964_2a492f6a97e5"/>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r>
        <w:rPr>
          <w:rFonts w:ascii="Times New Roman;Times;serif" w:hAnsi="Times New Roman;Times;serif"/>
          <w:i/>
          <w:sz w:val="20"/>
        </w:rPr>
        <w:t>Allowance for Credit Losses</w:t>
      </w:r>
      <w:r>
        <w:rPr>
          <w:rFonts w:ascii="Times New Roman;Times;serif" w:hAnsi="Times New Roman;Times;serif"/>
          <w:sz w:val="20"/>
        </w:rPr>
        <w:t>—Changes in the Company’s allowance for credit losses on net investment in sales-type leases for the three and six months ended June 30, 2025 and 2024 were as follows ($ in thousands):</w:t>
      </w:r>
    </w:p>
    <w:p>
      <w:pPr>
        <w:pStyle w:val="TextBody"/>
        <w:bidi w:val="0"/>
        <w:spacing w:before="0" w:after="240"/>
        <w:ind w:left="0" w:right="0" w:firstLine="720"/>
        <w:jc w:val="both"/>
        <w:rPr/>
      </w:pPr>
      <w:r>
        <w:rPr/>
        <w:t>​</w:t>
      </w:r>
    </w:p>
    <w:tbl>
      <w:tblPr>
        <w:tblW w:w="8844" w:type="dxa"/>
        <w:jc w:val="left"/>
        <w:tblInd w:w="0" w:type="dxa"/>
        <w:tblLayout w:type="fixed"/>
        <w:tblCellMar>
          <w:top w:w="0" w:type="dxa"/>
          <w:left w:w="0" w:type="dxa"/>
          <w:bottom w:w="0" w:type="dxa"/>
          <w:right w:w="0" w:type="dxa"/>
        </w:tblCellMar>
      </w:tblPr>
      <w:tblGrid>
        <w:gridCol w:w="4276"/>
        <w:gridCol w:w="326"/>
        <w:gridCol w:w="230"/>
        <w:gridCol w:w="626"/>
        <w:gridCol w:w="109"/>
        <w:gridCol w:w="320"/>
        <w:gridCol w:w="731"/>
        <w:gridCol w:w="109"/>
        <w:gridCol w:w="398"/>
        <w:gridCol w:w="713"/>
        <w:gridCol w:w="109"/>
        <w:gridCol w:w="211"/>
        <w:gridCol w:w="686"/>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715260" cy="175260"/>
                      <wp:effectExtent l="0" t="0" r="0" b="0"/>
                      <wp:wrapNone/>
                      <wp:docPr id="138" name="Frame138"/>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46050" cy="175260"/>
                      <wp:effectExtent l="0" t="0" r="0" b="0"/>
                      <wp:wrapNone/>
                      <wp:docPr id="140" name="Frame140"/>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397510" cy="175260"/>
                      <wp:effectExtent l="0" t="0" r="0" b="0"/>
                      <wp:wrapNone/>
                      <wp:docPr id="141" name="Frame141"/>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9215" cy="175260"/>
                      <wp:effectExtent l="0" t="0" r="0" b="0"/>
                      <wp:wrapNone/>
                      <wp:docPr id="142" name="Frame1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3200" cy="175260"/>
                      <wp:effectExtent l="0" t="0" r="0" b="0"/>
                      <wp:wrapNone/>
                      <wp:docPr id="143" name="Frame143"/>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464185" cy="175260"/>
                      <wp:effectExtent l="0" t="0" r="0" b="0"/>
                      <wp:wrapNone/>
                      <wp:docPr id="144" name="Frame144"/>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9215" cy="175260"/>
                      <wp:effectExtent l="0" t="0" r="0" b="0"/>
                      <wp:wrapNone/>
                      <wp:docPr id="145" name="Frame1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52730" cy="175260"/>
                      <wp:effectExtent l="0" t="0" r="0" b="0"/>
                      <wp:wrapNone/>
                      <wp:docPr id="146" name="Frame146"/>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452755" cy="175260"/>
                      <wp:effectExtent l="0" t="0" r="0" b="0"/>
                      <wp:wrapNone/>
                      <wp:docPr id="147" name="Frame147"/>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9215" cy="175260"/>
                      <wp:effectExtent l="0" t="0" r="0" b="0"/>
                      <wp:wrapNone/>
                      <wp:docPr id="148" name="Frame1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3985" cy="175260"/>
                      <wp:effectExtent l="0" t="0" r="0" b="0"/>
                      <wp:wrapNone/>
                      <wp:docPr id="149" name="Frame1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435610" cy="175260"/>
                      <wp:effectExtent l="0" t="0" r="0" b="0"/>
                      <wp:wrapNone/>
                      <wp:docPr id="150" name="Frame150"/>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4242"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investment in sales-type leases</w:t>
            </w:r>
          </w:p>
        </w:tc>
      </w:tr>
      <w:tr>
        <w:trPr/>
        <w:tc>
          <w:tcPr>
            <w:tcW w:w="4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Stabilized</w:t>
            </w:r>
          </w:p>
        </w:tc>
        <w:tc>
          <w:tcPr>
            <w:tcW w:w="109" w:type="dxa"/>
            <w:tcBorders/>
            <w:vAlign w:val="center"/>
          </w:tcPr>
          <w:p>
            <w:pPr>
              <w:pStyle w:val="TableContents"/>
              <w:bidi w:val="0"/>
              <w:spacing w:before="0" w:after="1"/>
              <w:ind w:left="0" w:right="0" w:hanging="0"/>
              <w:jc w:val="center"/>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Development</w:t>
            </w:r>
          </w:p>
        </w:tc>
        <w:tc>
          <w:tcPr>
            <w:tcW w:w="109" w:type="dxa"/>
            <w:tcBorders/>
            <w:vAlign w:val="center"/>
          </w:tcPr>
          <w:p>
            <w:pPr>
              <w:pStyle w:val="TableContents"/>
              <w:bidi w:val="0"/>
              <w:spacing w:before="0" w:after="1"/>
              <w:ind w:left="0" w:right="0" w:hanging="0"/>
              <w:jc w:val="center"/>
              <w:rPr/>
            </w:pPr>
            <w:r>
              <w:rPr/>
              <w:t>​</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Unfunded</w:t>
            </w:r>
          </w:p>
        </w:tc>
        <w:tc>
          <w:tcPr>
            <w:tcW w:w="109" w:type="dxa"/>
            <w:tcBorders/>
            <w:vAlign w:val="center"/>
          </w:tcPr>
          <w:p>
            <w:pPr>
              <w:pStyle w:val="TableContents"/>
              <w:bidi w:val="0"/>
              <w:spacing w:before="0" w:after="1"/>
              <w:ind w:left="0" w:right="0" w:hanging="0"/>
              <w:jc w:val="center"/>
              <w:rPr/>
            </w:pPr>
            <w:r>
              <w:rPr/>
              <w:t>​</w:t>
            </w:r>
          </w:p>
        </w:tc>
        <w:tc>
          <w:tcPr>
            <w:tcW w:w="897" w:type="dxa"/>
            <w:gridSpan w:val="2"/>
            <w:tcBorders/>
            <w:vAlign w:val="center"/>
          </w:tcPr>
          <w:p>
            <w:pPr>
              <w:pStyle w:val="TableContents"/>
              <w:bidi w:val="0"/>
              <w:spacing w:before="0" w:after="1"/>
              <w:ind w:left="0" w:right="0" w:hanging="0"/>
              <w:jc w:val="center"/>
              <w:rPr/>
            </w:pPr>
            <w:r>
              <w:rPr/>
              <w:t>​</w:t>
            </w:r>
          </w:p>
        </w:tc>
      </w:tr>
      <w:tr>
        <w:trPr/>
        <w:tc>
          <w:tcPr>
            <w:tcW w:w="42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Three Months Ended June 30, 2025</w:t>
            </w:r>
          </w:p>
        </w:tc>
        <w:tc>
          <w:tcPr>
            <w:tcW w:w="326" w:type="dxa"/>
            <w:tcBorders/>
            <w:vAlign w:val="center"/>
          </w:tcPr>
          <w:p>
            <w:pPr>
              <w:pStyle w:val="TableContents"/>
              <w:bidi w:val="0"/>
              <w:spacing w:before="0" w:after="1"/>
              <w:ind w:left="0" w:right="0" w:hanging="0"/>
              <w:jc w:val="center"/>
              <w:rPr/>
            </w:pPr>
            <w:r>
              <w:rPr/>
              <w:t>​</w:t>
            </w:r>
          </w:p>
        </w:tc>
        <w:tc>
          <w:tcPr>
            <w:tcW w:w="8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Properties</w:t>
            </w:r>
          </w:p>
        </w:tc>
        <w:tc>
          <w:tcPr>
            <w:tcW w:w="109" w:type="dxa"/>
            <w:tcBorders/>
            <w:vAlign w:val="center"/>
          </w:tcPr>
          <w:p>
            <w:pPr>
              <w:pStyle w:val="TableContents"/>
              <w:bidi w:val="0"/>
              <w:spacing w:before="0" w:after="1"/>
              <w:ind w:left="0" w:right="0" w:hanging="0"/>
              <w:jc w:val="center"/>
              <w:rPr/>
            </w:pPr>
            <w:r>
              <w:rPr/>
              <w:t>​</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Properties</w:t>
            </w:r>
          </w:p>
        </w:tc>
        <w:tc>
          <w:tcPr>
            <w:tcW w:w="109" w:type="dxa"/>
            <w:tcBorders/>
            <w:vAlign w:val="center"/>
          </w:tcPr>
          <w:p>
            <w:pPr>
              <w:pStyle w:val="TableContents"/>
              <w:bidi w:val="0"/>
              <w:spacing w:before="0" w:after="1"/>
              <w:ind w:left="0" w:right="0" w:hanging="0"/>
              <w:jc w:val="center"/>
              <w:rPr/>
            </w:pPr>
            <w:r>
              <w:rPr/>
              <w:t>​</w:t>
            </w:r>
          </w:p>
        </w:tc>
        <w:tc>
          <w:tcPr>
            <w:tcW w:w="11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Commitments</w:t>
            </w:r>
          </w:p>
        </w:tc>
        <w:tc>
          <w:tcPr>
            <w:tcW w:w="109" w:type="dxa"/>
            <w:tcBorders/>
            <w:vAlign w:val="center"/>
          </w:tcPr>
          <w:p>
            <w:pPr>
              <w:pStyle w:val="TableContents"/>
              <w:bidi w:val="0"/>
              <w:spacing w:before="0" w:after="1"/>
              <w:ind w:left="0" w:right="0" w:hanging="0"/>
              <w:jc w:val="center"/>
              <w:rPr/>
            </w:pPr>
            <w:r>
              <w:rPr/>
              <w:t>​</w:t>
            </w:r>
          </w:p>
        </w:tc>
        <w:tc>
          <w:tcPr>
            <w:tcW w:w="8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Allowance for credit losses at beginning of period</w:t>
            </w:r>
          </w:p>
        </w:tc>
        <w:tc>
          <w:tcPr>
            <w:tcW w:w="326" w:type="dxa"/>
            <w:tcBorders/>
            <w:shd w:fill="CCEEFF" w:val="clear"/>
            <w:vAlign w:val="center"/>
          </w:tcPr>
          <w:p>
            <w:pPr>
              <w:pStyle w:val="TableContents"/>
              <w:bidi w:val="0"/>
              <w:spacing w:before="0" w:after="1"/>
              <w:ind w:left="0" w:right="0" w:hanging="0"/>
              <w:jc w:val="center"/>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7,228</w:t>
            </w:r>
          </w:p>
        </w:tc>
        <w:tc>
          <w:tcPr>
            <w:tcW w:w="109"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469</w:t>
            </w:r>
          </w:p>
        </w:tc>
        <w:tc>
          <w:tcPr>
            <w:tcW w:w="109" w:type="dxa"/>
            <w:tcBorders/>
            <w:shd w:fill="CCEEFF" w:val="clear"/>
            <w:vAlign w:val="center"/>
          </w:tcPr>
          <w:p>
            <w:pPr>
              <w:pStyle w:val="TableContents"/>
              <w:bidi w:val="0"/>
              <w:spacing w:before="0" w:after="1"/>
              <w:ind w:left="0" w:right="0" w:hanging="0"/>
              <w:jc w:val="left"/>
              <w:rPr/>
            </w:pPr>
            <w:r>
              <w:rPr/>
              <w:t>​</w:t>
            </w:r>
          </w:p>
        </w:tc>
        <w:tc>
          <w:tcPr>
            <w:tcW w:w="3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7,697</w:t>
            </w:r>
          </w:p>
        </w:tc>
      </w:tr>
      <w:tr>
        <w:trPr/>
        <w:tc>
          <w:tcPr>
            <w:tcW w:w="427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Provision for (recovery of) credit losses</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center"/>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6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w:t>
            </w:r>
          </w:p>
        </w:tc>
        <w:tc>
          <w:tcPr>
            <w:tcW w:w="109"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109" w:type="dxa"/>
            <w:tcBorders/>
            <w:vAlign w:val="center"/>
          </w:tcPr>
          <w:p>
            <w:pPr>
              <w:pStyle w:val="TableContents"/>
              <w:bidi w:val="0"/>
              <w:spacing w:before="0" w:after="1"/>
              <w:ind w:left="0" w:right="0" w:hanging="0"/>
              <w:jc w:val="left"/>
              <w:rPr/>
            </w:pPr>
            <w:r>
              <w:rPr/>
              <w:t>​</w:t>
            </w:r>
          </w:p>
        </w:tc>
        <w:tc>
          <w:tcPr>
            <w:tcW w:w="39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663</w:t>
            </w:r>
          </w:p>
        </w:tc>
      </w:tr>
      <w:tr>
        <w:trPr/>
        <w:tc>
          <w:tcPr>
            <w:tcW w:w="42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Allowance for credit losses at end of period</w:t>
            </w:r>
            <w:r>
              <w:rPr>
                <w:rFonts w:ascii="Times New Roman;Times;serif" w:hAnsi="Times New Roman;Times;serif"/>
                <w:b/>
                <w:sz w:val="15"/>
              </w:rPr>
              <w:t>(2)</w:t>
            </w:r>
          </w:p>
        </w:tc>
        <w:tc>
          <w:tcPr>
            <w:tcW w:w="326" w:type="dxa"/>
            <w:tcBorders/>
            <w:shd w:fill="CCEEFF" w:val="clear"/>
            <w:vAlign w:val="center"/>
          </w:tcPr>
          <w:p>
            <w:pPr>
              <w:pStyle w:val="TableContents"/>
              <w:bidi w:val="0"/>
              <w:spacing w:before="0" w:after="1"/>
              <w:ind w:left="0" w:right="0" w:hanging="0"/>
              <w:jc w:val="center"/>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7,833</w:t>
            </w:r>
          </w:p>
        </w:tc>
        <w:tc>
          <w:tcPr>
            <w:tcW w:w="109" w:type="dxa"/>
            <w:tcBorders/>
            <w:shd w:fill="CCEEFF" w:val="clear"/>
            <w:vAlign w:val="center"/>
          </w:tcPr>
          <w:p>
            <w:pPr>
              <w:pStyle w:val="TableContents"/>
              <w:bidi w:val="0"/>
              <w:spacing w:before="0" w:after="1"/>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w:t>
            </w:r>
          </w:p>
        </w:tc>
        <w:tc>
          <w:tcPr>
            <w:tcW w:w="109" w:type="dxa"/>
            <w:tcBorders/>
            <w:shd w:fill="CCEEFF" w:val="clear"/>
            <w:vAlign w:val="center"/>
          </w:tcPr>
          <w:p>
            <w:pPr>
              <w:pStyle w:val="TableContents"/>
              <w:bidi w:val="0"/>
              <w:spacing w:before="0" w:after="1"/>
              <w:ind w:left="0" w:right="0" w:hanging="0"/>
              <w:jc w:val="left"/>
              <w:rPr/>
            </w:pPr>
            <w:r>
              <w:rPr/>
              <w:t>​</w:t>
            </w:r>
          </w:p>
        </w:tc>
        <w:tc>
          <w:tcPr>
            <w:tcW w:w="3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8,360</w:t>
            </w:r>
          </w:p>
        </w:tc>
      </w:tr>
      <w:tr>
        <w:trPr/>
        <w:tc>
          <w:tcPr>
            <w:tcW w:w="4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center"/>
              <w:rPr/>
            </w:pPr>
            <w:r>
              <w:rPr/>
              <w:t>​</w:t>
            </w:r>
          </w:p>
        </w:tc>
        <w:tc>
          <w:tcPr>
            <w:tcW w:w="6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320" w:type="dxa"/>
            <w:tcBorders/>
            <w:vAlign w:val="center"/>
          </w:tcPr>
          <w:p>
            <w:pPr>
              <w:pStyle w:val="TableContents"/>
              <w:bidi w:val="0"/>
              <w:spacing w:before="0" w:after="1"/>
              <w:ind w:left="0" w:right="0" w:hanging="0"/>
              <w:jc w:val="center"/>
              <w:rPr/>
            </w:pPr>
            <w:r>
              <w:rPr/>
              <w:t>​</w:t>
            </w:r>
          </w:p>
        </w:tc>
        <w:tc>
          <w:tcPr>
            <w:tcW w:w="73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398" w:type="dxa"/>
            <w:tcBorders/>
            <w:vAlign w:val="center"/>
          </w:tcPr>
          <w:p>
            <w:pPr>
              <w:pStyle w:val="TableContents"/>
              <w:bidi w:val="0"/>
              <w:spacing w:before="0" w:after="1"/>
              <w:ind w:left="0" w:right="0" w:hanging="0"/>
              <w:jc w:val="center"/>
              <w:rPr/>
            </w:pPr>
            <w:r>
              <w:rPr/>
              <w:t>​</w:t>
            </w:r>
          </w:p>
        </w:tc>
        <w:tc>
          <w:tcPr>
            <w:tcW w:w="713"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86" w:type="dxa"/>
            <w:tcBorders/>
            <w:vAlign w:val="center"/>
          </w:tcPr>
          <w:p>
            <w:pPr>
              <w:pStyle w:val="TableContents"/>
              <w:bidi w:val="0"/>
              <w:spacing w:before="0" w:after="1"/>
              <w:ind w:left="0" w:right="0" w:hanging="0"/>
              <w:jc w:val="center"/>
              <w:rPr/>
            </w:pPr>
            <w:r>
              <w:rPr/>
              <w:t>​</w:t>
            </w:r>
          </w:p>
        </w:tc>
      </w:tr>
      <w:tr>
        <w:trPr/>
        <w:tc>
          <w:tcPr>
            <w:tcW w:w="42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Three Months Ended June 30, 2024</w:t>
            </w:r>
          </w:p>
        </w:tc>
        <w:tc>
          <w:tcPr>
            <w:tcW w:w="326" w:type="dxa"/>
            <w:tcBorders/>
            <w:shd w:fill="CCEEFF" w:val="clear"/>
            <w:vAlign w:val="center"/>
          </w:tcPr>
          <w:p>
            <w:pPr>
              <w:pStyle w:val="TableContents"/>
              <w:bidi w:val="0"/>
              <w:spacing w:before="0" w:after="1"/>
              <w:ind w:left="0" w:right="0" w:hanging="0"/>
              <w:jc w:val="center"/>
              <w:rPr/>
            </w:pPr>
            <w:r>
              <w:rPr/>
              <w:t>​</w:t>
            </w:r>
          </w:p>
        </w:tc>
        <w:tc>
          <w:tcPr>
            <w:tcW w:w="856" w:type="dxa"/>
            <w:gridSpan w:val="2"/>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1051" w:type="dxa"/>
            <w:gridSpan w:val="2"/>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1111" w:type="dxa"/>
            <w:gridSpan w:val="2"/>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897" w:type="dxa"/>
            <w:gridSpan w:val="2"/>
            <w:tcBorders/>
            <w:shd w:fill="CCEEFF" w:val="clear"/>
            <w:vAlign w:val="center"/>
          </w:tcPr>
          <w:p>
            <w:pPr>
              <w:pStyle w:val="TableContents"/>
              <w:bidi w:val="0"/>
              <w:spacing w:before="0" w:after="1"/>
              <w:ind w:left="0" w:right="0" w:hanging="0"/>
              <w:jc w:val="center"/>
              <w:rPr/>
            </w:pPr>
            <w:r>
              <w:rPr/>
              <w:t>​</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Allowance for credit losses at beginning of period</w:t>
            </w:r>
          </w:p>
        </w:tc>
        <w:tc>
          <w:tcPr>
            <w:tcW w:w="326"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712</w:t>
            </w:r>
          </w:p>
        </w:tc>
        <w:tc>
          <w:tcPr>
            <w:tcW w:w="109"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w:t>
            </w:r>
          </w:p>
        </w:tc>
        <w:tc>
          <w:tcPr>
            <w:tcW w:w="109" w:type="dxa"/>
            <w:tcBorders/>
            <w:vAlign w:val="center"/>
          </w:tcPr>
          <w:p>
            <w:pPr>
              <w:pStyle w:val="TableContents"/>
              <w:bidi w:val="0"/>
              <w:spacing w:before="0" w:after="1"/>
              <w:ind w:left="0" w:right="0" w:hanging="0"/>
              <w:jc w:val="left"/>
              <w:rPr/>
            </w:pPr>
            <w:r>
              <w:rPr/>
              <w:t>​</w:t>
            </w:r>
          </w:p>
        </w:tc>
        <w:tc>
          <w:tcPr>
            <w:tcW w:w="3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918</w:t>
            </w:r>
          </w:p>
        </w:tc>
      </w:tr>
      <w:tr>
        <w:trPr/>
        <w:tc>
          <w:tcPr>
            <w:tcW w:w="42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Provision for (recovery of) credit losses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center"/>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6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719</w:t>
            </w:r>
          </w:p>
        </w:tc>
        <w:tc>
          <w:tcPr>
            <w:tcW w:w="109" w:type="dxa"/>
            <w:tcBorders/>
            <w:shd w:fill="CCEEFF" w:val="clear"/>
            <w:vAlign w:val="center"/>
          </w:tcPr>
          <w:p>
            <w:pPr>
              <w:pStyle w:val="TableContents"/>
              <w:bidi w:val="0"/>
              <w:spacing w:before="0" w:after="1"/>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c>
          <w:tcPr>
            <w:tcW w:w="109" w:type="dxa"/>
            <w:tcBorders/>
            <w:shd w:fill="CCEEFF" w:val="clear"/>
            <w:vAlign w:val="center"/>
          </w:tcPr>
          <w:p>
            <w:pPr>
              <w:pStyle w:val="TableContents"/>
              <w:bidi w:val="0"/>
              <w:spacing w:before="0" w:after="1"/>
              <w:ind w:left="0" w:right="0" w:hanging="0"/>
              <w:jc w:val="left"/>
              <w:rPr/>
            </w:pPr>
            <w:r>
              <w:rPr/>
              <w:t>​</w:t>
            </w:r>
          </w:p>
        </w:tc>
        <w:tc>
          <w:tcPr>
            <w:tcW w:w="3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w:t>
            </w:r>
          </w:p>
        </w:tc>
      </w:tr>
      <w:tr>
        <w:trPr/>
        <w:tc>
          <w:tcPr>
            <w:tcW w:w="427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Allowance for credit losses at end of period</w:t>
            </w:r>
            <w:r>
              <w:rPr>
                <w:rFonts w:ascii="Times New Roman;Times;serif" w:hAnsi="Times New Roman;Times;serif"/>
                <w:b/>
                <w:sz w:val="15"/>
              </w:rPr>
              <w:t>(2)</w:t>
            </w:r>
          </w:p>
        </w:tc>
        <w:tc>
          <w:tcPr>
            <w:tcW w:w="326" w:type="dxa"/>
            <w:tcBorders/>
            <w:vAlign w:val="center"/>
          </w:tcPr>
          <w:p>
            <w:pPr>
              <w:pStyle w:val="TableContents"/>
              <w:bidi w:val="0"/>
              <w:spacing w:before="0" w:after="1"/>
              <w:ind w:left="0" w:right="0" w:hanging="0"/>
              <w:jc w:val="center"/>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1,431</w:t>
            </w:r>
          </w:p>
        </w:tc>
        <w:tc>
          <w:tcPr>
            <w:tcW w:w="109" w:type="dxa"/>
            <w:tcBorders/>
            <w:vAlign w:val="center"/>
          </w:tcPr>
          <w:p>
            <w:pPr>
              <w:pStyle w:val="TableContents"/>
              <w:bidi w:val="0"/>
              <w:spacing w:before="0" w:after="1"/>
              <w:ind w:left="0" w:right="0" w:hanging="0"/>
              <w:jc w:val="left"/>
              <w:rPr/>
            </w:pPr>
            <w:r>
              <w:rPr/>
              <w:t>​</w:t>
            </w:r>
          </w:p>
        </w:tc>
        <w:tc>
          <w:tcPr>
            <w:tcW w:w="3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109" w:type="dxa"/>
            <w:tcBorders/>
            <w:vAlign w:val="center"/>
          </w:tcPr>
          <w:p>
            <w:pPr>
              <w:pStyle w:val="TableContents"/>
              <w:bidi w:val="0"/>
              <w:spacing w:before="0" w:after="1"/>
              <w:ind w:left="0" w:right="0" w:hanging="0"/>
              <w:jc w:val="left"/>
              <w:rPr/>
            </w:pPr>
            <w:r>
              <w:rPr/>
              <w:t>​</w:t>
            </w:r>
          </w:p>
        </w:tc>
        <w:tc>
          <w:tcPr>
            <w:tcW w:w="39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1,523</w:t>
            </w:r>
          </w:p>
        </w:tc>
      </w:tr>
      <w:tr>
        <w:trPr/>
        <w:tc>
          <w:tcPr>
            <w:tcW w:w="42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30" w:type="dxa"/>
            <w:tcBorders/>
            <w:shd w:fill="CCEEFF" w:val="clear"/>
            <w:vAlign w:val="center"/>
          </w:tcPr>
          <w:p>
            <w:pPr>
              <w:pStyle w:val="TableContents"/>
              <w:bidi w:val="0"/>
              <w:spacing w:before="0" w:after="1"/>
              <w:ind w:left="0" w:right="0" w:hanging="0"/>
              <w:jc w:val="center"/>
              <w:rPr/>
            </w:pPr>
            <w:r>
              <w:rPr/>
              <w:t>​</w:t>
            </w:r>
          </w:p>
        </w:tc>
        <w:tc>
          <w:tcPr>
            <w:tcW w:w="62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320" w:type="dxa"/>
            <w:tcBorders/>
            <w:shd w:fill="CCEEFF" w:val="clear"/>
            <w:vAlign w:val="center"/>
          </w:tcPr>
          <w:p>
            <w:pPr>
              <w:pStyle w:val="TableContents"/>
              <w:bidi w:val="0"/>
              <w:spacing w:before="0" w:after="1"/>
              <w:ind w:left="0" w:right="0" w:hanging="0"/>
              <w:jc w:val="center"/>
              <w:rPr/>
            </w:pPr>
            <w:r>
              <w:rPr/>
              <w:t>​</w:t>
            </w:r>
          </w:p>
        </w:tc>
        <w:tc>
          <w:tcPr>
            <w:tcW w:w="73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398" w:type="dxa"/>
            <w:tcBorders/>
            <w:shd w:fill="CCEEFF" w:val="clear"/>
            <w:vAlign w:val="center"/>
          </w:tcPr>
          <w:p>
            <w:pPr>
              <w:pStyle w:val="TableContents"/>
              <w:bidi w:val="0"/>
              <w:spacing w:before="0" w:after="1"/>
              <w:ind w:left="0" w:right="0" w:hanging="0"/>
              <w:jc w:val="center"/>
              <w:rPr/>
            </w:pPr>
            <w:r>
              <w:rPr/>
              <w:t>​</w:t>
            </w:r>
          </w:p>
        </w:tc>
        <w:tc>
          <w:tcPr>
            <w:tcW w:w="713"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86" w:type="dxa"/>
            <w:tcBorders/>
            <w:shd w:fill="CCEEFF" w:val="clear"/>
            <w:vAlign w:val="center"/>
          </w:tcPr>
          <w:p>
            <w:pPr>
              <w:pStyle w:val="TableContents"/>
              <w:bidi w:val="0"/>
              <w:spacing w:before="0" w:after="1"/>
              <w:ind w:left="0" w:right="0" w:hanging="0"/>
              <w:jc w:val="center"/>
              <w:rPr/>
            </w:pPr>
            <w:r>
              <w:rPr/>
              <w:t>​</w:t>
            </w:r>
          </w:p>
        </w:tc>
      </w:tr>
      <w:tr>
        <w:trPr/>
        <w:tc>
          <w:tcPr>
            <w:tcW w:w="42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Six Months Ended June 30, 2025</w:t>
            </w:r>
          </w:p>
        </w:tc>
        <w:tc>
          <w:tcPr>
            <w:tcW w:w="326" w:type="dxa"/>
            <w:tcBorders/>
            <w:vAlign w:val="center"/>
          </w:tcPr>
          <w:p>
            <w:pPr>
              <w:pStyle w:val="TableContents"/>
              <w:bidi w:val="0"/>
              <w:spacing w:before="0" w:after="1"/>
              <w:ind w:left="0" w:right="0" w:hanging="0"/>
              <w:jc w:val="center"/>
              <w:rPr/>
            </w:pPr>
            <w:r>
              <w:rPr/>
              <w:t>​</w:t>
            </w:r>
          </w:p>
        </w:tc>
        <w:tc>
          <w:tcPr>
            <w:tcW w:w="856"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051"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111"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97" w:type="dxa"/>
            <w:gridSpan w:val="2"/>
            <w:tcBorders/>
            <w:vAlign w:val="center"/>
          </w:tcPr>
          <w:p>
            <w:pPr>
              <w:pStyle w:val="TableContents"/>
              <w:bidi w:val="0"/>
              <w:spacing w:before="0" w:after="1"/>
              <w:ind w:left="0" w:right="0" w:hanging="0"/>
              <w:jc w:val="center"/>
              <w:rPr/>
            </w:pPr>
            <w:r>
              <w:rPr/>
              <w:t>​</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Allowance for credit losses at beginning of period</w:t>
            </w:r>
          </w:p>
        </w:tc>
        <w:tc>
          <w:tcPr>
            <w:tcW w:w="326" w:type="dxa"/>
            <w:tcBorders/>
            <w:shd w:fill="CCEEFF" w:val="clear"/>
            <w:vAlign w:val="center"/>
          </w:tcPr>
          <w:p>
            <w:pPr>
              <w:pStyle w:val="TableContents"/>
              <w:bidi w:val="0"/>
              <w:spacing w:before="0" w:after="1"/>
              <w:ind w:left="0" w:right="0" w:hanging="0"/>
              <w:jc w:val="center"/>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6,385</w:t>
            </w:r>
          </w:p>
        </w:tc>
        <w:tc>
          <w:tcPr>
            <w:tcW w:w="109"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w:t>
            </w:r>
          </w:p>
        </w:tc>
        <w:tc>
          <w:tcPr>
            <w:tcW w:w="109" w:type="dxa"/>
            <w:tcBorders/>
            <w:shd w:fill="CCEEFF" w:val="clear"/>
            <w:vAlign w:val="center"/>
          </w:tcPr>
          <w:p>
            <w:pPr>
              <w:pStyle w:val="TableContents"/>
              <w:bidi w:val="0"/>
              <w:spacing w:before="0" w:after="1"/>
              <w:ind w:left="0" w:right="0" w:hanging="0"/>
              <w:jc w:val="left"/>
              <w:rPr/>
            </w:pPr>
            <w:r>
              <w:rPr/>
              <w:t>​</w:t>
            </w:r>
          </w:p>
        </w:tc>
        <w:tc>
          <w:tcPr>
            <w:tcW w:w="3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6,821</w:t>
            </w:r>
          </w:p>
        </w:tc>
      </w:tr>
      <w:tr>
        <w:trPr/>
        <w:tc>
          <w:tcPr>
            <w:tcW w:w="427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Provision for (recovery of) credit losses</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center"/>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6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1,448</w:t>
            </w:r>
          </w:p>
        </w:tc>
        <w:tc>
          <w:tcPr>
            <w:tcW w:w="109"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109" w:type="dxa"/>
            <w:tcBorders/>
            <w:vAlign w:val="center"/>
          </w:tcPr>
          <w:p>
            <w:pPr>
              <w:pStyle w:val="TableContents"/>
              <w:bidi w:val="0"/>
              <w:spacing w:before="0" w:after="1"/>
              <w:ind w:left="0" w:right="0" w:hanging="0"/>
              <w:jc w:val="left"/>
              <w:rPr/>
            </w:pPr>
            <w:r>
              <w:rPr/>
              <w:t>​</w:t>
            </w:r>
          </w:p>
        </w:tc>
        <w:tc>
          <w:tcPr>
            <w:tcW w:w="39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1,539</w:t>
            </w:r>
          </w:p>
        </w:tc>
      </w:tr>
      <w:tr>
        <w:trPr/>
        <w:tc>
          <w:tcPr>
            <w:tcW w:w="42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Allowance for credit losses at end of period</w:t>
            </w:r>
            <w:r>
              <w:rPr>
                <w:rFonts w:ascii="Times New Roman;Times;serif" w:hAnsi="Times New Roman;Times;serif"/>
                <w:b/>
                <w:sz w:val="15"/>
              </w:rPr>
              <w:t>(2)</w:t>
            </w:r>
          </w:p>
        </w:tc>
        <w:tc>
          <w:tcPr>
            <w:tcW w:w="326" w:type="dxa"/>
            <w:tcBorders/>
            <w:shd w:fill="CCEEFF" w:val="clear"/>
            <w:vAlign w:val="center"/>
          </w:tcPr>
          <w:p>
            <w:pPr>
              <w:pStyle w:val="TableContents"/>
              <w:bidi w:val="0"/>
              <w:spacing w:before="0" w:after="1"/>
              <w:ind w:left="0" w:right="0" w:hanging="0"/>
              <w:jc w:val="center"/>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7,833</w:t>
            </w:r>
          </w:p>
        </w:tc>
        <w:tc>
          <w:tcPr>
            <w:tcW w:w="109" w:type="dxa"/>
            <w:tcBorders/>
            <w:shd w:fill="CCEEFF" w:val="clear"/>
            <w:vAlign w:val="center"/>
          </w:tcPr>
          <w:p>
            <w:pPr>
              <w:pStyle w:val="TableContents"/>
              <w:bidi w:val="0"/>
              <w:spacing w:before="0" w:after="1"/>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w:t>
            </w:r>
          </w:p>
        </w:tc>
        <w:tc>
          <w:tcPr>
            <w:tcW w:w="109" w:type="dxa"/>
            <w:tcBorders/>
            <w:shd w:fill="CCEEFF" w:val="clear"/>
            <w:vAlign w:val="center"/>
          </w:tcPr>
          <w:p>
            <w:pPr>
              <w:pStyle w:val="TableContents"/>
              <w:bidi w:val="0"/>
              <w:spacing w:before="0" w:after="1"/>
              <w:ind w:left="0" w:right="0" w:hanging="0"/>
              <w:jc w:val="left"/>
              <w:rPr/>
            </w:pPr>
            <w:r>
              <w:rPr/>
              <w:t>​</w:t>
            </w:r>
          </w:p>
        </w:tc>
        <w:tc>
          <w:tcPr>
            <w:tcW w:w="3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8,360</w:t>
            </w:r>
          </w:p>
        </w:tc>
      </w:tr>
      <w:tr>
        <w:trPr/>
        <w:tc>
          <w:tcPr>
            <w:tcW w:w="4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left"/>
              <w:rPr/>
            </w:pPr>
            <w:r>
              <w:rPr/>
              <w:t>​</w:t>
            </w:r>
          </w:p>
        </w:tc>
        <w:tc>
          <w:tcPr>
            <w:tcW w:w="6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73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98" w:type="dxa"/>
            <w:tcBorders/>
            <w:vAlign w:val="center"/>
          </w:tcPr>
          <w:p>
            <w:pPr>
              <w:pStyle w:val="TableContents"/>
              <w:bidi w:val="0"/>
              <w:spacing w:before="0" w:after="1"/>
              <w:ind w:left="0" w:right="0" w:hanging="0"/>
              <w:jc w:val="left"/>
              <w:rPr/>
            </w:pPr>
            <w:r>
              <w:rPr/>
              <w:t>​</w:t>
            </w:r>
          </w:p>
        </w:tc>
        <w:tc>
          <w:tcPr>
            <w:tcW w:w="71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6" w:type="dxa"/>
            <w:tcBorders/>
            <w:vAlign w:val="center"/>
          </w:tcPr>
          <w:p>
            <w:pPr>
              <w:pStyle w:val="TableContents"/>
              <w:bidi w:val="0"/>
              <w:spacing w:before="0" w:after="1"/>
              <w:ind w:left="0" w:right="0" w:hanging="0"/>
              <w:jc w:val="right"/>
              <w:rPr/>
            </w:pPr>
            <w:r>
              <w:rPr/>
              <w:t>​</w:t>
            </w:r>
          </w:p>
        </w:tc>
      </w:tr>
      <w:tr>
        <w:trPr/>
        <w:tc>
          <w:tcPr>
            <w:tcW w:w="42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Six Months Ended June 30, 2024</w:t>
            </w:r>
          </w:p>
        </w:tc>
        <w:tc>
          <w:tcPr>
            <w:tcW w:w="326" w:type="dxa"/>
            <w:tcBorders/>
            <w:shd w:fill="CCEEFF" w:val="clear"/>
            <w:vAlign w:val="center"/>
          </w:tcPr>
          <w:p>
            <w:pPr>
              <w:pStyle w:val="TableContents"/>
              <w:bidi w:val="0"/>
              <w:spacing w:before="0" w:after="1"/>
              <w:ind w:left="0" w:right="0" w:hanging="0"/>
              <w:jc w:val="center"/>
              <w:rPr/>
            </w:pPr>
            <w:r>
              <w:rPr/>
              <w:t>​</w:t>
            </w:r>
          </w:p>
        </w:tc>
        <w:tc>
          <w:tcPr>
            <w:tcW w:w="856" w:type="dxa"/>
            <w:gridSpan w:val="2"/>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1051" w:type="dxa"/>
            <w:gridSpan w:val="2"/>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1111" w:type="dxa"/>
            <w:gridSpan w:val="2"/>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897" w:type="dxa"/>
            <w:gridSpan w:val="2"/>
            <w:tcBorders/>
            <w:shd w:fill="CCEEFF" w:val="clear"/>
            <w:vAlign w:val="center"/>
          </w:tcPr>
          <w:p>
            <w:pPr>
              <w:pStyle w:val="TableContents"/>
              <w:bidi w:val="0"/>
              <w:spacing w:before="0" w:after="1"/>
              <w:ind w:left="0" w:right="0" w:hanging="0"/>
              <w:jc w:val="center"/>
              <w:rPr/>
            </w:pPr>
            <w:r>
              <w:rPr/>
              <w:t>​</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Allowance for credit losses at beginning of period</w:t>
            </w:r>
          </w:p>
        </w:tc>
        <w:tc>
          <w:tcPr>
            <w:tcW w:w="326"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w:t>
            </w:r>
          </w:p>
        </w:tc>
        <w:tc>
          <w:tcPr>
            <w:tcW w:w="109"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109" w:type="dxa"/>
            <w:tcBorders/>
            <w:vAlign w:val="center"/>
          </w:tcPr>
          <w:p>
            <w:pPr>
              <w:pStyle w:val="TableContents"/>
              <w:bidi w:val="0"/>
              <w:spacing w:before="0" w:after="1"/>
              <w:ind w:left="0" w:right="0" w:hanging="0"/>
              <w:jc w:val="left"/>
              <w:rPr/>
            </w:pPr>
            <w:r>
              <w:rPr/>
              <w:t>​</w:t>
            </w:r>
          </w:p>
        </w:tc>
        <w:tc>
          <w:tcPr>
            <w:tcW w:w="3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465</w:t>
            </w:r>
          </w:p>
        </w:tc>
      </w:tr>
      <w:tr>
        <w:trPr/>
        <w:tc>
          <w:tcPr>
            <w:tcW w:w="42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Provision for (recovery of) credit losses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center"/>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6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1,044</w:t>
            </w:r>
          </w:p>
        </w:tc>
        <w:tc>
          <w:tcPr>
            <w:tcW w:w="109" w:type="dxa"/>
            <w:tcBorders/>
            <w:shd w:fill="CCEEFF" w:val="clear"/>
            <w:vAlign w:val="center"/>
          </w:tcPr>
          <w:p>
            <w:pPr>
              <w:pStyle w:val="TableContents"/>
              <w:bidi w:val="0"/>
              <w:spacing w:before="0" w:after="1"/>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109" w:type="dxa"/>
            <w:tcBorders/>
            <w:shd w:fill="CCEEFF" w:val="clear"/>
            <w:vAlign w:val="center"/>
          </w:tcPr>
          <w:p>
            <w:pPr>
              <w:pStyle w:val="TableContents"/>
              <w:bidi w:val="0"/>
              <w:spacing w:before="0" w:after="1"/>
              <w:ind w:left="0" w:right="0" w:hanging="0"/>
              <w:jc w:val="left"/>
              <w:rPr/>
            </w:pPr>
            <w:r>
              <w:rPr/>
              <w:t>​</w:t>
            </w:r>
          </w:p>
        </w:tc>
        <w:tc>
          <w:tcPr>
            <w:tcW w:w="3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1,058</w:t>
            </w:r>
          </w:p>
        </w:tc>
      </w:tr>
      <w:tr>
        <w:trPr/>
        <w:tc>
          <w:tcPr>
            <w:tcW w:w="427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Allowance for credit losses at end of period</w:t>
            </w:r>
            <w:r>
              <w:rPr>
                <w:rFonts w:ascii="Times New Roman;Times;serif" w:hAnsi="Times New Roman;Times;serif"/>
                <w:b/>
                <w:sz w:val="15"/>
              </w:rPr>
              <w:t>(2)</w:t>
            </w:r>
          </w:p>
        </w:tc>
        <w:tc>
          <w:tcPr>
            <w:tcW w:w="326" w:type="dxa"/>
            <w:tcBorders/>
            <w:vAlign w:val="center"/>
          </w:tcPr>
          <w:p>
            <w:pPr>
              <w:pStyle w:val="TableContents"/>
              <w:bidi w:val="0"/>
              <w:spacing w:before="0" w:after="1"/>
              <w:ind w:left="0" w:right="0" w:hanging="0"/>
              <w:jc w:val="center"/>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1,431</w:t>
            </w:r>
          </w:p>
        </w:tc>
        <w:tc>
          <w:tcPr>
            <w:tcW w:w="109" w:type="dxa"/>
            <w:tcBorders/>
            <w:vAlign w:val="center"/>
          </w:tcPr>
          <w:p>
            <w:pPr>
              <w:pStyle w:val="TableContents"/>
              <w:bidi w:val="0"/>
              <w:spacing w:before="0" w:after="1"/>
              <w:ind w:left="0" w:right="0" w:hanging="0"/>
              <w:jc w:val="left"/>
              <w:rPr/>
            </w:pPr>
            <w:r>
              <w:rPr/>
              <w:t>​</w:t>
            </w:r>
          </w:p>
        </w:tc>
        <w:tc>
          <w:tcPr>
            <w:tcW w:w="3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109" w:type="dxa"/>
            <w:tcBorders/>
            <w:vAlign w:val="center"/>
          </w:tcPr>
          <w:p>
            <w:pPr>
              <w:pStyle w:val="TableContents"/>
              <w:bidi w:val="0"/>
              <w:spacing w:before="0" w:after="1"/>
              <w:ind w:left="0" w:right="0" w:hanging="0"/>
              <w:jc w:val="left"/>
              <w:rPr/>
            </w:pPr>
            <w:r>
              <w:rPr/>
              <w:t>​</w:t>
            </w:r>
          </w:p>
        </w:tc>
        <w:tc>
          <w:tcPr>
            <w:tcW w:w="39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1,523</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During the three months ended June 30, 2025 and 2024, the Company recorded a provision for credit losses on net investment in sales-type leases of $0.7</w:t>
            </w:r>
            <w:r>
              <w:rPr>
                <w:caps w:val="false"/>
                <w:smallCaps w:val="false"/>
              </w:rPr>
              <w:t xml:space="preserve"> </w:t>
            </w:r>
            <w:r>
              <w:rPr>
                <w:rFonts w:ascii="Times New Roman;Times;serif" w:hAnsi="Times New Roman;Times;serif"/>
                <w:b w:val="false"/>
                <w:i w:val="false"/>
                <w:caps w:val="false"/>
                <w:smallCaps w:val="false"/>
                <w:sz w:val="16"/>
              </w:rPr>
              <w:t>million and $0.6</w:t>
            </w:r>
            <w:r>
              <w:rPr>
                <w:caps w:val="false"/>
                <w:smallCaps w:val="false"/>
              </w:rPr>
              <w:t xml:space="preserve"> </w:t>
            </w:r>
            <w:r>
              <w:rPr>
                <w:rFonts w:ascii="Times New Roman;Times;serif" w:hAnsi="Times New Roman;Times;serif"/>
                <w:b w:val="false"/>
                <w:i w:val="false"/>
                <w:caps w:val="false"/>
                <w:smallCaps w:val="false"/>
                <w:sz w:val="16"/>
              </w:rPr>
              <w:t xml:space="preserve">million, respectively. The provision for credit losses for the three months ended June 30, 2025 and 2024 was due primarily to current market conditions, </w:t>
            </w:r>
            <w:r>
              <w:rPr>
                <w:rFonts w:ascii="Times New Roman;Times;serif" w:hAnsi="Times New Roman;Times;serif"/>
                <w:b w:val="false"/>
                <w:i w:val="false"/>
                <w:caps w:val="false"/>
                <w:smallCaps w:val="false"/>
                <w:color w:val="212529"/>
                <w:sz w:val="16"/>
              </w:rPr>
              <w:t xml:space="preserve">including an increase in the Ground Lease cost to value ratio on the Company’s portfolio of Ground Leases since March 31, 2025 and 2024, respectively, </w:t>
            </w:r>
            <w:r>
              <w:rPr>
                <w:rFonts w:ascii="Times New Roman;Times;serif" w:hAnsi="Times New Roman;Times;serif"/>
                <w:b w:val="false"/>
                <w:i w:val="false"/>
                <w:caps w:val="false"/>
                <w:smallCaps w:val="false"/>
                <w:sz w:val="16"/>
              </w:rPr>
              <w:t>and growth in the carrying value of the portfolio during the period. During the six months ended June 30, 2025 and 2024, the Company recorded a provision for credit losses on net investment in sales-type leases of $1.5</w:t>
            </w:r>
            <w:r>
              <w:rPr>
                <w:caps w:val="false"/>
                <w:smallCaps w:val="false"/>
              </w:rPr>
              <w:t xml:space="preserve"> </w:t>
            </w:r>
            <w:r>
              <w:rPr>
                <w:rFonts w:ascii="Times New Roman;Times;serif" w:hAnsi="Times New Roman;Times;serif"/>
                <w:b w:val="false"/>
                <w:i w:val="false"/>
                <w:caps w:val="false"/>
                <w:smallCaps w:val="false"/>
                <w:sz w:val="16"/>
              </w:rPr>
              <w:t>million and $1.1</w:t>
            </w:r>
            <w:r>
              <w:rPr>
                <w:caps w:val="false"/>
                <w:smallCaps w:val="false"/>
              </w:rPr>
              <w:t xml:space="preserve"> </w:t>
            </w:r>
            <w:r>
              <w:rPr>
                <w:rFonts w:ascii="Times New Roman;Times;serif" w:hAnsi="Times New Roman;Times;serif"/>
                <w:b w:val="false"/>
                <w:i w:val="false"/>
                <w:caps w:val="false"/>
                <w:smallCaps w:val="false"/>
                <w:sz w:val="16"/>
              </w:rPr>
              <w:t xml:space="preserve">million, respectively. </w:t>
            </w:r>
            <w:r>
              <w:rPr>
                <w:rFonts w:ascii="Times New Roman;Times;serif" w:hAnsi="Times New Roman;Times;serif"/>
                <w:b w:val="false"/>
                <w:i w:val="false"/>
                <w:caps w:val="false"/>
                <w:smallCaps w:val="false"/>
                <w:color w:val="212529"/>
                <w:sz w:val="16"/>
              </w:rPr>
              <w:t>The provision for credit losses for the six months ended June 30, 2025 and 2024 was due primarily to current market conditions, including an increase in the Ground Lease cost to value ratio on the Company’s portfolio of Ground Leases since December 31, 2024 and 2023, respectively. </w:t>
            </w:r>
          </w:p>
        </w:tc>
      </w:tr>
    </w:tbl>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Allowance for credit losses on unfunded commitments is recorded in “Accounts payable and accrued expenses” on the Company’s consolidated balance sheets.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firstLine="720"/>
        <w:jc w:val="both"/>
        <w:rPr/>
      </w:pPr>
      <w:bookmarkStart w:id="1074" w:name="Tc_a2CCUnTE-ECXWINcqAqYCQ_21_11"/>
      <w:bookmarkStart w:id="1075" w:name="Tc_fbJKwGya8UexiLSVl4vV0g_21_8"/>
      <w:bookmarkStart w:id="1076" w:name="Tc_060jarHs_keVRSWZ2IBIlw_21_5"/>
      <w:bookmarkStart w:id="1077" w:name="Tc_isHM0qvhMUWsZTvztsWrgQ_21_2"/>
      <w:bookmarkStart w:id="1078" w:name="Tc_9QoXpcI-DU-iC3Touwg0iQ_21_0"/>
      <w:bookmarkStart w:id="1079" w:name="Tc_2bV_QbqdY0iimmpyRt6r_w_20_0"/>
      <w:bookmarkStart w:id="1080" w:name="Tc_pxQWMSyvUUy6l7Wydnf-sg_19_11"/>
      <w:bookmarkStart w:id="1081" w:name="Tc_kaKKs9_kzU-QhW6VorWw6g_19_8"/>
      <w:bookmarkStart w:id="1082" w:name="Tc_QOiuF1CFDUafPNG0p1B-Bw_19_5"/>
      <w:bookmarkStart w:id="1083" w:name="Tc_DyUoStmN-UiqzowHMtKL6g_19_2"/>
      <w:bookmarkStart w:id="1084" w:name="Tc_wY-iSsa1SEy3EU6v9-pzxw_19_0"/>
      <w:bookmarkStart w:id="1085" w:name="Tc_02lDDlqZ00Oh0aIJEh4UFg_18_0"/>
      <w:bookmarkStart w:id="1086" w:name="Tc_ROjZxqX8y0G96vCf_OuWRQ_16_11"/>
      <w:bookmarkStart w:id="1087" w:name="Tc_Ht3_zL1Nr0e6h4LajMJ-sg_16_8"/>
      <w:bookmarkStart w:id="1088" w:name="Tc_JWRc7ZdCl0ifiBhb6TZuSQ_16_5"/>
      <w:bookmarkStart w:id="1089" w:name="Tc_64FZgZEz8kSKU2Xqtd3fuw_16_2"/>
      <w:bookmarkStart w:id="1090" w:name="Tc_d8EFTl1Bm0i3w3teAnKBlg_16_0"/>
      <w:bookmarkStart w:id="1091" w:name="Tc_GLWL8jHFL0mLzALP9SrJag_15_0"/>
      <w:bookmarkStart w:id="1092" w:name="Tc_NdwTDm8EPke7VseeyyirTA_14_11"/>
      <w:bookmarkStart w:id="1093" w:name="Tc_GjbeaFgxeESA3pwzDBxZHQ_14_8"/>
      <w:bookmarkStart w:id="1094" w:name="Tc_UwQuwT1jv0a1RIKbk2nXXA_14_5"/>
      <w:bookmarkStart w:id="1095" w:name="Tc_1wc3z-8do0eHktMw-L_8EQ_14_2"/>
      <w:bookmarkStart w:id="1096" w:name="Tc_zIv2dgaSUkCY10pVn1qt2Q_14_0"/>
      <w:bookmarkStart w:id="1097" w:name="Tc_8DmqfBE6zkW0rzPwcbuj9Q_13_0"/>
      <w:bookmarkStart w:id="1098" w:name="Tc_qyFJwybI20S5eteLObxu0A_11_11"/>
      <w:bookmarkStart w:id="1099" w:name="Tc_Nx7cc08HJkC2fKMtxk1uog_11_8"/>
      <w:bookmarkStart w:id="1100" w:name="Tc_u2mCEwp-JkS_aJ0sHDVq8g_11_5"/>
      <w:bookmarkStart w:id="1101" w:name="Tc_yXWZrIbYCkKfdh5tTq4-CA_11_2"/>
      <w:bookmarkStart w:id="1102" w:name="Tc_AkTXYQa-KkeE-Tffzuh82Q_11_0"/>
      <w:bookmarkStart w:id="1103" w:name="Tc_A2znnVOcHUWmvfBFwn-R8A_10_0"/>
      <w:bookmarkStart w:id="1104" w:name="Tc_0mt0K_YptEyWQWr0nK17vw_9_11"/>
      <w:bookmarkStart w:id="1105" w:name="Tc_JH4V9p0nyUuDODi74MN-0Q_9_8"/>
      <w:bookmarkStart w:id="1106" w:name="Tc_kRFwNTaA6USmmMEbtW5tTw_9_5"/>
      <w:bookmarkStart w:id="1107" w:name="Tc_uumHzbFn_0SKzq6XoS1bIA_9_2"/>
      <w:bookmarkStart w:id="1108" w:name="Tc_LRBPYVXTAUWwT0ZI0o3UuA_9_0"/>
      <w:bookmarkStart w:id="1109" w:name="Tc_oJDvl27_yEuj5eLpCTpPfw_8_0"/>
      <w:bookmarkStart w:id="1110" w:name="Tc_hk5Llh3cMUGfmtVu_uGywg_6_11"/>
      <w:bookmarkStart w:id="1111" w:name="Tc_dFyCg7Ffv02JM3tSRWTyKQ_6_8"/>
      <w:bookmarkStart w:id="1112" w:name="Tc_ND2vP0PlTUmkR8xb9jrmEw_6_5"/>
      <w:bookmarkStart w:id="1113" w:name="Tc_EuA-koqcqE6_0QEmlUQa_w_6_2"/>
      <w:bookmarkStart w:id="1114" w:name="Tc_VyFYfIRkqUmkUyUDDEykeg_6_0"/>
      <w:bookmarkStart w:id="1115" w:name="Tc_qJB3q5I6H0O3liCW-D-rCQ_5_0"/>
      <w:bookmarkStart w:id="1116" w:name="Tc_k5xf5siavE-jt0j0IzPe1Q_4_11"/>
      <w:bookmarkStart w:id="1117" w:name="Tc_JBadt0ieW0KUVEqpW-MCbg_4_8"/>
      <w:bookmarkStart w:id="1118" w:name="Tc_rfaLmI_rvEOleXiRZSFdGA_4_5"/>
      <w:bookmarkStart w:id="1119" w:name="Tc_3Oj38e08QEiCA8Ke2Tm-OQ_4_2"/>
      <w:bookmarkStart w:id="1120" w:name="Tc_kPhoPYVGtEambbnlktOiJg_4_0"/>
      <w:bookmarkStart w:id="1121" w:name="Tc_atEzMoIDB0iGQD66TckF6w_3_11"/>
      <w:bookmarkStart w:id="1122" w:name="Tc_rrJv4RNMJkScA6sS2m5_UQ_3_8"/>
      <w:bookmarkStart w:id="1123" w:name="Tc_UhMX_oIHqEymFI0XoV6glw_3_5"/>
      <w:bookmarkStart w:id="1124" w:name="Tc_3l-AUPX1-kenPXgZ_pyudg_3_2"/>
      <w:bookmarkStart w:id="1125" w:name="Tc__9POjyoqD0mm4yUO0x1WMw_3_0"/>
      <w:bookmarkStart w:id="1126" w:name="Tc_gRAfmNW1eUS3CGzpe6rvxQ_2_8"/>
      <w:bookmarkStart w:id="1127" w:name="Tc_6FukWmMMs0yn4qmDQJDjkA_2_5"/>
      <w:bookmarkStart w:id="1128" w:name="Tc_CxzGFUDpM0ekrWxssTMgWQ_2_2"/>
      <w:bookmarkStart w:id="1129" w:name="Tc_6lZnEwP0bEeUpFZx_FzvRQ_1_2"/>
      <w:bookmarkStart w:id="1130" w:name="_3c272f75_5f60_4146_87de_9f62bd7005a9"/>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Changes in the Company’s allowance for credit losses on Ground Lease receivables for the three and six months ended June 30, 2025 and 2024 were as follows ($ in thousands): </w:t>
      </w:r>
    </w:p>
    <w:p>
      <w:pPr>
        <w:pStyle w:val="TextBody"/>
        <w:bidi w:val="0"/>
        <w:spacing w:before="0" w:after="240"/>
        <w:ind w:left="0" w:right="0" w:hanging="0"/>
        <w:jc w:val="both"/>
        <w:rPr/>
      </w:pPr>
      <w:r>
        <w:rPr/>
        <w:t>​</w:t>
      </w:r>
    </w:p>
    <w:tbl>
      <w:tblPr>
        <w:tblW w:w="8774" w:type="dxa"/>
        <w:jc w:val="left"/>
        <w:tblInd w:w="0" w:type="dxa"/>
        <w:tblLayout w:type="fixed"/>
        <w:tblCellMar>
          <w:top w:w="0" w:type="dxa"/>
          <w:left w:w="0" w:type="dxa"/>
          <w:bottom w:w="0" w:type="dxa"/>
          <w:right w:w="0" w:type="dxa"/>
        </w:tblCellMar>
      </w:tblPr>
      <w:tblGrid>
        <w:gridCol w:w="4276"/>
        <w:gridCol w:w="326"/>
        <w:gridCol w:w="230"/>
        <w:gridCol w:w="626"/>
        <w:gridCol w:w="109"/>
        <w:gridCol w:w="283"/>
        <w:gridCol w:w="768"/>
        <w:gridCol w:w="109"/>
        <w:gridCol w:w="398"/>
        <w:gridCol w:w="713"/>
        <w:gridCol w:w="109"/>
        <w:gridCol w:w="211"/>
        <w:gridCol w:w="616"/>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715260" cy="175260"/>
                      <wp:effectExtent l="0" t="0" r="0" b="0"/>
                      <wp:wrapNone/>
                      <wp:docPr id="151" name="Frame151"/>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46050" cy="175260"/>
                      <wp:effectExtent l="0" t="0" r="0" b="0"/>
                      <wp:wrapNone/>
                      <wp:docPr id="153" name="Frame153"/>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397510" cy="175260"/>
                      <wp:effectExtent l="0" t="0" r="0" b="0"/>
                      <wp:wrapNone/>
                      <wp:docPr id="154" name="Frame154"/>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9215" cy="175260"/>
                      <wp:effectExtent l="0" t="0" r="0" b="0"/>
                      <wp:wrapNone/>
                      <wp:docPr id="155" name="Frame1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79705" cy="175260"/>
                      <wp:effectExtent l="0" t="0" r="0" b="0"/>
                      <wp:wrapNone/>
                      <wp:docPr id="156" name="Frame156"/>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87680" cy="175260"/>
                      <wp:effectExtent l="0" t="0" r="0" b="0"/>
                      <wp:wrapNone/>
                      <wp:docPr id="157" name="Frame157"/>
                      <a:graphic xmlns:a="http://schemas.openxmlformats.org/drawingml/2006/main">
                        <a:graphicData uri="http://schemas.microsoft.com/office/word/2010/wordprocessingShape">
                          <wps:wsp>
                            <wps:cNvSpPr txBox="1"/>
                            <wps:spPr>
                              <a:xfrm>
                                <a:off x="0" y="0"/>
                                <a:ext cx="487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9215" cy="175260"/>
                      <wp:effectExtent l="0" t="0" r="0" b="0"/>
                      <wp:wrapNone/>
                      <wp:docPr id="158" name="Frame1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52730" cy="175260"/>
                      <wp:effectExtent l="0" t="0" r="0" b="0"/>
                      <wp:wrapNone/>
                      <wp:docPr id="159" name="Frame159"/>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452755" cy="175260"/>
                      <wp:effectExtent l="0" t="0" r="0" b="0"/>
                      <wp:wrapNone/>
                      <wp:docPr id="160" name="Frame160"/>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9215" cy="175260"/>
                      <wp:effectExtent l="0" t="0" r="0" b="0"/>
                      <wp:wrapNone/>
                      <wp:docPr id="161" name="Frame1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62" name="Frame1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391160" cy="175260"/>
                      <wp:effectExtent l="0" t="0" r="0" b="0"/>
                      <wp:wrapNone/>
                      <wp:docPr id="163" name="Frame163"/>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4172"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Ground Lease receivables</w:t>
            </w:r>
          </w:p>
        </w:tc>
      </w:tr>
      <w:tr>
        <w:trPr/>
        <w:tc>
          <w:tcPr>
            <w:tcW w:w="4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Stabilized</w:t>
            </w:r>
          </w:p>
        </w:tc>
        <w:tc>
          <w:tcPr>
            <w:tcW w:w="109" w:type="dxa"/>
            <w:tcBorders/>
            <w:vAlign w:val="center"/>
          </w:tcPr>
          <w:p>
            <w:pPr>
              <w:pStyle w:val="TableContents"/>
              <w:bidi w:val="0"/>
              <w:spacing w:before="0" w:after="1"/>
              <w:ind w:left="0" w:right="0" w:hanging="0"/>
              <w:jc w:val="center"/>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Development</w:t>
            </w:r>
          </w:p>
        </w:tc>
        <w:tc>
          <w:tcPr>
            <w:tcW w:w="109" w:type="dxa"/>
            <w:tcBorders/>
            <w:vAlign w:val="center"/>
          </w:tcPr>
          <w:p>
            <w:pPr>
              <w:pStyle w:val="TableContents"/>
              <w:bidi w:val="0"/>
              <w:spacing w:before="0" w:after="1"/>
              <w:ind w:left="0" w:right="0" w:hanging="0"/>
              <w:jc w:val="center"/>
              <w:rPr/>
            </w:pPr>
            <w:r>
              <w:rPr/>
              <w:t>​</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Unfunded</w:t>
            </w:r>
          </w:p>
        </w:tc>
        <w:tc>
          <w:tcPr>
            <w:tcW w:w="109" w:type="dxa"/>
            <w:tcBorders/>
            <w:vAlign w:val="center"/>
          </w:tcPr>
          <w:p>
            <w:pPr>
              <w:pStyle w:val="TableContents"/>
              <w:bidi w:val="0"/>
              <w:spacing w:before="0" w:after="1"/>
              <w:ind w:left="0" w:right="0" w:hanging="0"/>
              <w:jc w:val="center"/>
              <w:rPr/>
            </w:pPr>
            <w:r>
              <w:rPr/>
              <w:t>​</w:t>
            </w:r>
          </w:p>
        </w:tc>
        <w:tc>
          <w:tcPr>
            <w:tcW w:w="827" w:type="dxa"/>
            <w:gridSpan w:val="2"/>
            <w:tcBorders/>
            <w:vAlign w:val="center"/>
          </w:tcPr>
          <w:p>
            <w:pPr>
              <w:pStyle w:val="TableContents"/>
              <w:bidi w:val="0"/>
              <w:spacing w:before="0" w:after="1"/>
              <w:ind w:left="0" w:right="0" w:hanging="0"/>
              <w:jc w:val="center"/>
              <w:rPr/>
            </w:pPr>
            <w:r>
              <w:rPr/>
              <w:t>​</w:t>
            </w:r>
          </w:p>
        </w:tc>
      </w:tr>
      <w:tr>
        <w:trPr/>
        <w:tc>
          <w:tcPr>
            <w:tcW w:w="42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Three Months Ended June 30, 2025</w:t>
            </w:r>
          </w:p>
        </w:tc>
        <w:tc>
          <w:tcPr>
            <w:tcW w:w="326" w:type="dxa"/>
            <w:tcBorders/>
            <w:vAlign w:val="center"/>
          </w:tcPr>
          <w:p>
            <w:pPr>
              <w:pStyle w:val="TableContents"/>
              <w:bidi w:val="0"/>
              <w:spacing w:before="0" w:after="1"/>
              <w:ind w:left="0" w:right="0" w:hanging="0"/>
              <w:jc w:val="center"/>
              <w:rPr/>
            </w:pPr>
            <w:r>
              <w:rPr/>
              <w:t>​</w:t>
            </w:r>
          </w:p>
        </w:tc>
        <w:tc>
          <w:tcPr>
            <w:tcW w:w="8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Properties</w:t>
            </w:r>
          </w:p>
        </w:tc>
        <w:tc>
          <w:tcPr>
            <w:tcW w:w="109" w:type="dxa"/>
            <w:tcBorders/>
            <w:vAlign w:val="center"/>
          </w:tcPr>
          <w:p>
            <w:pPr>
              <w:pStyle w:val="TableContents"/>
              <w:bidi w:val="0"/>
              <w:spacing w:before="0" w:after="1"/>
              <w:ind w:left="0" w:right="0" w:hanging="0"/>
              <w:jc w:val="center"/>
              <w:rPr/>
            </w:pPr>
            <w:r>
              <w:rPr/>
              <w:t>​</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Properties</w:t>
            </w:r>
          </w:p>
        </w:tc>
        <w:tc>
          <w:tcPr>
            <w:tcW w:w="109" w:type="dxa"/>
            <w:tcBorders/>
            <w:vAlign w:val="center"/>
          </w:tcPr>
          <w:p>
            <w:pPr>
              <w:pStyle w:val="TableContents"/>
              <w:bidi w:val="0"/>
              <w:spacing w:before="0" w:after="1"/>
              <w:ind w:left="0" w:right="0" w:hanging="0"/>
              <w:jc w:val="center"/>
              <w:rPr/>
            </w:pPr>
            <w:r>
              <w:rPr/>
              <w:t>​</w:t>
            </w:r>
          </w:p>
        </w:tc>
        <w:tc>
          <w:tcPr>
            <w:tcW w:w="11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Commitments</w:t>
            </w:r>
          </w:p>
        </w:tc>
        <w:tc>
          <w:tcPr>
            <w:tcW w:w="109" w:type="dxa"/>
            <w:tcBorders/>
            <w:vAlign w:val="center"/>
          </w:tcPr>
          <w:p>
            <w:pPr>
              <w:pStyle w:val="TableContents"/>
              <w:bidi w:val="0"/>
              <w:spacing w:before="0" w:after="1"/>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Allowance for credit losses at beginning of period</w:t>
            </w:r>
          </w:p>
        </w:tc>
        <w:tc>
          <w:tcPr>
            <w:tcW w:w="326" w:type="dxa"/>
            <w:tcBorders/>
            <w:shd w:fill="CCEEFF" w:val="clear"/>
            <w:vAlign w:val="center"/>
          </w:tcPr>
          <w:p>
            <w:pPr>
              <w:pStyle w:val="TableContents"/>
              <w:bidi w:val="0"/>
              <w:spacing w:before="0" w:after="1"/>
              <w:ind w:left="0" w:right="0" w:hanging="0"/>
              <w:jc w:val="center"/>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4,116</w:t>
            </w:r>
          </w:p>
        </w:tc>
        <w:tc>
          <w:tcPr>
            <w:tcW w:w="109"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1,097</w:t>
            </w:r>
          </w:p>
        </w:tc>
        <w:tc>
          <w:tcPr>
            <w:tcW w:w="109" w:type="dxa"/>
            <w:tcBorders/>
            <w:shd w:fill="CCEEFF" w:val="clear"/>
            <w:vAlign w:val="center"/>
          </w:tcPr>
          <w:p>
            <w:pPr>
              <w:pStyle w:val="TableContents"/>
              <w:bidi w:val="0"/>
              <w:spacing w:before="0" w:after="1"/>
              <w:ind w:left="0" w:right="0" w:hanging="0"/>
              <w:jc w:val="left"/>
              <w:rPr/>
            </w:pPr>
            <w:r>
              <w:rPr/>
              <w:t>​</w:t>
            </w:r>
          </w:p>
        </w:tc>
        <w:tc>
          <w:tcPr>
            <w:tcW w:w="3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5,239</w:t>
            </w:r>
          </w:p>
        </w:tc>
      </w:tr>
      <w:tr>
        <w:trPr/>
        <w:tc>
          <w:tcPr>
            <w:tcW w:w="427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Provision for (recovery of) credit losses</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center"/>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6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w:t>
            </w:r>
          </w:p>
        </w:tc>
        <w:tc>
          <w:tcPr>
            <w:tcW w:w="109" w:type="dxa"/>
            <w:tcBorders/>
            <w:vAlign w:val="center"/>
          </w:tcPr>
          <w:p>
            <w:pPr>
              <w:pStyle w:val="TableContents"/>
              <w:bidi w:val="0"/>
              <w:spacing w:before="0" w:after="1"/>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109" w:type="dxa"/>
            <w:tcBorders/>
            <w:vAlign w:val="center"/>
          </w:tcPr>
          <w:p>
            <w:pPr>
              <w:pStyle w:val="TableContents"/>
              <w:bidi w:val="0"/>
              <w:spacing w:before="0" w:after="1"/>
              <w:ind w:left="0" w:right="0" w:hanging="0"/>
              <w:jc w:val="left"/>
              <w:rPr/>
            </w:pPr>
            <w:r>
              <w:rPr/>
              <w:t>​</w:t>
            </w:r>
          </w:p>
        </w:tc>
        <w:tc>
          <w:tcPr>
            <w:tcW w:w="39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w:t>
            </w:r>
          </w:p>
        </w:tc>
      </w:tr>
      <w:tr>
        <w:trPr/>
        <w:tc>
          <w:tcPr>
            <w:tcW w:w="42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Allowance for credit losses at end of period</w:t>
            </w:r>
            <w:r>
              <w:rPr>
                <w:rFonts w:ascii="Times New Roman;Times;serif" w:hAnsi="Times New Roman;Times;serif"/>
                <w:b/>
                <w:sz w:val="15"/>
              </w:rPr>
              <w:t>(2)</w:t>
            </w:r>
          </w:p>
        </w:tc>
        <w:tc>
          <w:tcPr>
            <w:tcW w:w="326" w:type="dxa"/>
            <w:tcBorders/>
            <w:shd w:fill="CCEEFF" w:val="clear"/>
            <w:vAlign w:val="center"/>
          </w:tcPr>
          <w:p>
            <w:pPr>
              <w:pStyle w:val="TableContents"/>
              <w:bidi w:val="0"/>
              <w:spacing w:before="0" w:after="1"/>
              <w:ind w:left="0" w:right="0" w:hanging="0"/>
              <w:jc w:val="center"/>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4,423</w:t>
            </w:r>
          </w:p>
        </w:tc>
        <w:tc>
          <w:tcPr>
            <w:tcW w:w="109" w:type="dxa"/>
            <w:tcBorders/>
            <w:shd w:fill="CCEEFF" w:val="clear"/>
            <w:vAlign w:val="center"/>
          </w:tcPr>
          <w:p>
            <w:pPr>
              <w:pStyle w:val="TableContents"/>
              <w:bidi w:val="0"/>
              <w:spacing w:before="0" w:after="1"/>
              <w:ind w:left="0" w:right="0" w:hanging="0"/>
              <w:jc w:val="left"/>
              <w:rPr/>
            </w:pPr>
            <w:r>
              <w:rPr/>
              <w:t>​</w:t>
            </w:r>
          </w:p>
        </w:tc>
        <w:tc>
          <w:tcPr>
            <w:tcW w:w="28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1,167</w:t>
            </w:r>
          </w:p>
        </w:tc>
        <w:tc>
          <w:tcPr>
            <w:tcW w:w="109" w:type="dxa"/>
            <w:tcBorders/>
            <w:shd w:fill="CCEEFF" w:val="clear"/>
            <w:vAlign w:val="center"/>
          </w:tcPr>
          <w:p>
            <w:pPr>
              <w:pStyle w:val="TableContents"/>
              <w:bidi w:val="0"/>
              <w:spacing w:before="0" w:after="1"/>
              <w:ind w:left="0" w:right="0" w:hanging="0"/>
              <w:jc w:val="left"/>
              <w:rPr/>
            </w:pPr>
            <w:r>
              <w:rPr/>
              <w:t>​</w:t>
            </w:r>
          </w:p>
        </w:tc>
        <w:tc>
          <w:tcPr>
            <w:tcW w:w="3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5,634</w:t>
            </w:r>
          </w:p>
        </w:tc>
      </w:tr>
      <w:tr>
        <w:trPr/>
        <w:tc>
          <w:tcPr>
            <w:tcW w:w="4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center"/>
              <w:rPr/>
            </w:pPr>
            <w:r>
              <w:rPr/>
              <w:t>​</w:t>
            </w:r>
          </w:p>
        </w:tc>
        <w:tc>
          <w:tcPr>
            <w:tcW w:w="6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83" w:type="dxa"/>
            <w:tcBorders/>
            <w:vAlign w:val="center"/>
          </w:tcPr>
          <w:p>
            <w:pPr>
              <w:pStyle w:val="TableContents"/>
              <w:bidi w:val="0"/>
              <w:spacing w:before="0" w:after="1"/>
              <w:ind w:left="0" w:right="0" w:hanging="0"/>
              <w:jc w:val="center"/>
              <w:rPr/>
            </w:pPr>
            <w:r>
              <w:rPr/>
              <w:t>​</w:t>
            </w:r>
          </w:p>
        </w:tc>
        <w:tc>
          <w:tcPr>
            <w:tcW w:w="768"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398" w:type="dxa"/>
            <w:tcBorders/>
            <w:vAlign w:val="center"/>
          </w:tcPr>
          <w:p>
            <w:pPr>
              <w:pStyle w:val="TableContents"/>
              <w:bidi w:val="0"/>
              <w:spacing w:before="0" w:after="1"/>
              <w:ind w:left="0" w:right="0" w:hanging="0"/>
              <w:jc w:val="center"/>
              <w:rPr/>
            </w:pPr>
            <w:r>
              <w:rPr/>
              <w:t>​</w:t>
            </w:r>
          </w:p>
        </w:tc>
        <w:tc>
          <w:tcPr>
            <w:tcW w:w="713"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16" w:type="dxa"/>
            <w:tcBorders/>
            <w:vAlign w:val="center"/>
          </w:tcPr>
          <w:p>
            <w:pPr>
              <w:pStyle w:val="TableContents"/>
              <w:bidi w:val="0"/>
              <w:spacing w:before="0" w:after="1"/>
              <w:ind w:left="0" w:right="0" w:hanging="0"/>
              <w:jc w:val="center"/>
              <w:rPr/>
            </w:pPr>
            <w:r>
              <w:rPr/>
              <w:t>​</w:t>
            </w:r>
          </w:p>
        </w:tc>
      </w:tr>
      <w:tr>
        <w:trPr/>
        <w:tc>
          <w:tcPr>
            <w:tcW w:w="42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Three Months Ended June 30, 2024</w:t>
            </w:r>
          </w:p>
        </w:tc>
        <w:tc>
          <w:tcPr>
            <w:tcW w:w="326" w:type="dxa"/>
            <w:tcBorders/>
            <w:shd w:fill="CCEEFF" w:val="clear"/>
            <w:vAlign w:val="center"/>
          </w:tcPr>
          <w:p>
            <w:pPr>
              <w:pStyle w:val="TableContents"/>
              <w:bidi w:val="0"/>
              <w:spacing w:before="0" w:after="1"/>
              <w:ind w:left="0" w:right="0" w:hanging="0"/>
              <w:jc w:val="center"/>
              <w:rPr/>
            </w:pPr>
            <w:r>
              <w:rPr/>
              <w:t>​</w:t>
            </w:r>
          </w:p>
        </w:tc>
        <w:tc>
          <w:tcPr>
            <w:tcW w:w="856" w:type="dxa"/>
            <w:gridSpan w:val="2"/>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1051" w:type="dxa"/>
            <w:gridSpan w:val="2"/>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1111" w:type="dxa"/>
            <w:gridSpan w:val="2"/>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827" w:type="dxa"/>
            <w:gridSpan w:val="2"/>
            <w:tcBorders/>
            <w:shd w:fill="CCEEFF" w:val="clear"/>
            <w:vAlign w:val="center"/>
          </w:tcPr>
          <w:p>
            <w:pPr>
              <w:pStyle w:val="TableContents"/>
              <w:bidi w:val="0"/>
              <w:spacing w:before="0" w:after="1"/>
              <w:ind w:left="0" w:right="0" w:hanging="0"/>
              <w:jc w:val="center"/>
              <w:rPr/>
            </w:pPr>
            <w:r>
              <w:rPr/>
              <w:t>​</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Allowance for credit losses at beginning of period</w:t>
            </w:r>
          </w:p>
        </w:tc>
        <w:tc>
          <w:tcPr>
            <w:tcW w:w="326"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w:t>
            </w:r>
          </w:p>
        </w:tc>
        <w:tc>
          <w:tcPr>
            <w:tcW w:w="109"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w:t>
            </w:r>
          </w:p>
        </w:tc>
        <w:tc>
          <w:tcPr>
            <w:tcW w:w="109" w:type="dxa"/>
            <w:tcBorders/>
            <w:vAlign w:val="center"/>
          </w:tcPr>
          <w:p>
            <w:pPr>
              <w:pStyle w:val="TableContents"/>
              <w:bidi w:val="0"/>
              <w:spacing w:before="0" w:after="1"/>
              <w:ind w:left="0" w:right="0" w:hanging="0"/>
              <w:jc w:val="left"/>
              <w:rPr/>
            </w:pPr>
            <w:r>
              <w:rPr/>
              <w:t>​</w:t>
            </w:r>
          </w:p>
        </w:tc>
        <w:tc>
          <w:tcPr>
            <w:tcW w:w="3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w:t>
            </w:r>
          </w:p>
        </w:tc>
      </w:tr>
      <w:tr>
        <w:trPr/>
        <w:tc>
          <w:tcPr>
            <w:tcW w:w="42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Provision for (recovery of) credit losses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center"/>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6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w:t>
            </w:r>
          </w:p>
        </w:tc>
        <w:tc>
          <w:tcPr>
            <w:tcW w:w="109" w:type="dxa"/>
            <w:tcBorders/>
            <w:shd w:fill="CCEEFF" w:val="clear"/>
            <w:vAlign w:val="center"/>
          </w:tcPr>
          <w:p>
            <w:pPr>
              <w:pStyle w:val="TableContents"/>
              <w:bidi w:val="0"/>
              <w:spacing w:before="0" w:after="1"/>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w:t>
            </w:r>
          </w:p>
        </w:tc>
        <w:tc>
          <w:tcPr>
            <w:tcW w:w="109" w:type="dxa"/>
            <w:tcBorders/>
            <w:shd w:fill="CCEEFF" w:val="clear"/>
            <w:vAlign w:val="center"/>
          </w:tcPr>
          <w:p>
            <w:pPr>
              <w:pStyle w:val="TableContents"/>
              <w:bidi w:val="0"/>
              <w:spacing w:before="0" w:after="1"/>
              <w:ind w:left="0" w:right="0" w:hanging="0"/>
              <w:jc w:val="left"/>
              <w:rPr/>
            </w:pPr>
            <w:r>
              <w:rPr/>
              <w:t>​</w:t>
            </w:r>
          </w:p>
        </w:tc>
        <w:tc>
          <w:tcPr>
            <w:tcW w:w="3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427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Allowance for credit losses at end of period</w:t>
            </w:r>
            <w:r>
              <w:rPr>
                <w:rFonts w:ascii="Times New Roman;Times;serif" w:hAnsi="Times New Roman;Times;serif"/>
                <w:b/>
                <w:sz w:val="15"/>
              </w:rPr>
              <w:t>(2)</w:t>
            </w:r>
          </w:p>
        </w:tc>
        <w:tc>
          <w:tcPr>
            <w:tcW w:w="326" w:type="dxa"/>
            <w:tcBorders/>
            <w:vAlign w:val="center"/>
          </w:tcPr>
          <w:p>
            <w:pPr>
              <w:pStyle w:val="TableContents"/>
              <w:bidi w:val="0"/>
              <w:spacing w:before="0" w:after="1"/>
              <w:ind w:left="0" w:right="0" w:hanging="0"/>
              <w:jc w:val="center"/>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w:t>
            </w:r>
          </w:p>
        </w:tc>
        <w:tc>
          <w:tcPr>
            <w:tcW w:w="109" w:type="dxa"/>
            <w:tcBorders/>
            <w:vAlign w:val="center"/>
          </w:tcPr>
          <w:p>
            <w:pPr>
              <w:pStyle w:val="TableContents"/>
              <w:bidi w:val="0"/>
              <w:spacing w:before="0" w:after="1"/>
              <w:ind w:left="0" w:right="0" w:hanging="0"/>
              <w:jc w:val="left"/>
              <w:rPr/>
            </w:pPr>
            <w:r>
              <w:rPr/>
              <w:t>​</w:t>
            </w:r>
          </w:p>
        </w:tc>
        <w:tc>
          <w:tcPr>
            <w:tcW w:w="28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w:t>
            </w:r>
          </w:p>
        </w:tc>
        <w:tc>
          <w:tcPr>
            <w:tcW w:w="109" w:type="dxa"/>
            <w:tcBorders/>
            <w:vAlign w:val="center"/>
          </w:tcPr>
          <w:p>
            <w:pPr>
              <w:pStyle w:val="TableContents"/>
              <w:bidi w:val="0"/>
              <w:spacing w:before="0" w:after="1"/>
              <w:ind w:left="0" w:right="0" w:hanging="0"/>
              <w:jc w:val="left"/>
              <w:rPr/>
            </w:pPr>
            <w:r>
              <w:rPr/>
              <w:t>​</w:t>
            </w:r>
          </w:p>
        </w:tc>
        <w:tc>
          <w:tcPr>
            <w:tcW w:w="39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786</w:t>
            </w:r>
          </w:p>
        </w:tc>
      </w:tr>
      <w:tr>
        <w:trPr/>
        <w:tc>
          <w:tcPr>
            <w:tcW w:w="8774"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2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center"/>
              <w:rPr/>
            </w:pPr>
            <w:r>
              <w:rPr/>
              <w:t>    </w:t>
            </w:r>
          </w:p>
        </w:tc>
        <w:tc>
          <w:tcPr>
            <w:tcW w:w="4172" w:type="dxa"/>
            <w:gridSpan w:val="11"/>
            <w:tcBorders/>
            <w:shd w:fill="CCEEFF" w:val="clear"/>
            <w:vAlign w:val="center"/>
          </w:tcPr>
          <w:p>
            <w:pPr>
              <w:pStyle w:val="TableContents"/>
              <w:bidi w:val="0"/>
              <w:spacing w:before="0" w:after="1"/>
              <w:ind w:left="0" w:right="0" w:hanging="0"/>
              <w:jc w:val="center"/>
              <w:rPr/>
            </w:pPr>
            <w:r>
              <w:rPr/>
              <w:t>​</w:t>
            </w:r>
          </w:p>
        </w:tc>
      </w:tr>
      <w:tr>
        <w:trPr/>
        <w:tc>
          <w:tcPr>
            <w:tcW w:w="42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Six Months Ended June 30, 2025</w:t>
            </w:r>
          </w:p>
        </w:tc>
        <w:tc>
          <w:tcPr>
            <w:tcW w:w="326" w:type="dxa"/>
            <w:tcBorders/>
            <w:vAlign w:val="center"/>
          </w:tcPr>
          <w:p>
            <w:pPr>
              <w:pStyle w:val="TableContents"/>
              <w:bidi w:val="0"/>
              <w:spacing w:before="0" w:after="1"/>
              <w:ind w:left="0" w:right="0" w:hanging="0"/>
              <w:jc w:val="center"/>
              <w:rPr/>
            </w:pPr>
            <w:r>
              <w:rPr/>
              <w:t>​</w:t>
            </w:r>
          </w:p>
        </w:tc>
        <w:tc>
          <w:tcPr>
            <w:tcW w:w="856"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051"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111"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27" w:type="dxa"/>
            <w:gridSpan w:val="2"/>
            <w:tcBorders/>
            <w:vAlign w:val="center"/>
          </w:tcPr>
          <w:p>
            <w:pPr>
              <w:pStyle w:val="TableContents"/>
              <w:bidi w:val="0"/>
              <w:spacing w:before="0" w:after="1"/>
              <w:ind w:left="0" w:right="0" w:hanging="0"/>
              <w:jc w:val="center"/>
              <w:rPr/>
            </w:pPr>
            <w:r>
              <w:rPr/>
              <w:t>​</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Allowance for credit losses at beginning of period</w:t>
            </w:r>
          </w:p>
        </w:tc>
        <w:tc>
          <w:tcPr>
            <w:tcW w:w="326" w:type="dxa"/>
            <w:tcBorders/>
            <w:shd w:fill="CCEEFF" w:val="clear"/>
            <w:vAlign w:val="center"/>
          </w:tcPr>
          <w:p>
            <w:pPr>
              <w:pStyle w:val="TableContents"/>
              <w:bidi w:val="0"/>
              <w:spacing w:before="0" w:after="1"/>
              <w:ind w:left="0" w:right="0" w:hanging="0"/>
              <w:jc w:val="center"/>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2,652</w:t>
            </w:r>
          </w:p>
        </w:tc>
        <w:tc>
          <w:tcPr>
            <w:tcW w:w="109"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1,012</w:t>
            </w:r>
          </w:p>
        </w:tc>
        <w:tc>
          <w:tcPr>
            <w:tcW w:w="109" w:type="dxa"/>
            <w:tcBorders/>
            <w:shd w:fill="CCEEFF" w:val="clear"/>
            <w:vAlign w:val="center"/>
          </w:tcPr>
          <w:p>
            <w:pPr>
              <w:pStyle w:val="TableContents"/>
              <w:bidi w:val="0"/>
              <w:spacing w:before="0" w:after="1"/>
              <w:ind w:left="0" w:right="0" w:hanging="0"/>
              <w:jc w:val="left"/>
              <w:rPr/>
            </w:pPr>
            <w:r>
              <w:rPr/>
              <w:t>​</w:t>
            </w:r>
          </w:p>
        </w:tc>
        <w:tc>
          <w:tcPr>
            <w:tcW w:w="3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3,701</w:t>
            </w:r>
          </w:p>
        </w:tc>
      </w:tr>
      <w:tr>
        <w:trPr/>
        <w:tc>
          <w:tcPr>
            <w:tcW w:w="427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Provision for (recovery of) credit losses</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center"/>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6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1,771</w:t>
            </w:r>
          </w:p>
        </w:tc>
        <w:tc>
          <w:tcPr>
            <w:tcW w:w="109" w:type="dxa"/>
            <w:tcBorders/>
            <w:vAlign w:val="center"/>
          </w:tcPr>
          <w:p>
            <w:pPr>
              <w:pStyle w:val="TableContents"/>
              <w:bidi w:val="0"/>
              <w:spacing w:before="0" w:after="1"/>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w:t>
            </w:r>
          </w:p>
        </w:tc>
        <w:tc>
          <w:tcPr>
            <w:tcW w:w="109" w:type="dxa"/>
            <w:tcBorders/>
            <w:vAlign w:val="center"/>
          </w:tcPr>
          <w:p>
            <w:pPr>
              <w:pStyle w:val="TableContents"/>
              <w:bidi w:val="0"/>
              <w:spacing w:before="0" w:after="1"/>
              <w:ind w:left="0" w:right="0" w:hanging="0"/>
              <w:jc w:val="left"/>
              <w:rPr/>
            </w:pPr>
            <w:r>
              <w:rPr/>
              <w:t>​</w:t>
            </w:r>
          </w:p>
        </w:tc>
        <w:tc>
          <w:tcPr>
            <w:tcW w:w="39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1,933</w:t>
            </w:r>
          </w:p>
        </w:tc>
      </w:tr>
      <w:tr>
        <w:trPr/>
        <w:tc>
          <w:tcPr>
            <w:tcW w:w="42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Allowance for credit losses at end of period</w:t>
            </w:r>
            <w:r>
              <w:rPr>
                <w:rFonts w:ascii="Times New Roman;Times;serif" w:hAnsi="Times New Roman;Times;serif"/>
                <w:b/>
                <w:sz w:val="15"/>
              </w:rPr>
              <w:t>(2)</w:t>
            </w:r>
          </w:p>
        </w:tc>
        <w:tc>
          <w:tcPr>
            <w:tcW w:w="326" w:type="dxa"/>
            <w:tcBorders/>
            <w:shd w:fill="CCEEFF" w:val="clear"/>
            <w:vAlign w:val="center"/>
          </w:tcPr>
          <w:p>
            <w:pPr>
              <w:pStyle w:val="TableContents"/>
              <w:bidi w:val="0"/>
              <w:spacing w:before="0" w:after="1"/>
              <w:ind w:left="0" w:right="0" w:hanging="0"/>
              <w:jc w:val="center"/>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4,423</w:t>
            </w:r>
          </w:p>
        </w:tc>
        <w:tc>
          <w:tcPr>
            <w:tcW w:w="109" w:type="dxa"/>
            <w:tcBorders/>
            <w:shd w:fill="CCEEFF" w:val="clear"/>
            <w:vAlign w:val="center"/>
          </w:tcPr>
          <w:p>
            <w:pPr>
              <w:pStyle w:val="TableContents"/>
              <w:bidi w:val="0"/>
              <w:spacing w:before="0" w:after="1"/>
              <w:ind w:left="0" w:right="0" w:hanging="0"/>
              <w:jc w:val="left"/>
              <w:rPr/>
            </w:pPr>
            <w:r>
              <w:rPr/>
              <w:t>​</w:t>
            </w:r>
          </w:p>
        </w:tc>
        <w:tc>
          <w:tcPr>
            <w:tcW w:w="28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1,167</w:t>
            </w:r>
          </w:p>
        </w:tc>
        <w:tc>
          <w:tcPr>
            <w:tcW w:w="109" w:type="dxa"/>
            <w:tcBorders/>
            <w:shd w:fill="CCEEFF" w:val="clear"/>
            <w:vAlign w:val="center"/>
          </w:tcPr>
          <w:p>
            <w:pPr>
              <w:pStyle w:val="TableContents"/>
              <w:bidi w:val="0"/>
              <w:spacing w:before="0" w:after="1"/>
              <w:ind w:left="0" w:right="0" w:hanging="0"/>
              <w:jc w:val="left"/>
              <w:rPr/>
            </w:pPr>
            <w:r>
              <w:rPr/>
              <w:t>​</w:t>
            </w:r>
          </w:p>
        </w:tc>
        <w:tc>
          <w:tcPr>
            <w:tcW w:w="3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5,634</w:t>
            </w:r>
          </w:p>
        </w:tc>
      </w:tr>
      <w:tr>
        <w:trPr/>
        <w:tc>
          <w:tcPr>
            <w:tcW w:w="42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center"/>
              <w:rPr/>
            </w:pPr>
            <w:r>
              <w:rPr/>
              <w:t>​</w:t>
            </w:r>
          </w:p>
        </w:tc>
        <w:tc>
          <w:tcPr>
            <w:tcW w:w="6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83" w:type="dxa"/>
            <w:tcBorders/>
            <w:vAlign w:val="center"/>
          </w:tcPr>
          <w:p>
            <w:pPr>
              <w:pStyle w:val="TableContents"/>
              <w:bidi w:val="0"/>
              <w:spacing w:before="0" w:after="1"/>
              <w:ind w:left="0" w:right="0" w:hanging="0"/>
              <w:jc w:val="center"/>
              <w:rPr/>
            </w:pPr>
            <w:r>
              <w:rPr/>
              <w:t>​</w:t>
            </w:r>
          </w:p>
        </w:tc>
        <w:tc>
          <w:tcPr>
            <w:tcW w:w="768"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398" w:type="dxa"/>
            <w:tcBorders/>
            <w:vAlign w:val="center"/>
          </w:tcPr>
          <w:p>
            <w:pPr>
              <w:pStyle w:val="TableContents"/>
              <w:bidi w:val="0"/>
              <w:spacing w:before="0" w:after="1"/>
              <w:ind w:left="0" w:right="0" w:hanging="0"/>
              <w:jc w:val="center"/>
              <w:rPr/>
            </w:pPr>
            <w:r>
              <w:rPr/>
              <w:t>​</w:t>
            </w:r>
          </w:p>
        </w:tc>
        <w:tc>
          <w:tcPr>
            <w:tcW w:w="713"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16" w:type="dxa"/>
            <w:tcBorders/>
            <w:vAlign w:val="center"/>
          </w:tcPr>
          <w:p>
            <w:pPr>
              <w:pStyle w:val="TableContents"/>
              <w:bidi w:val="0"/>
              <w:spacing w:before="0" w:after="1"/>
              <w:ind w:left="0" w:right="0" w:hanging="0"/>
              <w:jc w:val="center"/>
              <w:rPr/>
            </w:pPr>
            <w:r>
              <w:rPr/>
              <w:t>​</w:t>
            </w:r>
          </w:p>
        </w:tc>
      </w:tr>
      <w:tr>
        <w:trPr/>
        <w:tc>
          <w:tcPr>
            <w:tcW w:w="42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Six Months Ended June 30, 2024</w:t>
            </w:r>
          </w:p>
        </w:tc>
        <w:tc>
          <w:tcPr>
            <w:tcW w:w="326" w:type="dxa"/>
            <w:tcBorders/>
            <w:shd w:fill="CCEEFF" w:val="clear"/>
            <w:vAlign w:val="center"/>
          </w:tcPr>
          <w:p>
            <w:pPr>
              <w:pStyle w:val="TableContents"/>
              <w:bidi w:val="0"/>
              <w:spacing w:before="0" w:after="1"/>
              <w:ind w:left="0" w:right="0" w:hanging="0"/>
              <w:jc w:val="center"/>
              <w:rPr/>
            </w:pPr>
            <w:r>
              <w:rPr/>
              <w:t>​</w:t>
            </w:r>
          </w:p>
        </w:tc>
        <w:tc>
          <w:tcPr>
            <w:tcW w:w="856" w:type="dxa"/>
            <w:gridSpan w:val="2"/>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1051" w:type="dxa"/>
            <w:gridSpan w:val="2"/>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1111" w:type="dxa"/>
            <w:gridSpan w:val="2"/>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827" w:type="dxa"/>
            <w:gridSpan w:val="2"/>
            <w:tcBorders/>
            <w:shd w:fill="CCEEFF" w:val="clear"/>
            <w:vAlign w:val="center"/>
          </w:tcPr>
          <w:p>
            <w:pPr>
              <w:pStyle w:val="TableContents"/>
              <w:bidi w:val="0"/>
              <w:spacing w:before="0" w:after="1"/>
              <w:ind w:left="0" w:right="0" w:hanging="0"/>
              <w:jc w:val="center"/>
              <w:rPr/>
            </w:pPr>
            <w:r>
              <w:rPr/>
              <w:t>​</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Allowance for credit losses at beginning of period</w:t>
            </w:r>
          </w:p>
        </w:tc>
        <w:tc>
          <w:tcPr>
            <w:tcW w:w="326"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109"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w:t>
            </w:r>
          </w:p>
        </w:tc>
        <w:tc>
          <w:tcPr>
            <w:tcW w:w="109" w:type="dxa"/>
            <w:tcBorders/>
            <w:vAlign w:val="center"/>
          </w:tcPr>
          <w:p>
            <w:pPr>
              <w:pStyle w:val="TableContents"/>
              <w:bidi w:val="0"/>
              <w:spacing w:before="0" w:after="1"/>
              <w:ind w:left="0" w:right="0" w:hanging="0"/>
              <w:jc w:val="left"/>
              <w:rPr/>
            </w:pPr>
            <w:r>
              <w:rPr/>
              <w:t>​</w:t>
            </w:r>
          </w:p>
        </w:tc>
        <w:tc>
          <w:tcPr>
            <w:tcW w:w="3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w:t>
            </w:r>
          </w:p>
        </w:tc>
      </w:tr>
      <w:tr>
        <w:trPr/>
        <w:tc>
          <w:tcPr>
            <w:tcW w:w="42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Provision for (recovery of) credit losses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center"/>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6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w:t>
            </w:r>
          </w:p>
        </w:tc>
        <w:tc>
          <w:tcPr>
            <w:tcW w:w="109" w:type="dxa"/>
            <w:tcBorders/>
            <w:shd w:fill="CCEEFF" w:val="clear"/>
            <w:vAlign w:val="center"/>
          </w:tcPr>
          <w:p>
            <w:pPr>
              <w:pStyle w:val="TableContents"/>
              <w:bidi w:val="0"/>
              <w:spacing w:before="0" w:after="1"/>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109" w:type="dxa"/>
            <w:tcBorders/>
            <w:shd w:fill="CCEEFF" w:val="clear"/>
            <w:vAlign w:val="center"/>
          </w:tcPr>
          <w:p>
            <w:pPr>
              <w:pStyle w:val="TableContents"/>
              <w:bidi w:val="0"/>
              <w:spacing w:before="0" w:after="1"/>
              <w:ind w:left="0" w:right="0" w:hanging="0"/>
              <w:jc w:val="left"/>
              <w:rPr/>
            </w:pPr>
            <w:r>
              <w:rPr/>
              <w:t>​</w:t>
            </w:r>
          </w:p>
        </w:tc>
        <w:tc>
          <w:tcPr>
            <w:tcW w:w="3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w:t>
            </w:r>
          </w:p>
        </w:tc>
      </w:tr>
      <w:tr>
        <w:trPr/>
        <w:tc>
          <w:tcPr>
            <w:tcW w:w="427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Allowance for credit losses at end of period</w:t>
            </w:r>
            <w:r>
              <w:rPr>
                <w:rFonts w:ascii="Times New Roman;Times;serif" w:hAnsi="Times New Roman;Times;serif"/>
                <w:b/>
                <w:sz w:val="15"/>
              </w:rPr>
              <w:t>(2)</w:t>
            </w:r>
          </w:p>
        </w:tc>
        <w:tc>
          <w:tcPr>
            <w:tcW w:w="326" w:type="dxa"/>
            <w:tcBorders/>
            <w:vAlign w:val="center"/>
          </w:tcPr>
          <w:p>
            <w:pPr>
              <w:pStyle w:val="TableContents"/>
              <w:bidi w:val="0"/>
              <w:spacing w:before="0" w:after="1"/>
              <w:ind w:left="0" w:right="0" w:hanging="0"/>
              <w:jc w:val="center"/>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w:t>
            </w:r>
          </w:p>
        </w:tc>
        <w:tc>
          <w:tcPr>
            <w:tcW w:w="109" w:type="dxa"/>
            <w:tcBorders/>
            <w:vAlign w:val="center"/>
          </w:tcPr>
          <w:p>
            <w:pPr>
              <w:pStyle w:val="TableContents"/>
              <w:bidi w:val="0"/>
              <w:spacing w:before="0" w:after="1"/>
              <w:ind w:left="0" w:right="0" w:hanging="0"/>
              <w:jc w:val="left"/>
              <w:rPr/>
            </w:pPr>
            <w:r>
              <w:rPr/>
              <w:t>​</w:t>
            </w:r>
          </w:p>
        </w:tc>
        <w:tc>
          <w:tcPr>
            <w:tcW w:w="28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w:t>
            </w:r>
          </w:p>
        </w:tc>
        <w:tc>
          <w:tcPr>
            <w:tcW w:w="109" w:type="dxa"/>
            <w:tcBorders/>
            <w:vAlign w:val="center"/>
          </w:tcPr>
          <w:p>
            <w:pPr>
              <w:pStyle w:val="TableContents"/>
              <w:bidi w:val="0"/>
              <w:spacing w:before="0" w:after="1"/>
              <w:ind w:left="0" w:right="0" w:hanging="0"/>
              <w:jc w:val="left"/>
              <w:rPr/>
            </w:pPr>
            <w:r>
              <w:rPr/>
              <w:t>​</w:t>
            </w:r>
          </w:p>
        </w:tc>
        <w:tc>
          <w:tcPr>
            <w:tcW w:w="39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786</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During the three months ended June 30, 2025 and 2024, the Company recorded a provision for credit losses on Ground Lease receivables of $0.4</w:t>
            </w:r>
            <w:r>
              <w:rPr>
                <w:caps w:val="false"/>
                <w:smallCaps w:val="false"/>
              </w:rPr>
              <w:t xml:space="preserve"> </w:t>
            </w:r>
            <w:r>
              <w:rPr>
                <w:rFonts w:ascii="Times New Roman;Times;serif" w:hAnsi="Times New Roman;Times;serif"/>
                <w:b w:val="false"/>
                <w:i w:val="false"/>
                <w:caps w:val="false"/>
                <w:smallCaps w:val="false"/>
                <w:sz w:val="16"/>
              </w:rPr>
              <w:t>million and $0.1</w:t>
            </w:r>
            <w:r>
              <w:rPr>
                <w:caps w:val="false"/>
                <w:smallCaps w:val="false"/>
              </w:rPr>
              <w:t xml:space="preserve"> </w:t>
            </w:r>
            <w:r>
              <w:rPr>
                <w:rFonts w:ascii="Times New Roman;Times;serif" w:hAnsi="Times New Roman;Times;serif"/>
                <w:b w:val="false"/>
                <w:i w:val="false"/>
                <w:caps w:val="false"/>
                <w:smallCaps w:val="false"/>
                <w:sz w:val="16"/>
              </w:rPr>
              <w:t xml:space="preserve">million, respectively. The provision for credit losses for the three months ended June 30, 2025 and 2024 was due primarily to current market conditions, </w:t>
            </w:r>
            <w:r>
              <w:rPr>
                <w:rFonts w:ascii="Times New Roman;Times;serif" w:hAnsi="Times New Roman;Times;serif"/>
                <w:b w:val="false"/>
                <w:i w:val="false"/>
                <w:caps w:val="false"/>
                <w:smallCaps w:val="false"/>
                <w:color w:val="212529"/>
                <w:sz w:val="16"/>
              </w:rPr>
              <w:t>including an increase in the Ground Lease cost to value ratio on the Company’s portfolio of Ground Leases since March 31, 2025 and 2024, respectively,</w:t>
            </w:r>
            <w:r>
              <w:rPr>
                <w:caps w:val="false"/>
                <w:smallCaps w:val="false"/>
              </w:rPr>
              <w:t xml:space="preserve"> </w:t>
            </w:r>
            <w:r>
              <w:rPr>
                <w:rFonts w:ascii="Times New Roman;Times;serif" w:hAnsi="Times New Roman;Times;serif"/>
                <w:b w:val="false"/>
                <w:i w:val="false"/>
                <w:caps w:val="false"/>
                <w:smallCaps w:val="false"/>
                <w:sz w:val="16"/>
              </w:rPr>
              <w:t>and growth in the carrying value of the portfolio during the period. During the six months ended June 30, 2025 and 2024, the Company recorded a provision for credit losses on Ground Lease receivables of $1.9</w:t>
            </w:r>
            <w:r>
              <w:rPr>
                <w:caps w:val="false"/>
                <w:smallCaps w:val="false"/>
              </w:rPr>
              <w:t xml:space="preserve"> </w:t>
            </w:r>
            <w:r>
              <w:rPr>
                <w:rFonts w:ascii="Times New Roman;Times;serif" w:hAnsi="Times New Roman;Times;serif"/>
                <w:b w:val="false"/>
                <w:i w:val="false"/>
                <w:caps w:val="false"/>
                <w:smallCaps w:val="false"/>
                <w:sz w:val="16"/>
              </w:rPr>
              <w:t>million and $0.4</w:t>
            </w:r>
            <w:r>
              <w:rPr>
                <w:caps w:val="false"/>
                <w:smallCaps w:val="false"/>
              </w:rPr>
              <w:t xml:space="preserve"> </w:t>
            </w:r>
            <w:r>
              <w:rPr>
                <w:rFonts w:ascii="Times New Roman;Times;serif" w:hAnsi="Times New Roman;Times;serif"/>
                <w:b w:val="false"/>
                <w:i w:val="false"/>
                <w:caps w:val="false"/>
                <w:smallCaps w:val="false"/>
                <w:sz w:val="16"/>
              </w:rPr>
              <w:t xml:space="preserve">million, respectively. </w:t>
            </w:r>
            <w:r>
              <w:rPr>
                <w:rFonts w:ascii="Times New Roman;Times;serif" w:hAnsi="Times New Roman;Times;serif"/>
                <w:b w:val="false"/>
                <w:i w:val="false"/>
                <w:caps w:val="false"/>
                <w:smallCaps w:val="false"/>
                <w:color w:val="212529"/>
                <w:sz w:val="16"/>
                <w:shd w:fill="FFFFFF" w:val="clear"/>
              </w:rPr>
              <w:t>The provision for credit losses was due primarily to current market conditions, including an increase in the Ground Lease cost to value ratio on the Company’s portfolio of Ground Leases since December 31, 2024 and 2023, respectively.</w:t>
            </w:r>
          </w:p>
        </w:tc>
      </w:tr>
    </w:tbl>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Allowance for credit losses on unfunded commitments is recorded in “Accounts payable and accrued expenses” on the Company’s consolidated balance sheets.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120"/>
        <w:ind w:left="0" w:right="0" w:firstLine="720"/>
        <w:jc w:val="both"/>
        <w:rPr>
          <w:rFonts w:ascii="Times New Roman;Times;serif" w:hAnsi="Times New Roman;Times;serif"/>
          <w:sz w:val="20"/>
        </w:rPr>
      </w:pPr>
      <w:bookmarkStart w:id="1131" w:name="Tc_VdiZYf6JIk65_TR9n84FaA_11_11"/>
      <w:bookmarkStart w:id="1132" w:name="Tc_SOsXUhwDFk2TcstkS31zOQ_11_8"/>
      <w:bookmarkStart w:id="1133" w:name="Tc_Zy8psonjoUWDrW4ZhxiUeg_11_5"/>
      <w:bookmarkStart w:id="1134" w:name="Tc_TUCxB9ihIUiLDoK_3t6puA_11_2"/>
      <w:bookmarkStart w:id="1135" w:name="Tc_FX_7lw3rH0ePFzURuZzktQ_11_0"/>
      <w:bookmarkStart w:id="1136" w:name="Tc_PoHcGFoRmEievHhxxPaq9g_10_0"/>
      <w:bookmarkStart w:id="1137" w:name="Tc_vuGVGNP_jEq7L9y-SP5H0g_9_0"/>
      <w:bookmarkStart w:id="1138" w:name="Tc_LeGdjUY7qUGdICgAVYk_IA_8_0"/>
      <w:bookmarkStart w:id="1139" w:name="Tc_-rvTDAoK6EmiT5t_Yt6Mwg_7_0"/>
      <w:bookmarkStart w:id="1140" w:name="Tc_zejVKca99UG8INtpr20lNQ_6_0"/>
      <w:bookmarkStart w:id="1141" w:name="Tc_sgrxOGHErEOFXidC5Aeccw_5_11"/>
      <w:bookmarkStart w:id="1142" w:name="Tc_u2WoUsrzYEuo2Qqra0x3bA_5_8"/>
      <w:bookmarkStart w:id="1143" w:name="Tc_-UU10ErxokOruM_Zu_cDYw_5_5"/>
      <w:bookmarkStart w:id="1144" w:name="Tc_lFF5fdJyP0abHg3zP8AOqQ_5_2"/>
      <w:bookmarkStart w:id="1145" w:name="Tc_1ZVkI3Zu1EqhvxX6tFnszA_5_0"/>
      <w:bookmarkStart w:id="1146" w:name="Tc_doRvu1GmGUaRcbXoUtRqyg_4_11"/>
      <w:bookmarkStart w:id="1147" w:name="Tc_RtAzNscLEkKOCsSL8Qk53Q_4_8"/>
      <w:bookmarkStart w:id="1148" w:name="Tc_nUHsq09ea02OgU4nJST9cQ_4_5"/>
      <w:bookmarkStart w:id="1149" w:name="Tc_egpFt_agskW07K0oA7lKog_4_2"/>
      <w:bookmarkStart w:id="1150" w:name="Tc_06U8r27RwUS1fvWqR3IaoA_3_8"/>
      <w:bookmarkStart w:id="1151" w:name="Tc_H4I0mSL-_EWFzbWLnEkswA_3_5"/>
      <w:bookmarkStart w:id="1152" w:name="Tc_3x56AjIl2066yHkI9lXsfA_3_2"/>
      <w:bookmarkStart w:id="1153" w:name="Tc_0LX20yWn7U-l9EeDmkihIg_2_8"/>
      <w:bookmarkStart w:id="1154" w:name="Tc_R0_2ockznUuTgVmErVrY9Q_2_2"/>
      <w:bookmarkStart w:id="1155" w:name="Tc_VOk84XkhUke2s6NFS1jidQ_1_8"/>
      <w:bookmarkStart w:id="1156" w:name="_c6abb936_ba54_46e5_8e40_495c6e67ffc2"/>
      <w:bookmarkStart w:id="1157" w:name="Tc_BA4s2YE7k0a5JC0g-mdaNQ_6_20"/>
      <w:bookmarkStart w:id="1158" w:name="Tc_7iGiixgmJUKhFHz5AKYOwA_6_17"/>
      <w:bookmarkStart w:id="1159" w:name="Tc_ZHzEHAo-iUGMpI-r4mV8lA_6_14"/>
      <w:bookmarkStart w:id="1160" w:name="Tc_SRABvhO7dE-wpx5Jialykw_6_11"/>
      <w:bookmarkStart w:id="1161" w:name="Tc_JQo14uiwSE6RwVzPZMXNvQ_6_8"/>
      <w:bookmarkStart w:id="1162" w:name="Tc_B3_qobTtY06ac5UxptUZbg_6_5"/>
      <w:bookmarkStart w:id="1163" w:name="Tc_OJbZy1x-jUuJCP_Any8OqQ_6_2"/>
      <w:bookmarkStart w:id="1164" w:name="Tc_vDwK4KFEaE69iEyx8M2x6w_6_0"/>
      <w:bookmarkStart w:id="1165" w:name="Tc_BdW77NYA602fD6qnWUsf8A_5_18"/>
      <w:bookmarkStart w:id="1166" w:name="Tc_uNbYfiWYiUWfN4hvMPuueQ_5_15"/>
      <w:bookmarkStart w:id="1167" w:name="Tc_cdFduj9VtEK4dVWYZSAbhg_5_0"/>
      <w:bookmarkStart w:id="1168" w:name="Tc_SU8G9sIwCUW0_kNqtX9eow_4_20"/>
      <w:bookmarkStart w:id="1169" w:name="Tc_tuCS7h1R90iE1k9_YyF__w_4_17"/>
      <w:bookmarkStart w:id="1170" w:name="Tc_7ljkpzbB5kWotOL_hH1esg_4_14"/>
      <w:bookmarkStart w:id="1171" w:name="Tc_mTy5DSzdUEG5zEMi-OsHFw_4_11"/>
      <w:bookmarkStart w:id="1172" w:name="Tc_KBCI0r8m2Umi35A_SAkhEw_4_8"/>
      <w:bookmarkStart w:id="1173" w:name="Tc_mVTvnI5zcU66kXj70XX00w_4_5"/>
      <w:bookmarkStart w:id="1174" w:name="Tc_ekKve80f702JoI7DFbndZw_4_3"/>
      <w:bookmarkStart w:id="1175" w:name="Tc_mdsPq7IWpEug6MZAx71Uag_4_2"/>
      <w:bookmarkStart w:id="1176" w:name="Tc_EQi-JQrdAEGET_LgTnagdg_4_0"/>
      <w:bookmarkStart w:id="1177" w:name="Tc_oDJOlIofykmMi5qYtinnHw_3_0"/>
      <w:bookmarkStart w:id="1178" w:name="Tc_epf4ed8_9k2Y7o1LD6ozAQ_2_20"/>
      <w:bookmarkStart w:id="1179" w:name="Tc_R9xH9Iy2akiq4PcmXjmVjQ_2_17"/>
      <w:bookmarkStart w:id="1180" w:name="Tc_o4lS33Lgxka0Lh8a81RwEA_2_14"/>
      <w:bookmarkStart w:id="1181" w:name="Tc_MiGgJfT9CU-ie4qHLxhqZQ_2_11"/>
      <w:bookmarkStart w:id="1182" w:name="Tc_p3uOhzi4RkeSeF6uqN8EcQ_2_8"/>
      <w:bookmarkStart w:id="1183" w:name="Tc_7U3-EQmm40qI2qUNAuUz1Q_2_5"/>
      <w:bookmarkStart w:id="1184" w:name="Tc_QBluqkC8A0y9R8QzCqsIxA_2_2"/>
      <w:bookmarkStart w:id="1185" w:name="Tc_h4RevpeVOk-WzrAMhKnB5Q_1_2"/>
      <w:bookmarkStart w:id="1186" w:name="_7f729e31_8bb6_498f_85ee_0d4fc7f26903"/>
      <w:bookmarkStart w:id="1187" w:name="Tc_gq3j8JQH6Uek6-7cvyrTQg_6_20"/>
      <w:bookmarkStart w:id="1188" w:name="Tc_VF6wR94qo0uoxeH70LYrGg_6_17"/>
      <w:bookmarkStart w:id="1189" w:name="Tc_xzTZas4pokm5yiMdX6x81Q_6_14"/>
      <w:bookmarkStart w:id="1190" w:name="Tc_gEi3gQCwqkCIRlp8OVR_6w_6_11"/>
      <w:bookmarkStart w:id="1191" w:name="Tc_TVtCe6lvTkO0oGdjN1Rnkw_6_8"/>
      <w:bookmarkStart w:id="1192" w:name="Tc_4Q2z03-LIkiYRwrzHGd_oQ_6_5"/>
      <w:bookmarkStart w:id="1193" w:name="Tc_Ab3UBULSD0-awiCfnTgC0g_6_2"/>
      <w:bookmarkStart w:id="1194" w:name="Tc_bpsTq3z_S0SfzexJpwx1Dg_6_0"/>
      <w:bookmarkStart w:id="1195" w:name="Tc_Vm-UUqcolU-t6-fpkiUGjg_5_15"/>
      <w:bookmarkStart w:id="1196" w:name="Tc_NiCIMrJk_0G-t4IymI-Xzw_5_0"/>
      <w:bookmarkStart w:id="1197" w:name="Tc_voT_ZRw_4UORt1h6vRO34A_4_20"/>
      <w:bookmarkStart w:id="1198" w:name="Tc_-OcyjFbMy0-gbheqE2GCvA_4_17"/>
      <w:bookmarkStart w:id="1199" w:name="Tc_FRkXuOhySECKf9weUMH6EA_4_14"/>
      <w:bookmarkStart w:id="1200" w:name="Tc_S25_ls_NSUCwrQA-bORO6A_4_11"/>
      <w:bookmarkStart w:id="1201" w:name="Tc_CKFuAmT020W35y562QjFFg_4_8"/>
      <w:bookmarkStart w:id="1202" w:name="Tc_-GtZoHQDYEedUGriaCWxiA_4_5"/>
      <w:bookmarkStart w:id="1203" w:name="Tc_6xRNCanix0KsZdEpMRo-OQ_4_2"/>
      <w:bookmarkStart w:id="1204" w:name="Tc__xou_TPsD0i57_7z5xjkfA_4_0"/>
      <w:bookmarkStart w:id="1205" w:name="Tc_lnEsq7xqJkCfjz2LWeO19A_3_0"/>
      <w:bookmarkStart w:id="1206" w:name="Tc_HXEAN5pKSki8heqhOyTP8A_2_20"/>
      <w:bookmarkStart w:id="1207" w:name="Tc_1aA-WwdKoUOcRTdvNYwfyQ_2_17"/>
      <w:bookmarkStart w:id="1208" w:name="Tc_8_H5Aa3_yE6V9--_P1ayeg_2_14"/>
      <w:bookmarkStart w:id="1209" w:name="Tc_9VfCjYSK2U6bpxjRonBThw_2_11"/>
      <w:bookmarkStart w:id="1210" w:name="Tc_45xSpZ746kGajY0VMWoYzw_2_8"/>
      <w:bookmarkStart w:id="1211" w:name="Tc_-AUnjQOQsUCDoNh00vKNfQ_2_5"/>
      <w:bookmarkStart w:id="1212" w:name="Tc_ORaOizph0EeeGnZu82m3lg_2_2"/>
      <w:bookmarkStart w:id="1213" w:name="Tc_skoq19EZQ0K661Li3qby3A_1_2"/>
      <w:bookmarkStart w:id="1214" w:name="_e7cfab51_0e41_4f51_bf5d_14ed5b9f6a21"/>
      <w:bookmarkStart w:id="1215" w:name="Tc_B1DbRcI2fk6o66nATLNz5Q_6_20"/>
      <w:bookmarkStart w:id="1216" w:name="Tc_sWKS4dxEK067tUcuvVDQ3g_6_17"/>
      <w:bookmarkStart w:id="1217" w:name="Tc_TGZxzuZ850KEPG30YmfsXw_6_14"/>
      <w:bookmarkStart w:id="1218" w:name="Tc_D1Sd0ZU2HEiaYDBD5ZxJiQ_6_11"/>
      <w:bookmarkStart w:id="1219" w:name="Tc_66VNJZ2CdU6BCtwU5hG23A_6_8"/>
      <w:bookmarkStart w:id="1220" w:name="Tc_tmYMZpSdrE6WmPNE_LmWcA_6_5"/>
      <w:bookmarkStart w:id="1221" w:name="Tc_NESyEFaznEC-qVDrFF5WHw_6_2"/>
      <w:bookmarkStart w:id="1222" w:name="Tc_-ygsHQYWWki23DyMRDY2Sg_6_0"/>
      <w:bookmarkStart w:id="1223" w:name="Tc_s4jZR35vjkC8THASvzmoeQ_5_18"/>
      <w:bookmarkStart w:id="1224" w:name="Tc_IBSmDPzza0md9jIO_s4u7g_5_0"/>
      <w:bookmarkStart w:id="1225" w:name="Tc_az1yatgi-0OFjbeoqU7rtw_4_20"/>
      <w:bookmarkStart w:id="1226" w:name="Tc_tO5NYkPCxECsDX3M3lgvQg_4_17"/>
      <w:bookmarkStart w:id="1227" w:name="Tc_VOT06BijeUyGBAngmQj3nA_4_14"/>
      <w:bookmarkStart w:id="1228" w:name="Tc_AS2Z2R0OvUSDhPg9zMeVzw_4_11"/>
      <w:bookmarkStart w:id="1229" w:name="Tc_jGrqFSshx0a6B7OHKleQ7Q_4_8"/>
      <w:bookmarkStart w:id="1230" w:name="Tc_w7cRMcyPxEy2Zr1YlLZI_A_4_6"/>
      <w:bookmarkStart w:id="1231" w:name="Tc_Zmbr1McUD0qfUvuG3qfShw_4_5"/>
      <w:bookmarkStart w:id="1232" w:name="Tc_HiwKbNsnjEqYXdCFgZ9Uow_4_2"/>
      <w:bookmarkStart w:id="1233" w:name="Tc_fEvABel8uU-2dtn6l6wmqg_4_0"/>
      <w:bookmarkStart w:id="1234" w:name="Tc_nIPep_leYEqrgsVCSZqt-w_3_0"/>
      <w:bookmarkStart w:id="1235" w:name="Tc_yxyk5E2Ba0WSZfOrUzql9Q_2_20"/>
      <w:bookmarkStart w:id="1236" w:name="Tc_pDV5tvgeuUetynL6yFsYSw_2_17"/>
      <w:bookmarkStart w:id="1237" w:name="Tc_riiX-oPH_U6SLicBQ_Wtrg_2_14"/>
      <w:bookmarkStart w:id="1238" w:name="Tc_FuKryeXquUSgWBcko4IsvQ_2_11"/>
      <w:bookmarkStart w:id="1239" w:name="Tc_9w1itu3smEWHS3N3L4Asaw_2_8"/>
      <w:bookmarkStart w:id="1240" w:name="Tc_KkzsV5L6ME6E1HYzuEeXbg_2_5"/>
      <w:bookmarkStart w:id="1241" w:name="Tc_PPCOopYiIU6NVPGPhQJ4Tg_2_2"/>
      <w:bookmarkStart w:id="1242" w:name="Tc_dndJ8wfV8UCIIwFSZ4WaWQ_1_2"/>
      <w:bookmarkStart w:id="1243" w:name="_5b842d69_3cf9_4d6c_ba00_465baa12588b"/>
      <w:bookmarkStart w:id="1244" w:name="Tc_gOEhXM3CW0az8-tS6K9cUg_6_20"/>
      <w:bookmarkStart w:id="1245" w:name="Tc__Qg5GfDC-0GcZAszUKl9jQ_6_17"/>
      <w:bookmarkStart w:id="1246" w:name="Tc_IckSf2DmqkytZKsPnBctuA_6_14"/>
      <w:bookmarkStart w:id="1247" w:name="Tc_td-CIUqKC0WDFT4sndHsCQ_6_11"/>
      <w:bookmarkStart w:id="1248" w:name="Tc_mwMf81z6m02dKKAjpfBZGA_6_8"/>
      <w:bookmarkStart w:id="1249" w:name="Tc_u18oHVvzTEGkbKwi5sOrmw_6_5"/>
      <w:bookmarkStart w:id="1250" w:name="Tc_jdBe07U29UKO6JwwaTc7KQ_6_2"/>
      <w:bookmarkStart w:id="1251" w:name="Tc_8oR2Gnx85kSkskf1_dYkMQ_6_0"/>
      <w:bookmarkStart w:id="1252" w:name="Tc__zVlsNsP6UmCm8Pk4J-8TA_5_0"/>
      <w:bookmarkStart w:id="1253" w:name="Tc_uGsPc6OkwkWzvGa9ub5ynQ_4_20"/>
      <w:bookmarkStart w:id="1254" w:name="Tc_eW-FMIAbZUyg-b7DcO9IjQ_4_17"/>
      <w:bookmarkStart w:id="1255" w:name="Tc_jhcG9ORHEUmNx18t7aNB9g_4_14"/>
      <w:bookmarkStart w:id="1256" w:name="Tc_ToF0BiEufE2z0yKqAL0FBw_4_11"/>
      <w:bookmarkStart w:id="1257" w:name="Tc_DSa_JuRH3UOrvZ58MzhH-w_4_8"/>
      <w:bookmarkStart w:id="1258" w:name="Tc_RjOpOQYflkmTlw0HwQb6dQ_4_5"/>
      <w:bookmarkStart w:id="1259" w:name="Tc_wWSk7kpZ9Eu2m3uDJPwK1g_4_2"/>
      <w:bookmarkStart w:id="1260" w:name="Tc_r5lY47SpREiHkrYQlx5DzA_4_0"/>
      <w:bookmarkStart w:id="1261" w:name="Tc_MTgLP5feAkuO7PWjOu6xnQ_3_0"/>
      <w:bookmarkStart w:id="1262" w:name="Tc_dWVSl3DYSEuQZ3TDzgIhOA_2_20"/>
      <w:bookmarkStart w:id="1263" w:name="Tc_l-pvQYDjvEi-YcAsRpIFsQ_2_17"/>
      <w:bookmarkStart w:id="1264" w:name="Tc_FBeuttOmC0qJFqMQQpUvlw_2_14"/>
      <w:bookmarkStart w:id="1265" w:name="Tc_fBahQ-nYiUye_DKszwd3WQ_2_11"/>
      <w:bookmarkStart w:id="1266" w:name="Tc_Ahq7I5uTIEuf5MYQt4LySg_2_8"/>
      <w:bookmarkStart w:id="1267" w:name="Tc_1xxhyLYPskufN4kKzyRLEQ_2_5"/>
      <w:bookmarkStart w:id="1268" w:name="Tc_tbOl9-3ykE-pRIhFICS2WQ_2_2"/>
      <w:bookmarkStart w:id="1269" w:name="Tc_97s-GYABEUmPepMIP6uhFw_1_2"/>
      <w:bookmarkStart w:id="1270" w:name="_8aeab8a7_50e2_4e0a_8bc7_b02ed19c14da"/>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r>
        <w:rPr>
          <w:rFonts w:ascii="Times New Roman;Times;serif" w:hAnsi="Times New Roman;Times;serif"/>
          <w:sz w:val="20"/>
        </w:rPr>
        <w:t>The Company’s amortized cost basis in net investment in sales-type leases and Ground Lease receivables, presented by year of origination and by stabilized or development status, was as follows as of June 30, 2025 ($ in thousands):</w:t>
      </w:r>
    </w:p>
    <w:tbl>
      <w:tblPr>
        <w:tblW w:w="10205" w:type="dxa"/>
        <w:jc w:val="left"/>
        <w:tblInd w:w="0" w:type="dxa"/>
        <w:tblLayout w:type="fixed"/>
        <w:tblCellMar>
          <w:top w:w="0" w:type="dxa"/>
          <w:left w:w="0" w:type="dxa"/>
          <w:bottom w:w="0" w:type="dxa"/>
          <w:right w:w="0" w:type="dxa"/>
        </w:tblCellMar>
      </w:tblPr>
      <w:tblGrid>
        <w:gridCol w:w="1190"/>
        <w:gridCol w:w="326"/>
        <w:gridCol w:w="196"/>
        <w:gridCol w:w="601"/>
        <w:gridCol w:w="326"/>
        <w:gridCol w:w="196"/>
        <w:gridCol w:w="691"/>
        <w:gridCol w:w="326"/>
        <w:gridCol w:w="196"/>
        <w:gridCol w:w="601"/>
        <w:gridCol w:w="326"/>
        <w:gridCol w:w="196"/>
        <w:gridCol w:w="691"/>
        <w:gridCol w:w="326"/>
        <w:gridCol w:w="196"/>
        <w:gridCol w:w="826"/>
        <w:gridCol w:w="326"/>
        <w:gridCol w:w="210"/>
        <w:gridCol w:w="886"/>
        <w:gridCol w:w="326"/>
        <w:gridCol w:w="326"/>
        <w:gridCol w:w="921"/>
      </w:tblGrid>
      <w:tr>
        <w:trPr/>
        <w:tc>
          <w:tcPr>
            <w:tcW w:w="11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755650" cy="175260"/>
                      <wp:effectExtent l="0" t="0" r="0" b="0"/>
                      <wp:wrapNone/>
                      <wp:docPr id="164" name="Frame164"/>
                      <a:graphic xmlns:a="http://schemas.openxmlformats.org/drawingml/2006/main">
                        <a:graphicData uri="http://schemas.microsoft.com/office/word/2010/wordprocessingShape">
                          <wps:wsp>
                            <wps:cNvSpPr txBox="1"/>
                            <wps:spPr>
                              <a:xfrm>
                                <a:off x="0" y="0"/>
                                <a:ext cx="755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5" name="Frame1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24460" cy="175260"/>
                      <wp:effectExtent l="0" t="0" r="0" b="0"/>
                      <wp:wrapNone/>
                      <wp:docPr id="166" name="Frame16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381635" cy="175260"/>
                      <wp:effectExtent l="0" t="0" r="0" b="0"/>
                      <wp:wrapNone/>
                      <wp:docPr id="167" name="Frame16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24460" cy="175260"/>
                      <wp:effectExtent l="0" t="0" r="0" b="0"/>
                      <wp:wrapNone/>
                      <wp:docPr id="169" name="Frame1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38785" cy="175260"/>
                      <wp:effectExtent l="0" t="0" r="0" b="0"/>
                      <wp:wrapNone/>
                      <wp:docPr id="170" name="Frame17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24460" cy="175260"/>
                      <wp:effectExtent l="0" t="0" r="0" b="0"/>
                      <wp:wrapNone/>
                      <wp:docPr id="172" name="Frame17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381635" cy="175260"/>
                      <wp:effectExtent l="0" t="0" r="0" b="0"/>
                      <wp:wrapNone/>
                      <wp:docPr id="173" name="Frame17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4" name="Frame1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24460" cy="175260"/>
                      <wp:effectExtent l="0" t="0" r="0" b="0"/>
                      <wp:wrapNone/>
                      <wp:docPr id="175" name="Frame17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438785" cy="175260"/>
                      <wp:effectExtent l="0" t="0" r="0" b="0"/>
                      <wp:wrapNone/>
                      <wp:docPr id="176" name="Frame17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7" name="Frame1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24460" cy="175260"/>
                      <wp:effectExtent l="0" t="0" r="0" b="0"/>
                      <wp:wrapNone/>
                      <wp:docPr id="178" name="Frame17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524510" cy="175260"/>
                      <wp:effectExtent l="0" t="0" r="0" b="0"/>
                      <wp:wrapNone/>
                      <wp:docPr id="179" name="Frame17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80" name="Frame1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33350" cy="175260"/>
                      <wp:effectExtent l="0" t="0" r="0" b="0"/>
                      <wp:wrapNone/>
                      <wp:docPr id="181" name="Frame181"/>
                      <a:graphic xmlns:a="http://schemas.openxmlformats.org/drawingml/2006/main">
                        <a:graphicData uri="http://schemas.microsoft.com/office/word/2010/wordprocessingShape">
                          <wps:wsp>
                            <wps:cNvSpPr txBox="1"/>
                            <wps:spPr>
                              <a:xfrm>
                                <a:off x="0" y="0"/>
                                <a:ext cx="133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562610" cy="175260"/>
                      <wp:effectExtent l="0" t="0" r="0" b="0"/>
                      <wp:wrapNone/>
                      <wp:docPr id="182" name="Frame18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4" name="Frame1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584835" cy="175260"/>
                      <wp:effectExtent l="0" t="0" r="0" b="0"/>
                      <wp:wrapNone/>
                      <wp:docPr id="185" name="Frame185"/>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9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7116" w:type="dxa"/>
            <w:gridSpan w:val="1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of Origination</w:t>
            </w:r>
          </w:p>
        </w:tc>
        <w:tc>
          <w:tcPr>
            <w:tcW w:w="32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921" w:type="dxa"/>
            <w:tcBorders/>
            <w:vAlign w:val="center"/>
          </w:tcPr>
          <w:p>
            <w:pPr>
              <w:pStyle w:val="TableContents"/>
              <w:bidi w:val="0"/>
              <w:spacing w:before="0" w:after="1"/>
              <w:ind w:left="0" w:right="0" w:hanging="0"/>
              <w:jc w:val="center"/>
              <w:rPr/>
            </w:pPr>
            <w:r>
              <w:rPr/>
              <w:t>​</w:t>
            </w:r>
          </w:p>
        </w:tc>
      </w:tr>
      <w:tr>
        <w:trPr/>
        <w:tc>
          <w:tcPr>
            <w:tcW w:w="119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1"/>
              <w:ind w:left="0" w:right="0" w:hanging="0"/>
              <w:jc w:val="center"/>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Prior to 2021</w:t>
            </w:r>
          </w:p>
        </w:tc>
        <w:tc>
          <w:tcPr>
            <w:tcW w:w="326" w:type="dxa"/>
            <w:tcBorders/>
            <w:vAlign w:val="center"/>
          </w:tcPr>
          <w:p>
            <w:pPr>
              <w:pStyle w:val="TableContents"/>
              <w:bidi w:val="0"/>
              <w:spacing w:before="0" w:after="1"/>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19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investment in sales-type leases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left"/>
              <w:rPr/>
            </w:pPr>
            <w:r>
              <w:rPr/>
              <w:t>​</w:t>
            </w:r>
          </w:p>
        </w:tc>
      </w:tr>
      <w:tr>
        <w:trPr/>
        <w:tc>
          <w:tcPr>
            <w:tcW w:w="119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Stabilized properties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22,709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36,108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50,719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659,406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1,109,173</w:t>
            </w:r>
          </w:p>
        </w:tc>
        <w:tc>
          <w:tcPr>
            <w:tcW w:w="32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1,316,730</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3,194,845</w:t>
            </w:r>
          </w:p>
        </w:tc>
      </w:tr>
      <w:tr>
        <w:trPr/>
        <w:tc>
          <w:tcPr>
            <w:tcW w:w="119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Development properties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112,722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22,277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38,838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122,535</w:t>
            </w:r>
          </w:p>
        </w:tc>
        <w:tc>
          <w:tcPr>
            <w:tcW w:w="326" w:type="dxa"/>
            <w:tcBorders/>
            <w:shd w:fill="CCEEFF" w:val="clear"/>
            <w:vAlign w:val="center"/>
          </w:tcPr>
          <w:p>
            <w:pPr>
              <w:pStyle w:val="TableContents"/>
              <w:bidi w:val="0"/>
              <w:spacing w:before="0" w:after="1"/>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28,270</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324,742</w:t>
            </w:r>
          </w:p>
        </w:tc>
      </w:tr>
      <w:tr>
        <w:trPr/>
        <w:tc>
          <w:tcPr>
            <w:tcW w:w="1190"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22,809</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148,830</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72,996</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698,244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1,231,708</w:t>
            </w:r>
          </w:p>
        </w:tc>
        <w:tc>
          <w:tcPr>
            <w:tcW w:w="326" w:type="dxa"/>
            <w:tcBorders/>
            <w:vAlign w:val="center"/>
          </w:tcPr>
          <w:p>
            <w:pPr>
              <w:pStyle w:val="TableContents"/>
              <w:bidi w:val="0"/>
              <w:spacing w:before="0" w:after="1"/>
              <w:ind w:left="0" w:right="0" w:hanging="0"/>
              <w:jc w:val="left"/>
              <w:rPr/>
            </w:pPr>
            <w:r>
              <w:rPr/>
              <w:t>​</w:t>
            </w:r>
          </w:p>
        </w:tc>
        <w:tc>
          <w:tcPr>
            <w:tcW w:w="21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1,345,000</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21" w:type="dxa"/>
            <w:tcBorders>
              <w:bottom w:val="double" w:sz="6" w:space="0" w:color="000000"/>
            </w:tcBorders>
            <w:tcMar>
              <w:bottom w:w="28" w:type="dxa"/>
            </w:tcMar>
            <w:vAlign w:val="center"/>
          </w:tcPr>
          <w:p>
            <w:pPr>
              <w:pStyle w:val="TableContents"/>
              <w:bidi w:val="0"/>
              <w:spacing w:before="0" w:after="1"/>
              <w:ind w:left="0" w:right="50" w:hanging="0"/>
              <w:jc w:val="right"/>
              <w:rPr>
                <w:rFonts w:ascii="Times New Roman;Times;serif" w:hAnsi="Times New Roman;Times;serif"/>
                <w:b/>
                <w:sz w:val="16"/>
              </w:rPr>
            </w:pPr>
            <w:r>
              <w:rPr>
                <w:rFonts w:ascii="Times New Roman;Times;serif" w:hAnsi="Times New Roman;Times;serif"/>
                <w:b/>
                <w:sz w:val="16"/>
              </w:rPr>
              <w:t>3,519,587</w:t>
            </w:r>
          </w:p>
        </w:tc>
      </w:tr>
    </w:tbl>
    <w:p>
      <w:pPr>
        <w:pStyle w:val="TextBody"/>
        <w:bidi w:val="0"/>
        <w:spacing w:before="0" w:after="24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1325"/>
        <w:gridCol w:w="326"/>
        <w:gridCol w:w="196"/>
        <w:gridCol w:w="601"/>
        <w:gridCol w:w="326"/>
        <w:gridCol w:w="196"/>
        <w:gridCol w:w="691"/>
        <w:gridCol w:w="326"/>
        <w:gridCol w:w="196"/>
        <w:gridCol w:w="601"/>
        <w:gridCol w:w="326"/>
        <w:gridCol w:w="196"/>
        <w:gridCol w:w="691"/>
        <w:gridCol w:w="326"/>
        <w:gridCol w:w="196"/>
        <w:gridCol w:w="691"/>
        <w:gridCol w:w="326"/>
        <w:gridCol w:w="242"/>
        <w:gridCol w:w="854"/>
        <w:gridCol w:w="326"/>
        <w:gridCol w:w="326"/>
        <w:gridCol w:w="921"/>
      </w:tblGrid>
      <w:tr>
        <w:trPr/>
        <w:tc>
          <w:tcPr>
            <w:tcW w:w="1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841375" cy="175260"/>
                      <wp:effectExtent l="0" t="0" r="0" b="0"/>
                      <wp:wrapNone/>
                      <wp:docPr id="186" name="Frame186"/>
                      <a:graphic xmlns:a="http://schemas.openxmlformats.org/drawingml/2006/main">
                        <a:graphicData uri="http://schemas.microsoft.com/office/word/2010/wordprocessingShape">
                          <wps:wsp>
                            <wps:cNvSpPr txBox="1"/>
                            <wps:spPr>
                              <a:xfrm>
                                <a:off x="0" y="0"/>
                                <a:ext cx="841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24460" cy="175260"/>
                      <wp:effectExtent l="0" t="0" r="0" b="0"/>
                      <wp:wrapNone/>
                      <wp:docPr id="188" name="Frame18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381635" cy="175260"/>
                      <wp:effectExtent l="0" t="0" r="0" b="0"/>
                      <wp:wrapNone/>
                      <wp:docPr id="189" name="Frame18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90" name="Frame1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24460" cy="175260"/>
                      <wp:effectExtent l="0" t="0" r="0" b="0"/>
                      <wp:wrapNone/>
                      <wp:docPr id="191" name="Frame19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438785" cy="175260"/>
                      <wp:effectExtent l="0" t="0" r="0" b="0"/>
                      <wp:wrapNone/>
                      <wp:docPr id="192" name="Frame19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93" name="Frame1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24460" cy="175260"/>
                      <wp:effectExtent l="0" t="0" r="0" b="0"/>
                      <wp:wrapNone/>
                      <wp:docPr id="194" name="Frame19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381635" cy="175260"/>
                      <wp:effectExtent l="0" t="0" r="0" b="0"/>
                      <wp:wrapNone/>
                      <wp:docPr id="195" name="Frame19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6"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24460" cy="175260"/>
                      <wp:effectExtent l="0" t="0" r="0" b="0"/>
                      <wp:wrapNone/>
                      <wp:docPr id="197" name="Frame19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438785" cy="175260"/>
                      <wp:effectExtent l="0" t="0" r="0" b="0"/>
                      <wp:wrapNone/>
                      <wp:docPr id="198" name="Frame19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24460" cy="175260"/>
                      <wp:effectExtent l="0" t="0" r="0" b="0"/>
                      <wp:wrapNone/>
                      <wp:docPr id="200" name="Frame20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38785" cy="175260"/>
                      <wp:effectExtent l="0" t="0" r="0" b="0"/>
                      <wp:wrapNone/>
                      <wp:docPr id="201" name="Frame20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2" name="Frame2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53670" cy="175260"/>
                      <wp:effectExtent l="0" t="0" r="0" b="0"/>
                      <wp:wrapNone/>
                      <wp:docPr id="203" name="Frame203"/>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542290" cy="175260"/>
                      <wp:effectExtent l="0" t="0" r="0" b="0"/>
                      <wp:wrapNone/>
                      <wp:docPr id="204" name="Frame204"/>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5" name="Frame2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206" name="Frame2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584835" cy="175260"/>
                      <wp:effectExtent l="0" t="0" r="0" b="0"/>
                      <wp:wrapNone/>
                      <wp:docPr id="207" name="Frame207"/>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2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6981" w:type="dxa"/>
            <w:gridSpan w:val="1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of Origination</w:t>
            </w:r>
          </w:p>
        </w:tc>
        <w:tc>
          <w:tcPr>
            <w:tcW w:w="32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921" w:type="dxa"/>
            <w:tcBorders/>
            <w:vAlign w:val="center"/>
          </w:tcPr>
          <w:p>
            <w:pPr>
              <w:pStyle w:val="TableContents"/>
              <w:bidi w:val="0"/>
              <w:spacing w:before="0" w:after="1"/>
              <w:ind w:left="0" w:right="0" w:hanging="0"/>
              <w:jc w:val="center"/>
              <w:rPr/>
            </w:pPr>
            <w:r>
              <w:rPr/>
              <w:t>​</w:t>
            </w:r>
          </w:p>
        </w:tc>
      </w:tr>
      <w:tr>
        <w:trPr/>
        <w:tc>
          <w:tcPr>
            <w:tcW w:w="132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1"/>
              <w:ind w:left="0" w:right="0" w:hanging="0"/>
              <w:jc w:val="center"/>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Prior to 2021</w:t>
            </w:r>
          </w:p>
        </w:tc>
        <w:tc>
          <w:tcPr>
            <w:tcW w:w="326" w:type="dxa"/>
            <w:tcBorders/>
            <w:vAlign w:val="center"/>
          </w:tcPr>
          <w:p>
            <w:pPr>
              <w:pStyle w:val="TableContents"/>
              <w:bidi w:val="0"/>
              <w:spacing w:before="0" w:after="1"/>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Ground Lease receivables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85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left"/>
              <w:rPr/>
            </w:pPr>
            <w:r>
              <w:rPr/>
              <w:t>​</w:t>
            </w:r>
          </w:p>
        </w:tc>
      </w:tr>
      <w:tr>
        <w:trPr/>
        <w:tc>
          <w:tcPr>
            <w:tcW w:w="132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Stabilized properties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37,709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19,736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157,425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202,657</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649,204</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1,066,731</w:t>
            </w:r>
          </w:p>
        </w:tc>
      </w:tr>
      <w:tr>
        <w:trPr/>
        <w:tc>
          <w:tcPr>
            <w:tcW w:w="132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Development properties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104,914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24,653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633,696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79,359</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842,742</w:t>
            </w:r>
          </w:p>
        </w:tc>
      </w:tr>
      <w:tr>
        <w:trPr/>
        <w:tc>
          <w:tcPr>
            <w:tcW w:w="1325"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37,829</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104,914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44,389</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791,121</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282,016</w:t>
            </w:r>
          </w:p>
        </w:tc>
        <w:tc>
          <w:tcPr>
            <w:tcW w:w="326" w:type="dxa"/>
            <w:tcBorders/>
            <w:vAlign w:val="center"/>
          </w:tcPr>
          <w:p>
            <w:pPr>
              <w:pStyle w:val="TableContents"/>
              <w:bidi w:val="0"/>
              <w:spacing w:before="0" w:after="1"/>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5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649,204</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21" w:type="dxa"/>
            <w:tcBorders>
              <w:bottom w:val="double" w:sz="6" w:space="0" w:color="000000"/>
            </w:tcBorders>
            <w:tcMar>
              <w:bottom w:w="28" w:type="dxa"/>
            </w:tcMar>
            <w:vAlign w:val="center"/>
          </w:tcPr>
          <w:p>
            <w:pPr>
              <w:pStyle w:val="TableContents"/>
              <w:bidi w:val="0"/>
              <w:spacing w:before="0" w:after="1"/>
              <w:ind w:left="0" w:right="50" w:hanging="0"/>
              <w:jc w:val="right"/>
              <w:rPr>
                <w:rFonts w:ascii="Times New Roman;Times;serif" w:hAnsi="Times New Roman;Times;serif"/>
                <w:b/>
                <w:sz w:val="16"/>
              </w:rPr>
            </w:pPr>
            <w:r>
              <w:rPr>
                <w:rFonts w:ascii="Times New Roman;Times;serif" w:hAnsi="Times New Roman;Times;serif"/>
                <w:b/>
                <w:sz w:val="16"/>
              </w:rPr>
              <w:t>1,909,473</w:t>
            </w:r>
          </w:p>
        </w:tc>
      </w:tr>
    </w:tbl>
    <w:p>
      <w:pPr>
        <w:pStyle w:val="TextBody"/>
        <w:bidi w:val="0"/>
        <w:spacing w:before="0" w:after="240"/>
        <w:ind w:left="0" w:right="0" w:firstLine="720"/>
        <w:jc w:val="both"/>
        <w:rPr/>
      </w:pPr>
      <w:r>
        <w:rPr/>
        <w:t>​</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 xml:space="preserve">The Company’s amortized cost basis in net investment in sales-type leases and Ground Lease receivables, presented by year of origination and by stabilized or development status, was as follows as of December 31, 2024 ($ in thousands): </w:t>
      </w:r>
    </w:p>
    <w:tbl>
      <w:tblPr>
        <w:tblW w:w="10205" w:type="dxa"/>
        <w:jc w:val="left"/>
        <w:tblInd w:w="0" w:type="dxa"/>
        <w:tblLayout w:type="fixed"/>
        <w:tblCellMar>
          <w:top w:w="0" w:type="dxa"/>
          <w:left w:w="0" w:type="dxa"/>
          <w:bottom w:w="0" w:type="dxa"/>
          <w:right w:w="0" w:type="dxa"/>
        </w:tblCellMar>
      </w:tblPr>
      <w:tblGrid>
        <w:gridCol w:w="1090"/>
        <w:gridCol w:w="326"/>
        <w:gridCol w:w="196"/>
        <w:gridCol w:w="691"/>
        <w:gridCol w:w="326"/>
        <w:gridCol w:w="196"/>
        <w:gridCol w:w="601"/>
        <w:gridCol w:w="326"/>
        <w:gridCol w:w="196"/>
        <w:gridCol w:w="691"/>
        <w:gridCol w:w="326"/>
        <w:gridCol w:w="196"/>
        <w:gridCol w:w="826"/>
        <w:gridCol w:w="326"/>
        <w:gridCol w:w="196"/>
        <w:gridCol w:w="691"/>
        <w:gridCol w:w="326"/>
        <w:gridCol w:w="210"/>
        <w:gridCol w:w="886"/>
        <w:gridCol w:w="326"/>
        <w:gridCol w:w="326"/>
        <w:gridCol w:w="931"/>
      </w:tblGrid>
      <w:tr>
        <w:trPr/>
        <w:tc>
          <w:tcPr>
            <w:tcW w:w="10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92150" cy="175260"/>
                      <wp:effectExtent l="0" t="0" r="0" b="0"/>
                      <wp:wrapNone/>
                      <wp:docPr id="208" name="Frame208"/>
                      <a:graphic xmlns:a="http://schemas.openxmlformats.org/drawingml/2006/main">
                        <a:graphicData uri="http://schemas.microsoft.com/office/word/2010/wordprocessingShape">
                          <wps:wsp>
                            <wps:cNvSpPr txBox="1"/>
                            <wps:spPr>
                              <a:xfrm>
                                <a:off x="0" y="0"/>
                                <a:ext cx="692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7010" cy="175260"/>
                      <wp:effectExtent l="0" t="0" r="0" b="0"/>
                      <wp:wrapNone/>
                      <wp:docPr id="209" name="Frame2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24460" cy="175260"/>
                      <wp:effectExtent l="0" t="0" r="0" b="0"/>
                      <wp:wrapNone/>
                      <wp:docPr id="210" name="Frame2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38785" cy="175260"/>
                      <wp:effectExtent l="0" t="0" r="0" b="0"/>
                      <wp:wrapNone/>
                      <wp:docPr id="211" name="Frame21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7010" cy="175260"/>
                      <wp:effectExtent l="0" t="0" r="0" b="0"/>
                      <wp:wrapNone/>
                      <wp:docPr id="212" name="Frame2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24460" cy="175260"/>
                      <wp:effectExtent l="0" t="0" r="0" b="0"/>
                      <wp:wrapNone/>
                      <wp:docPr id="213" name="Frame2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381635" cy="175260"/>
                      <wp:effectExtent l="0" t="0" r="0" b="0"/>
                      <wp:wrapNone/>
                      <wp:docPr id="214" name="Frame21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215" name="Frame2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24460" cy="175260"/>
                      <wp:effectExtent l="0" t="0" r="0" b="0"/>
                      <wp:wrapNone/>
                      <wp:docPr id="216" name="Frame2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438785" cy="175260"/>
                      <wp:effectExtent l="0" t="0" r="0" b="0"/>
                      <wp:wrapNone/>
                      <wp:docPr id="217" name="Frame21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7010" cy="175260"/>
                      <wp:effectExtent l="0" t="0" r="0" b="0"/>
                      <wp:wrapNone/>
                      <wp:docPr id="218" name="Frame2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24460" cy="175260"/>
                      <wp:effectExtent l="0" t="0" r="0" b="0"/>
                      <wp:wrapNone/>
                      <wp:docPr id="219" name="Frame21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524510" cy="175260"/>
                      <wp:effectExtent l="0" t="0" r="0" b="0"/>
                      <wp:wrapNone/>
                      <wp:docPr id="220" name="Frame22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21" name="Frame2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24460" cy="175260"/>
                      <wp:effectExtent l="0" t="0" r="0" b="0"/>
                      <wp:wrapNone/>
                      <wp:docPr id="222" name="Frame22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38785" cy="175260"/>
                      <wp:effectExtent l="0" t="0" r="0" b="0"/>
                      <wp:wrapNone/>
                      <wp:docPr id="223" name="Frame22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4" name="Frame2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3350" cy="175260"/>
                      <wp:effectExtent l="0" t="0" r="0" b="0"/>
                      <wp:wrapNone/>
                      <wp:docPr id="225" name="Frame225"/>
                      <a:graphic xmlns:a="http://schemas.openxmlformats.org/drawingml/2006/main">
                        <a:graphicData uri="http://schemas.microsoft.com/office/word/2010/wordprocessingShape">
                          <wps:wsp>
                            <wps:cNvSpPr txBox="1"/>
                            <wps:spPr>
                              <a:xfrm>
                                <a:off x="0" y="0"/>
                                <a:ext cx="133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562610" cy="175260"/>
                      <wp:effectExtent l="0" t="0" r="0" b="0"/>
                      <wp:wrapNone/>
                      <wp:docPr id="226" name="Frame22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27" name="Frame2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28" name="Frame2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591185" cy="175260"/>
                      <wp:effectExtent l="0" t="0" r="0" b="0"/>
                      <wp:wrapNone/>
                      <wp:docPr id="229" name="Frame22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9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7206" w:type="dxa"/>
            <w:gridSpan w:val="1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of Origination</w:t>
            </w:r>
          </w:p>
        </w:tc>
        <w:tc>
          <w:tcPr>
            <w:tcW w:w="32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931" w:type="dxa"/>
            <w:tcBorders/>
            <w:vAlign w:val="center"/>
          </w:tcPr>
          <w:p>
            <w:pPr>
              <w:pStyle w:val="TableContents"/>
              <w:bidi w:val="0"/>
              <w:spacing w:before="0" w:after="1"/>
              <w:ind w:left="0" w:right="0" w:hanging="0"/>
              <w:jc w:val="center"/>
              <w:rPr/>
            </w:pPr>
            <w:r>
              <w:rPr/>
              <w:t>​</w:t>
            </w:r>
          </w:p>
        </w:tc>
      </w:tr>
      <w:tr>
        <w:trPr/>
        <w:tc>
          <w:tcPr>
            <w:tcW w:w="109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vAlign w:val="center"/>
          </w:tcPr>
          <w:p>
            <w:pPr>
              <w:pStyle w:val="TableContents"/>
              <w:bidi w:val="0"/>
              <w:spacing w:before="0" w:after="1"/>
              <w:ind w:left="0" w:right="0" w:hanging="0"/>
              <w:jc w:val="center"/>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Prior to 2020</w:t>
            </w:r>
          </w:p>
        </w:tc>
        <w:tc>
          <w:tcPr>
            <w:tcW w:w="326" w:type="dxa"/>
            <w:tcBorders/>
            <w:vAlign w:val="center"/>
          </w:tcPr>
          <w:p>
            <w:pPr>
              <w:pStyle w:val="TableContents"/>
              <w:bidi w:val="0"/>
              <w:spacing w:before="0" w:after="1"/>
              <w:ind w:left="0" w:right="0" w:hanging="0"/>
              <w:jc w:val="center"/>
              <w:rPr/>
            </w:pPr>
            <w:r>
              <w:rPr/>
              <w:t>    </w:t>
            </w:r>
          </w:p>
        </w:tc>
        <w:tc>
          <w:tcPr>
            <w:tcW w:w="12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9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investment in sales-type leases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r>
      <w:tr>
        <w:trPr/>
        <w:tc>
          <w:tcPr>
            <w:tcW w:w="109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Stabilized properties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35,730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50,191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653,702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1,096,444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214,396</w:t>
            </w:r>
          </w:p>
        </w:tc>
        <w:tc>
          <w:tcPr>
            <w:tcW w:w="32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1,089,992</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3,140,455</w:t>
            </w:r>
          </w:p>
        </w:tc>
      </w:tr>
      <w:tr>
        <w:trPr/>
        <w:tc>
          <w:tcPr>
            <w:tcW w:w="109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Development properties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111,329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22,062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38,488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121,412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28,028</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321,319</w:t>
            </w:r>
          </w:p>
        </w:tc>
      </w:tr>
      <w:tr>
        <w:trPr/>
        <w:tc>
          <w:tcPr>
            <w:tcW w:w="1090"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147,059</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72,253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692,190</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1,217,856</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214,396</w:t>
            </w:r>
          </w:p>
        </w:tc>
        <w:tc>
          <w:tcPr>
            <w:tcW w:w="326" w:type="dxa"/>
            <w:tcBorders/>
            <w:vAlign w:val="center"/>
          </w:tcPr>
          <w:p>
            <w:pPr>
              <w:pStyle w:val="TableContents"/>
              <w:bidi w:val="0"/>
              <w:spacing w:before="0" w:after="1"/>
              <w:ind w:left="0" w:right="0" w:hanging="0"/>
              <w:jc w:val="left"/>
              <w:rPr/>
            </w:pPr>
            <w:r>
              <w:rPr/>
              <w:t>​</w:t>
            </w:r>
          </w:p>
        </w:tc>
        <w:tc>
          <w:tcPr>
            <w:tcW w:w="21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1,118,020</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3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16"/>
              </w:rPr>
            </w:pPr>
            <w:r>
              <w:rPr>
                <w:rFonts w:ascii="Times New Roman;Times;serif" w:hAnsi="Times New Roman;Times;serif"/>
                <w:b/>
                <w:sz w:val="16"/>
              </w:rPr>
              <w:t>3,461,774</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315"/>
        <w:gridCol w:w="326"/>
        <w:gridCol w:w="196"/>
        <w:gridCol w:w="601"/>
        <w:gridCol w:w="326"/>
        <w:gridCol w:w="196"/>
        <w:gridCol w:w="601"/>
        <w:gridCol w:w="326"/>
        <w:gridCol w:w="196"/>
        <w:gridCol w:w="691"/>
        <w:gridCol w:w="326"/>
        <w:gridCol w:w="196"/>
        <w:gridCol w:w="691"/>
        <w:gridCol w:w="326"/>
        <w:gridCol w:w="196"/>
        <w:gridCol w:w="691"/>
        <w:gridCol w:w="326"/>
        <w:gridCol w:w="242"/>
        <w:gridCol w:w="854"/>
        <w:gridCol w:w="326"/>
        <w:gridCol w:w="326"/>
        <w:gridCol w:w="931"/>
      </w:tblGrid>
      <w:tr>
        <w:trPr/>
        <w:tc>
          <w:tcPr>
            <w:tcW w:w="1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835025" cy="175260"/>
                      <wp:effectExtent l="0" t="0" r="0" b="0"/>
                      <wp:wrapNone/>
                      <wp:docPr id="230" name="Frame230"/>
                      <a:graphic xmlns:a="http://schemas.openxmlformats.org/drawingml/2006/main">
                        <a:graphicData uri="http://schemas.microsoft.com/office/word/2010/wordprocessingShape">
                          <wps:wsp>
                            <wps:cNvSpPr txBox="1"/>
                            <wps:spPr>
                              <a:xfrm>
                                <a:off x="0" y="0"/>
                                <a:ext cx="835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7010" cy="175260"/>
                      <wp:effectExtent l="0" t="0" r="0" b="0"/>
                      <wp:wrapNone/>
                      <wp:docPr id="231" name="Frame2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24460" cy="175260"/>
                      <wp:effectExtent l="0" t="0" r="0" b="0"/>
                      <wp:wrapNone/>
                      <wp:docPr id="232" name="Frame23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381635" cy="175260"/>
                      <wp:effectExtent l="0" t="0" r="0" b="0"/>
                      <wp:wrapNone/>
                      <wp:docPr id="233" name="Frame23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234" name="Frame2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24460" cy="175260"/>
                      <wp:effectExtent l="0" t="0" r="0" b="0"/>
                      <wp:wrapNone/>
                      <wp:docPr id="235" name="Frame23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381635" cy="175260"/>
                      <wp:effectExtent l="0" t="0" r="0" b="0"/>
                      <wp:wrapNone/>
                      <wp:docPr id="236" name="Frame23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7010" cy="175260"/>
                      <wp:effectExtent l="0" t="0" r="0" b="0"/>
                      <wp:wrapNone/>
                      <wp:docPr id="237" name="Frame2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24460" cy="175260"/>
                      <wp:effectExtent l="0" t="0" r="0" b="0"/>
                      <wp:wrapNone/>
                      <wp:docPr id="238" name="Frame23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438785" cy="175260"/>
                      <wp:effectExtent l="0" t="0" r="0" b="0"/>
                      <wp:wrapNone/>
                      <wp:docPr id="239" name="Frame23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07010" cy="175260"/>
                      <wp:effectExtent l="0" t="0" r="0" b="0"/>
                      <wp:wrapNone/>
                      <wp:docPr id="240" name="Frame2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24460" cy="175260"/>
                      <wp:effectExtent l="0" t="0" r="0" b="0"/>
                      <wp:wrapNone/>
                      <wp:docPr id="241" name="Frame24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438785" cy="175260"/>
                      <wp:effectExtent l="0" t="0" r="0" b="0"/>
                      <wp:wrapNone/>
                      <wp:docPr id="242" name="Frame24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7010" cy="175260"/>
                      <wp:effectExtent l="0" t="0" r="0" b="0"/>
                      <wp:wrapNone/>
                      <wp:docPr id="243" name="Frame2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24460" cy="175260"/>
                      <wp:effectExtent l="0" t="0" r="0" b="0"/>
                      <wp:wrapNone/>
                      <wp:docPr id="244" name="Frame24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438785" cy="175260"/>
                      <wp:effectExtent l="0" t="0" r="0" b="0"/>
                      <wp:wrapNone/>
                      <wp:docPr id="245" name="Frame24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46" name="Frame2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53670" cy="175260"/>
                      <wp:effectExtent l="0" t="0" r="0" b="0"/>
                      <wp:wrapNone/>
                      <wp:docPr id="247" name="Frame247"/>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542290" cy="175260"/>
                      <wp:effectExtent l="0" t="0" r="0" b="0"/>
                      <wp:wrapNone/>
                      <wp:docPr id="248" name="Frame248"/>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7010" cy="175260"/>
                      <wp:effectExtent l="0" t="0" r="0" b="0"/>
                      <wp:wrapNone/>
                      <wp:docPr id="249" name="Frame2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50"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591185" cy="175260"/>
                      <wp:effectExtent l="0" t="0" r="0" b="0"/>
                      <wp:wrapNone/>
                      <wp:docPr id="251" name="Frame25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1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6981" w:type="dxa"/>
            <w:gridSpan w:val="1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of Origination</w:t>
            </w:r>
          </w:p>
        </w:tc>
        <w:tc>
          <w:tcPr>
            <w:tcW w:w="32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931" w:type="dxa"/>
            <w:tcBorders/>
            <w:vAlign w:val="center"/>
          </w:tcPr>
          <w:p>
            <w:pPr>
              <w:pStyle w:val="TableContents"/>
              <w:bidi w:val="0"/>
              <w:spacing w:before="0" w:after="1"/>
              <w:ind w:left="0" w:right="0" w:hanging="0"/>
              <w:jc w:val="center"/>
              <w:rPr/>
            </w:pPr>
            <w:r>
              <w:rPr/>
              <w:t>​</w:t>
            </w:r>
          </w:p>
        </w:tc>
      </w:tr>
      <w:tr>
        <w:trPr/>
        <w:tc>
          <w:tcPr>
            <w:tcW w:w="131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vAlign w:val="center"/>
          </w:tcPr>
          <w:p>
            <w:pPr>
              <w:pStyle w:val="TableContents"/>
              <w:bidi w:val="0"/>
              <w:spacing w:before="0" w:after="1"/>
              <w:ind w:left="0" w:right="0" w:hanging="0"/>
              <w:jc w:val="center"/>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Prior to 2020</w:t>
            </w:r>
          </w:p>
        </w:tc>
        <w:tc>
          <w:tcPr>
            <w:tcW w:w="326" w:type="dxa"/>
            <w:tcBorders/>
            <w:vAlign w:val="center"/>
          </w:tcPr>
          <w:p>
            <w:pPr>
              <w:pStyle w:val="TableContents"/>
              <w:bidi w:val="0"/>
              <w:spacing w:before="0" w:after="1"/>
              <w:ind w:left="0" w:right="0" w:hanging="0"/>
              <w:jc w:val="center"/>
              <w:rPr/>
            </w:pPr>
            <w:r>
              <w:rPr/>
              <w:t>    </w:t>
            </w:r>
          </w:p>
        </w:tc>
        <w:tc>
          <w:tcPr>
            <w:tcW w:w="12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Ground Lease receivables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85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r>
      <w:tr>
        <w:trPr/>
        <w:tc>
          <w:tcPr>
            <w:tcW w:w="131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Stabilized properties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19,524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155,921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200,819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184,071</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458,982</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1,019,317</w:t>
            </w:r>
          </w:p>
        </w:tc>
      </w:tr>
      <w:tr>
        <w:trPr/>
        <w:tc>
          <w:tcPr>
            <w:tcW w:w="13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Development properties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87,601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23,487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628,029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78,628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817,745</w:t>
            </w:r>
          </w:p>
        </w:tc>
      </w:tr>
      <w:tr>
        <w:trPr/>
        <w:tc>
          <w:tcPr>
            <w:tcW w:w="1315"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87,601</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43,011</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783,950</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279,447</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184,071</w:t>
            </w:r>
          </w:p>
        </w:tc>
        <w:tc>
          <w:tcPr>
            <w:tcW w:w="326" w:type="dxa"/>
            <w:tcBorders/>
            <w:vAlign w:val="center"/>
          </w:tcPr>
          <w:p>
            <w:pPr>
              <w:pStyle w:val="TableContents"/>
              <w:bidi w:val="0"/>
              <w:spacing w:before="0" w:after="1"/>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5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458,982</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3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16"/>
              </w:rPr>
            </w:pPr>
            <w:r>
              <w:rPr>
                <w:rFonts w:ascii="Times New Roman;Times;serif" w:hAnsi="Times New Roman;Times;serif"/>
                <w:b/>
                <w:sz w:val="16"/>
              </w:rPr>
              <w:t>1,837,062</w:t>
            </w:r>
          </w:p>
        </w:tc>
      </w:tr>
    </w:tbl>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Future Minimum Lease Payments under Sales-type Leases</w:t>
      </w:r>
      <w:r>
        <w:rPr>
          <w:rFonts w:ascii="Times New Roman;Times;serif" w:hAnsi="Times New Roman;Times;serif"/>
          <w:sz w:val="20"/>
        </w:rPr>
        <w:t>—Future minimum lease payments to be collected under sales-type leases accounted for under ASC 842 - Leases, excluding lease payments that are not fixed and determinable, in effect as of June 30, 2025, are as follows by year ($ in thousands):</w:t>
      </w:r>
    </w:p>
    <w:p>
      <w:pPr>
        <w:pStyle w:val="TextBody"/>
        <w:bidi w:val="0"/>
        <w:spacing w:before="0" w:after="240"/>
        <w:ind w:left="0" w:right="0" w:firstLine="720"/>
        <w:jc w:val="both"/>
        <w:rPr/>
      </w:pPr>
      <w:r>
        <w:rPr/>
        <w:t>​</w:t>
      </w:r>
    </w:p>
    <w:tbl>
      <w:tblPr>
        <w:tblW w:w="8722" w:type="dxa"/>
        <w:jc w:val="left"/>
        <w:tblInd w:w="0" w:type="dxa"/>
        <w:tblLayout w:type="fixed"/>
        <w:tblCellMar>
          <w:top w:w="0" w:type="dxa"/>
          <w:left w:w="0" w:type="dxa"/>
          <w:bottom w:w="0" w:type="dxa"/>
          <w:right w:w="0" w:type="dxa"/>
        </w:tblCellMar>
      </w:tblPr>
      <w:tblGrid>
        <w:gridCol w:w="2596"/>
        <w:gridCol w:w="326"/>
        <w:gridCol w:w="211"/>
        <w:gridCol w:w="1036"/>
        <w:gridCol w:w="326"/>
        <w:gridCol w:w="211"/>
        <w:gridCol w:w="931"/>
        <w:gridCol w:w="326"/>
        <w:gridCol w:w="229"/>
        <w:gridCol w:w="852"/>
        <w:gridCol w:w="326"/>
        <w:gridCol w:w="211"/>
        <w:gridCol w:w="1141"/>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648460" cy="175260"/>
                      <wp:effectExtent l="0" t="0" r="0" b="0"/>
                      <wp:wrapNone/>
                      <wp:docPr id="252" name="Frame252"/>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7010" cy="175260"/>
                      <wp:effectExtent l="0" t="0" r="0" b="0"/>
                      <wp:wrapNone/>
                      <wp:docPr id="253" name="Frame2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33985" cy="175260"/>
                      <wp:effectExtent l="0" t="0" r="0" b="0"/>
                      <wp:wrapNone/>
                      <wp:docPr id="254" name="Frame2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57860" cy="175260"/>
                      <wp:effectExtent l="0" t="0" r="0" b="0"/>
                      <wp:wrapNone/>
                      <wp:docPr id="255" name="Frame25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7010" cy="175260"/>
                      <wp:effectExtent l="0" t="0" r="0" b="0"/>
                      <wp:wrapNone/>
                      <wp:docPr id="256" name="Frame2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33985" cy="175260"/>
                      <wp:effectExtent l="0" t="0" r="0" b="0"/>
                      <wp:wrapNone/>
                      <wp:docPr id="257" name="Frame2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591185" cy="175260"/>
                      <wp:effectExtent l="0" t="0" r="0" b="0"/>
                      <wp:wrapNone/>
                      <wp:docPr id="258" name="Frame25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7010" cy="175260"/>
                      <wp:effectExtent l="0" t="0" r="0" b="0"/>
                      <wp:wrapNone/>
                      <wp:docPr id="259" name="Frame2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45415" cy="175260"/>
                      <wp:effectExtent l="0" t="0" r="0" b="0"/>
                      <wp:wrapNone/>
                      <wp:docPr id="260" name="Frame260"/>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541020" cy="175260"/>
                      <wp:effectExtent l="0" t="0" r="0" b="0"/>
                      <wp:wrapNone/>
                      <wp:docPr id="261" name="Frame261"/>
                      <a:graphic xmlns:a="http://schemas.openxmlformats.org/drawingml/2006/main">
                        <a:graphicData uri="http://schemas.microsoft.com/office/word/2010/wordprocessingShape">
                          <wps:wsp>
                            <wps:cNvSpPr txBox="1"/>
                            <wps:spPr>
                              <a:xfrm>
                                <a:off x="0" y="0"/>
                                <a:ext cx="541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7010" cy="175260"/>
                      <wp:effectExtent l="0" t="0" r="0" b="0"/>
                      <wp:wrapNone/>
                      <wp:docPr id="262" name="Frame2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33985" cy="175260"/>
                      <wp:effectExtent l="0" t="0" r="0" b="0"/>
                      <wp:wrapNone/>
                      <wp:docPr id="263" name="Frame2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724535" cy="175260"/>
                      <wp:effectExtent l="0" t="0" r="0" b="0"/>
                      <wp:wrapNone/>
                      <wp:docPr id="264" name="Frame26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Fixed Bumps </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pPr>
            <w:r>
              <w:rPr/>
              <w:t>​</w: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Fixed Bumps </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with </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pPr>
            <w:r>
              <w:rPr/>
              <w:t>​</w: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with Inflation </w:t>
            </w:r>
          </w:p>
        </w:tc>
        <w:tc>
          <w:tcPr>
            <w:tcW w:w="326" w:type="dxa"/>
            <w:tcBorders/>
            <w:vAlign w:val="center"/>
          </w:tcPr>
          <w:p>
            <w:pPr>
              <w:pStyle w:val="TableContents"/>
              <w:bidi w:val="0"/>
              <w:spacing w:before="0" w:after="1"/>
              <w:ind w:left="0" w:right="0" w:hanging="0"/>
              <w:jc w:val="center"/>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Fixed </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 </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pPr>
            <w:r>
              <w:rPr/>
              <w:t>​</w: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vAlign w:val="center"/>
          </w:tcPr>
          <w:p>
            <w:pPr>
              <w:pStyle w:val="TableContents"/>
              <w:bidi w:val="0"/>
              <w:spacing w:before="0" w:after="1"/>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Bumps</w:t>
            </w:r>
          </w:p>
        </w:tc>
        <w:tc>
          <w:tcPr>
            <w:tcW w:w="326" w:type="dxa"/>
            <w:tcBorders/>
            <w:vAlign w:val="center"/>
          </w:tcPr>
          <w:p>
            <w:pPr>
              <w:pStyle w:val="TableContents"/>
              <w:bidi w:val="0"/>
              <w:spacing w:before="0" w:after="1"/>
              <w:ind w:left="0" w:right="0" w:hanging="0"/>
              <w:jc w:val="center"/>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Rent</w:t>
            </w:r>
          </w:p>
        </w:tc>
        <w:tc>
          <w:tcPr>
            <w:tcW w:w="326" w:type="dxa"/>
            <w:tcBorders/>
            <w:vAlign w:val="center"/>
          </w:tcPr>
          <w:p>
            <w:pPr>
              <w:pStyle w:val="TableContents"/>
              <w:bidi w:val="0"/>
              <w:spacing w:before="0" w:after="1"/>
              <w:ind w:left="0" w:right="0" w:hanging="0"/>
              <w:jc w:val="center"/>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 (remaining six months)</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53,448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4,021</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58,166</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109,757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8,580</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 </w:t>
            </w:r>
          </w:p>
        </w:tc>
        <w:tc>
          <w:tcPr>
            <w:tcW w:w="8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119,882</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112,379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9,320</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 </w:t>
            </w:r>
          </w:p>
        </w:tc>
        <w:tc>
          <w:tcPr>
            <w:tcW w:w="8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123,394</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114,371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9,595</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 </w:t>
            </w:r>
          </w:p>
        </w:tc>
        <w:tc>
          <w:tcPr>
            <w:tcW w:w="8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125,712</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116,922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9,785</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128,460</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29,608,690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3,524,762</w:t>
            </w:r>
          </w:p>
        </w:tc>
        <w:tc>
          <w:tcPr>
            <w:tcW w:w="326"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285,913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33,419,365</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undiscounted cash flows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30,115,567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3,566,063</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293,349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33,974,979</w:t>
            </w:r>
          </w:p>
        </w:tc>
      </w:tr>
    </w:tbl>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1271" w:name="Tc_4ArOXetHO0C2OyiQqgF09g_6_8"/>
      <w:bookmarkStart w:id="1272" w:name="Tc_4Vhxrfr-E0anWlaUHipozg_6_5"/>
      <w:bookmarkStart w:id="1273" w:name="Tc_5mG4hppuKUSp49Ow7m7gDg_6_2"/>
      <w:bookmarkStart w:id="1274" w:name="Tc_YLAQJy4Tn02CCLzW5ZGEVQ_6_0"/>
      <w:bookmarkStart w:id="1275" w:name="Tc_BF6vsP5xqU24q6__L2zSjQ_5_0"/>
      <w:bookmarkStart w:id="1276" w:name="Tc_f7gRrQSaN0KqiK0KGZcbyw_4_8"/>
      <w:bookmarkStart w:id="1277" w:name="Tc_Kn6OctMY10qviwNvzvCxJg_4_5"/>
      <w:bookmarkStart w:id="1278" w:name="Tc_Qw-ZYqRaPUinL-RnXnfSKw_4_2"/>
      <w:bookmarkStart w:id="1279" w:name="Tc_ek3jPuMOKkiVSSZ0Iu220g_4_0"/>
      <w:bookmarkStart w:id="1280" w:name="Tc_ICxXrhcKd0GMOWRcnqTb6Q_3_8"/>
      <w:bookmarkStart w:id="1281" w:name="Tc_gz5lvzG0MkWMYJuw9oA4vA_3_5"/>
      <w:bookmarkStart w:id="1282" w:name="Tc_i8a0k7RRzUq4rSx5pLNt_A_3_2"/>
      <w:bookmarkStart w:id="1283" w:name="Tc_QYrewMQ7E0iHLAkl2PnRKw_3_0"/>
      <w:bookmarkStart w:id="1284" w:name="Tc_AFIEtgP2XUObk41GTrTo9A_2_5"/>
      <w:bookmarkStart w:id="1285" w:name="Tc_OMYmw1kQtUSviRyBnjmpjw_2_2"/>
      <w:bookmarkStart w:id="1286" w:name="Tc_HC2m8C8PB0yx_Z4bNQ-y2Q_1_5"/>
      <w:bookmarkStart w:id="1287" w:name="Tc_Jt_HfG0Xh0WR_n4jhFJ01Q_1_2"/>
      <w:bookmarkStart w:id="1288" w:name="_d8a797fd_a32c_411c_9397_5ad02994799b"/>
      <w:bookmarkStart w:id="1289" w:name="Tc_626vCTFHHkGR8vjyP6ieIg_6_8"/>
      <w:bookmarkStart w:id="1290" w:name="Tc_k3Pl49faJESAyM7nAgmrFw_6_5"/>
      <w:bookmarkStart w:id="1291" w:name="Tc_nYCl9ELhG0iu4Kx0BpMn7w_6_2"/>
      <w:bookmarkStart w:id="1292" w:name="Tc_rZGzs-MSh0CgnGUtG-qQng_6_0"/>
      <w:bookmarkStart w:id="1293" w:name="Tc_uaakpS4NOEGpWtx5Yrf6xQ_5_0"/>
      <w:bookmarkStart w:id="1294" w:name="Tc_njb_SrHroESe2BGMLts08w_4_8"/>
      <w:bookmarkStart w:id="1295" w:name="Tc_OsoiueFcckWQ0rY-7rYxVQ_4_5"/>
      <w:bookmarkStart w:id="1296" w:name="Tc_Rkm7cQMoa0yxq-cX7GfBYw_4_2"/>
      <w:bookmarkStart w:id="1297" w:name="Tc_4TWTV6kl-0WTKBRWQoQhMA_4_0"/>
      <w:bookmarkStart w:id="1298" w:name="Tc_cN43JeY--0SFmjjadiutFg_3_8"/>
      <w:bookmarkStart w:id="1299" w:name="Tc_jBOBFd8bgkK0VYrWqQKwDQ_3_5"/>
      <w:bookmarkStart w:id="1300" w:name="Tc__QycCQQQPEatlJVWuU-ziQ_3_2"/>
      <w:bookmarkStart w:id="1301" w:name="Tc_e3jQAT1bHE-EWtMA7eutsQ_3_0"/>
      <w:bookmarkStart w:id="1302" w:name="Tc_p5SlvL3-u0K3fTzNtLPMMw_2_5"/>
      <w:bookmarkStart w:id="1303" w:name="Tc_FtN6J8m2c0OFJuONE_-iJA_2_2"/>
      <w:bookmarkStart w:id="1304" w:name="Tc_h7uzJcERwkicA-Ea0gcD0A_1_5"/>
      <w:bookmarkStart w:id="1305" w:name="Tc_-u3stXUEDUqkO-EFK7tdNQ_1_2"/>
      <w:bookmarkStart w:id="1306" w:name="_e6a97e02_6d5f_4878_9822_0cde42041f5d"/>
      <w:bookmarkStart w:id="1307" w:name="Tc_6FnT4bHT8E6jD1_pcR5Mfw_6_8"/>
      <w:bookmarkStart w:id="1308" w:name="Tc_lAY1B5I4xkOlkpychF0jNQ_6_5"/>
      <w:bookmarkStart w:id="1309" w:name="Tc_Eu19NXsgT0qqKTA20jmNjQ_6_2"/>
      <w:bookmarkStart w:id="1310" w:name="Tc_Y_FVTTtylkK1RqyozMg73A_6_0"/>
      <w:bookmarkStart w:id="1311" w:name="Tc_9yEctP49LEKsLWuZiqw_jQ_5_0"/>
      <w:bookmarkStart w:id="1312" w:name="Tc_ECEv1uPKxke9d4Xm7rwhqg_4_8"/>
      <w:bookmarkStart w:id="1313" w:name="Tc_hXQgyCdpG0yQycHNWur4yA_4_5"/>
      <w:bookmarkStart w:id="1314" w:name="Tc_qEPpC-MW2UyJhuaL2hL8ZQ_4_2"/>
      <w:bookmarkStart w:id="1315" w:name="Tc_-KnwtO0K50eUOTirJoRF-w_4_0"/>
      <w:bookmarkStart w:id="1316" w:name="Tc_IoSO8BmNVUynktLfLB96Bw_3_8"/>
      <w:bookmarkStart w:id="1317" w:name="Tc_IB8ZERBnNEy63pbIPag9TA_3_5"/>
      <w:bookmarkStart w:id="1318" w:name="Tc_iHOoCj1FN0en2S7FprswAw_3_2"/>
      <w:bookmarkStart w:id="1319" w:name="Tc_xrcd-s6Ggk2aHet_mJvvJg_3_0"/>
      <w:bookmarkStart w:id="1320" w:name="Tc_UJqe3w0L30m5lj476lokJg_2_5"/>
      <w:bookmarkStart w:id="1321" w:name="Tc_6M1_EUn3y0qSDhnifCDlbw_2_2"/>
      <w:bookmarkStart w:id="1322" w:name="Tc_sNZIbeeCDUORMbBdzVsLkw_1_5"/>
      <w:bookmarkStart w:id="1323" w:name="Tc_bcKyyl85wUS5fY906_dNRQ_1_2"/>
      <w:bookmarkStart w:id="1324" w:name="_0d964c48_8012_4c2f_b655_f9ed4b705b8c"/>
      <w:bookmarkStart w:id="1325" w:name="Tc__oECIDxYvkWKkvG5oMXG1A_6_8"/>
      <w:bookmarkStart w:id="1326" w:name="Tc_lB8LyDKO10aM8NoZf5hpKA_6_5"/>
      <w:bookmarkStart w:id="1327" w:name="Tc_8o34Dfh-MUm0p1FoGDgPEw_6_2"/>
      <w:bookmarkStart w:id="1328" w:name="Tc_wXP2UOn2YE6-lsP3NdzZuA_6_0"/>
      <w:bookmarkStart w:id="1329" w:name="Tc_lhd7UW49UUqbvsQFZCeoiw_5_0"/>
      <w:bookmarkStart w:id="1330" w:name="Tc_DATxMjIBJk2BgdDi948HnQ_4_8"/>
      <w:bookmarkStart w:id="1331" w:name="Tc_sDnPi3xyrEGJ3mtXXfpLFw_4_5"/>
      <w:bookmarkStart w:id="1332" w:name="Tc_mrWWDteNp0WVQEDU-bzjSQ_4_2"/>
      <w:bookmarkStart w:id="1333" w:name="Tc_k-3BKfQQ_UOiav41Rh8bYA_4_0"/>
      <w:bookmarkStart w:id="1334" w:name="Tc_tNr3p-UoNk6jptjgVffvSQ_3_8"/>
      <w:bookmarkStart w:id="1335" w:name="Tc_NSoIzxY1AUKSJoji5M4lxg_3_5"/>
      <w:bookmarkStart w:id="1336" w:name="Tc_lJd8lVCoGEqrAPf-50Hm_w_3_2"/>
      <w:bookmarkStart w:id="1337" w:name="Tc_qviD7i7mAka6fUbyA2BPqw_3_0"/>
      <w:bookmarkStart w:id="1338" w:name="Tc_R4Oss4QNs0a8nmYcZecMmA_2_5"/>
      <w:bookmarkStart w:id="1339" w:name="Tc_k8HikC3KXUyVdhrvhH_0aw_2_2"/>
      <w:bookmarkStart w:id="1340" w:name="Tc_AYPzSk_OjECWxbiTMKePWw_1_5"/>
      <w:bookmarkStart w:id="1341" w:name="Tc_1DVdiF3i8k-vBRKL-Apsvg_1_2"/>
      <w:bookmarkStart w:id="1342" w:name="_e60667c5_45a2_4f67_9535_6dfcc9b3c928"/>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r>
        <w:rPr>
          <w:rFonts w:ascii="Times New Roman;Times;serif" w:hAnsi="Times New Roman;Times;serif"/>
          <w:sz w:val="20"/>
        </w:rPr>
        <w:t xml:space="preserve">During the three and six months ended June 30, 2025 and 2024, the Company recognized interest income from sales-type leases in its consolidated statements of operations as follows ($ in thousands): </w:t>
      </w:r>
    </w:p>
    <w:p>
      <w:pPr>
        <w:pStyle w:val="TextBody"/>
        <w:bidi w:val="0"/>
        <w:spacing w:before="0" w:after="0"/>
        <w:ind w:left="0" w:right="0" w:hanging="0"/>
        <w:jc w:val="left"/>
        <w:rPr/>
      </w:pPr>
      <w:r>
        <w:rPr/>
        <w:t>​</w:t>
      </w:r>
    </w:p>
    <w:tbl>
      <w:tblPr>
        <w:tblW w:w="7772" w:type="dxa"/>
        <w:jc w:val="left"/>
        <w:tblInd w:w="0" w:type="dxa"/>
        <w:tblLayout w:type="fixed"/>
        <w:tblCellMar>
          <w:top w:w="0" w:type="dxa"/>
          <w:left w:w="0" w:type="dxa"/>
          <w:bottom w:w="0" w:type="dxa"/>
          <w:right w:w="0" w:type="dxa"/>
        </w:tblCellMar>
      </w:tblPr>
      <w:tblGrid>
        <w:gridCol w:w="3646"/>
        <w:gridCol w:w="326"/>
        <w:gridCol w:w="285"/>
        <w:gridCol w:w="915"/>
        <w:gridCol w:w="326"/>
        <w:gridCol w:w="225"/>
        <w:gridCol w:w="721"/>
        <w:gridCol w:w="326"/>
        <w:gridCol w:w="211"/>
        <w:gridCol w:w="791"/>
      </w:tblGrid>
      <w:tr>
        <w:trPr/>
        <w:tc>
          <w:tcPr>
            <w:tcW w:w="36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07010" cy="175260"/>
                      <wp:effectExtent l="0" t="0" r="0" b="0"/>
                      <wp:wrapNone/>
                      <wp:docPr id="265" name="Frame2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80975" cy="175260"/>
                      <wp:effectExtent l="0" t="0" r="0" b="0"/>
                      <wp:wrapNone/>
                      <wp:docPr id="266" name="Frame266"/>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581025" cy="175260"/>
                      <wp:effectExtent l="0" t="0" r="0" b="0"/>
                      <wp:wrapNone/>
                      <wp:docPr id="267" name="Frame267"/>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07010" cy="175260"/>
                      <wp:effectExtent l="0" t="0" r="0" b="0"/>
                      <wp:wrapNone/>
                      <wp:docPr id="268" name="Frame2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42875" cy="175260"/>
                      <wp:effectExtent l="0" t="0" r="0" b="0"/>
                      <wp:wrapNone/>
                      <wp:docPr id="269" name="Frame269"/>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457835" cy="175260"/>
                      <wp:effectExtent l="0" t="0" r="0" b="0"/>
                      <wp:wrapNone/>
                      <wp:docPr id="270" name="Frame27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07010" cy="175260"/>
                      <wp:effectExtent l="0" t="0" r="0" b="0"/>
                      <wp:wrapNone/>
                      <wp:docPr id="271" name="Frame2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33985" cy="175260"/>
                      <wp:effectExtent l="0" t="0" r="0" b="0"/>
                      <wp:wrapNone/>
                      <wp:docPr id="272" name="Frame2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502285" cy="175260"/>
                      <wp:effectExtent l="0" t="0" r="0" b="0"/>
                      <wp:wrapNone/>
                      <wp:docPr id="273" name="Frame273"/>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Investment</w:t>
            </w:r>
          </w:p>
        </w:tc>
        <w:tc>
          <w:tcPr>
            <w:tcW w:w="32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Ground </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91" w:type="dxa"/>
            <w:tcBorders/>
            <w:vAlign w:val="center"/>
          </w:tcPr>
          <w:p>
            <w:pPr>
              <w:pStyle w:val="TableContents"/>
              <w:bidi w:val="0"/>
              <w:spacing w:before="0" w:after="0"/>
              <w:ind w:left="0" w:right="0" w:hanging="0"/>
              <w:jc w:val="center"/>
              <w:rPr/>
            </w:pPr>
            <w:r>
              <w:rPr/>
              <w:t>​</w:t>
            </w:r>
          </w:p>
        </w:tc>
      </w:tr>
      <w:tr>
        <w:trPr/>
        <w:tc>
          <w:tcPr>
            <w:tcW w:w="36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Sales-type</w:t>
            </w:r>
          </w:p>
        </w:tc>
        <w:tc>
          <w:tcPr>
            <w:tcW w:w="32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center"/>
              <w:rPr/>
            </w:pPr>
            <w:r>
              <w:rPr/>
              <w:t>​</w:t>
            </w:r>
          </w:p>
        </w:tc>
      </w:tr>
      <w:tr>
        <w:trPr/>
        <w:tc>
          <w:tcPr>
            <w:tcW w:w="3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Three Months Ended June 30, 2025</w:t>
            </w:r>
          </w:p>
        </w:tc>
        <w:tc>
          <w:tcPr>
            <w:tcW w:w="326" w:type="dxa"/>
            <w:tcBorders/>
            <w:vAlign w:val="center"/>
          </w:tcPr>
          <w:p>
            <w:pPr>
              <w:pStyle w:val="TableContents"/>
              <w:bidi w:val="0"/>
              <w:spacing w:before="0" w:after="0"/>
              <w:ind w:left="0" w:right="0" w:hanging="0"/>
              <w:jc w:val="center"/>
              <w:rPr/>
            </w:pPr>
            <w:r>
              <w:rPr/>
              <w:t>    </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26" w:type="dxa"/>
            <w:tcBorders/>
            <w:vAlign w:val="center"/>
          </w:tcPr>
          <w:p>
            <w:pPr>
              <w:pStyle w:val="TableContents"/>
              <w:bidi w:val="0"/>
              <w:spacing w:before="0" w:after="0"/>
              <w:ind w:left="0" w:right="0" w:hanging="0"/>
              <w:jc w:val="center"/>
              <w:rPr/>
            </w:pPr>
            <w:r>
              <w:rPr/>
              <w:t>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Receivables</w:t>
            </w:r>
          </w:p>
        </w:tc>
        <w:tc>
          <w:tcPr>
            <w:tcW w:w="326" w:type="dxa"/>
            <w:tcBorders/>
            <w:vAlign w:val="center"/>
          </w:tcPr>
          <w:p>
            <w:pPr>
              <w:pStyle w:val="TableContents"/>
              <w:bidi w:val="0"/>
              <w:spacing w:before="0" w:after="0"/>
              <w:ind w:left="0" w:right="0" w:hanging="0"/>
              <w:jc w:val="center"/>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28,724</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45,525</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w:t>
            </w:r>
          </w:p>
        </w:tc>
        <w:tc>
          <w:tcPr>
            <w:tcW w:w="326"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16,228</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25,117</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 income from sales-type leases</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44,952</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70,642</w:t>
            </w:r>
          </w:p>
        </w:tc>
      </w:tr>
    </w:tbl>
    <w:p>
      <w:pPr>
        <w:pStyle w:val="TextBody"/>
        <w:bidi w:val="0"/>
        <w:spacing w:before="0" w:after="0"/>
        <w:ind w:left="0" w:right="0" w:hanging="0"/>
        <w:jc w:val="left"/>
        <w:rPr/>
      </w:pPr>
      <w:r>
        <w:rPr/>
        <w:t>​</w:t>
      </w:r>
    </w:p>
    <w:tbl>
      <w:tblPr>
        <w:tblW w:w="7772" w:type="dxa"/>
        <w:jc w:val="left"/>
        <w:tblInd w:w="0" w:type="dxa"/>
        <w:tblLayout w:type="fixed"/>
        <w:tblCellMar>
          <w:top w:w="0" w:type="dxa"/>
          <w:left w:w="0" w:type="dxa"/>
          <w:bottom w:w="0" w:type="dxa"/>
          <w:right w:w="0" w:type="dxa"/>
        </w:tblCellMar>
      </w:tblPr>
      <w:tblGrid>
        <w:gridCol w:w="3646"/>
        <w:gridCol w:w="326"/>
        <w:gridCol w:w="285"/>
        <w:gridCol w:w="915"/>
        <w:gridCol w:w="326"/>
        <w:gridCol w:w="225"/>
        <w:gridCol w:w="721"/>
        <w:gridCol w:w="326"/>
        <w:gridCol w:w="211"/>
        <w:gridCol w:w="791"/>
      </w:tblGrid>
      <w:tr>
        <w:trPr/>
        <w:tc>
          <w:tcPr>
            <w:tcW w:w="3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315210" cy="175260"/>
                      <wp:effectExtent l="0" t="0" r="0" b="0"/>
                      <wp:wrapNone/>
                      <wp:docPr id="274" name="Frame274"/>
                      <a:graphic xmlns:a="http://schemas.openxmlformats.org/drawingml/2006/main">
                        <a:graphicData uri="http://schemas.microsoft.com/office/word/2010/wordprocessingShape">
                          <wps:wsp>
                            <wps:cNvSpPr txBox="1"/>
                            <wps:spPr>
                              <a:xfrm>
                                <a:off x="0" y="0"/>
                                <a:ext cx="2315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75" name="Frame2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80975" cy="175260"/>
                      <wp:effectExtent l="0" t="0" r="0" b="0"/>
                      <wp:wrapNone/>
                      <wp:docPr id="276" name="Frame276"/>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581025" cy="175260"/>
                      <wp:effectExtent l="0" t="0" r="0" b="0"/>
                      <wp:wrapNone/>
                      <wp:docPr id="277" name="Frame277"/>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8" name="Frame2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42875" cy="175260"/>
                      <wp:effectExtent l="0" t="0" r="0" b="0"/>
                      <wp:wrapNone/>
                      <wp:docPr id="279" name="Frame279"/>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457835" cy="175260"/>
                      <wp:effectExtent l="0" t="0" r="0" b="0"/>
                      <wp:wrapNone/>
                      <wp:docPr id="280" name="Frame28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7010" cy="175260"/>
                      <wp:effectExtent l="0" t="0" r="0" b="0"/>
                      <wp:wrapNone/>
                      <wp:docPr id="281" name="Frame2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33985" cy="175260"/>
                      <wp:effectExtent l="0" t="0" r="0" b="0"/>
                      <wp:wrapNone/>
                      <wp:docPr id="282" name="Frame2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502285" cy="175260"/>
                      <wp:effectExtent l="0" t="0" r="0" b="0"/>
                      <wp:wrapNone/>
                      <wp:docPr id="283" name="Frame283"/>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4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2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Investment</w:t>
            </w:r>
          </w:p>
        </w:tc>
        <w:tc>
          <w:tcPr>
            <w:tcW w:w="326" w:type="dxa"/>
            <w:tcBorders/>
            <w:vAlign w:val="center"/>
          </w:tcPr>
          <w:p>
            <w:pPr>
              <w:pStyle w:val="TableContents"/>
              <w:bidi w:val="0"/>
              <w:spacing w:before="0" w:after="1"/>
              <w:ind w:left="0" w:right="0" w:hanging="0"/>
              <w:jc w:val="center"/>
              <w:rPr/>
            </w:pPr>
            <w:r>
              <w:rPr/>
              <w:t>    </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Ground </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center"/>
              <w:rPr/>
            </w:pPr>
            <w:r>
              <w:rPr/>
              <w:t>​</w:t>
            </w:r>
          </w:p>
        </w:tc>
      </w:tr>
      <w:tr>
        <w:trPr/>
        <w:tc>
          <w:tcPr>
            <w:tcW w:w="36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Sales-type</w:t>
            </w:r>
          </w:p>
        </w:tc>
        <w:tc>
          <w:tcPr>
            <w:tcW w:w="326" w:type="dxa"/>
            <w:tcBorders/>
            <w:vAlign w:val="center"/>
          </w:tcPr>
          <w:p>
            <w:pPr>
              <w:pStyle w:val="TableContents"/>
              <w:bidi w:val="0"/>
              <w:spacing w:before="0" w:after="1"/>
              <w:ind w:left="0" w:right="0" w:hanging="0"/>
              <w:jc w:val="center"/>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center"/>
              <w:rPr/>
            </w:pPr>
            <w:r>
              <w:rPr/>
              <w:t>​</w:t>
            </w:r>
          </w:p>
        </w:tc>
      </w:tr>
      <w:tr>
        <w:trPr/>
        <w:tc>
          <w:tcPr>
            <w:tcW w:w="36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Three Months Ended June 30, 2024</w:t>
            </w:r>
          </w:p>
        </w:tc>
        <w:tc>
          <w:tcPr>
            <w:tcW w:w="326" w:type="dxa"/>
            <w:tcBorders/>
            <w:vAlign w:val="center"/>
          </w:tcPr>
          <w:p>
            <w:pPr>
              <w:pStyle w:val="TableContents"/>
              <w:bidi w:val="0"/>
              <w:spacing w:before="0" w:after="1"/>
              <w:ind w:left="0" w:right="0" w:hanging="0"/>
              <w:jc w:val="center"/>
              <w:rPr/>
            </w:pPr>
            <w:r>
              <w:rPr/>
              <w:t>​</w:t>
            </w:r>
          </w:p>
        </w:tc>
        <w:tc>
          <w:tcPr>
            <w:tcW w:w="12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26" w:type="dxa"/>
            <w:tcBorders/>
            <w:vAlign w:val="center"/>
          </w:tcPr>
          <w:p>
            <w:pPr>
              <w:pStyle w:val="TableContents"/>
              <w:bidi w:val="0"/>
              <w:spacing w:before="0" w:after="1"/>
              <w:ind w:left="0" w:right="0" w:hanging="0"/>
              <w:jc w:val="center"/>
              <w:rPr/>
            </w:pPr>
            <w:r>
              <w:rPr/>
              <w:t>​</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Receivables</w:t>
            </w:r>
          </w:p>
        </w:tc>
        <w:tc>
          <w:tcPr>
            <w:tcW w:w="326" w:type="dxa"/>
            <w:tcBorders/>
            <w:vAlign w:val="center"/>
          </w:tcPr>
          <w:p>
            <w:pPr>
              <w:pStyle w:val="TableContents"/>
              <w:bidi w:val="0"/>
              <w:spacing w:before="0" w:after="1"/>
              <w:ind w:left="0" w:right="0" w:hanging="0"/>
              <w:jc w:val="center"/>
              <w:rPr/>
            </w:pPr>
            <w:r>
              <w:rPr/>
              <w:t>​</w:t>
            </w:r>
          </w:p>
        </w:tc>
        <w:tc>
          <w:tcPr>
            <w:tcW w:w="10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27,846</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42,672</w:t>
            </w:r>
          </w:p>
        </w:tc>
      </w:tr>
      <w:tr>
        <w:trPr/>
        <w:tc>
          <w:tcPr>
            <w:tcW w:w="36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w:t>
            </w:r>
          </w:p>
        </w:tc>
        <w:tc>
          <w:tcPr>
            <w:tcW w:w="326" w:type="dxa"/>
            <w:tcBorders/>
            <w:vAlign w:val="center"/>
          </w:tcPr>
          <w:p>
            <w:pPr>
              <w:pStyle w:val="TableContents"/>
              <w:bidi w:val="0"/>
              <w:spacing w:before="0" w:after="1"/>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15,026</w:t>
            </w:r>
          </w:p>
        </w:tc>
        <w:tc>
          <w:tcPr>
            <w:tcW w:w="32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7,537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22,563</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interest income from sales-type leases</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42,872</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22,363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65,235</w:t>
            </w:r>
          </w:p>
        </w:tc>
      </w:tr>
    </w:tbl>
    <w:p>
      <w:pPr>
        <w:pStyle w:val="TextBody"/>
        <w:bidi w:val="0"/>
        <w:spacing w:before="0" w:after="0"/>
        <w:ind w:left="0" w:right="0" w:hanging="0"/>
        <w:jc w:val="left"/>
        <w:rPr/>
      </w:pPr>
      <w:r>
        <w:rPr/>
        <w:t>​</w:t>
      </w:r>
    </w:p>
    <w:tbl>
      <w:tblPr>
        <w:tblW w:w="7867" w:type="dxa"/>
        <w:jc w:val="left"/>
        <w:tblInd w:w="0" w:type="dxa"/>
        <w:tblLayout w:type="fixed"/>
        <w:tblCellMar>
          <w:top w:w="0" w:type="dxa"/>
          <w:left w:w="0" w:type="dxa"/>
          <w:bottom w:w="0" w:type="dxa"/>
          <w:right w:w="0" w:type="dxa"/>
        </w:tblCellMar>
      </w:tblPr>
      <w:tblGrid>
        <w:gridCol w:w="3646"/>
        <w:gridCol w:w="326"/>
        <w:gridCol w:w="285"/>
        <w:gridCol w:w="915"/>
        <w:gridCol w:w="326"/>
        <w:gridCol w:w="225"/>
        <w:gridCol w:w="721"/>
        <w:gridCol w:w="326"/>
        <w:gridCol w:w="211"/>
        <w:gridCol w:w="886"/>
      </w:tblGrid>
      <w:tr>
        <w:trPr/>
        <w:tc>
          <w:tcPr>
            <w:tcW w:w="36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07010" cy="175260"/>
                      <wp:effectExtent l="0" t="0" r="0" b="0"/>
                      <wp:wrapNone/>
                      <wp:docPr id="284" name="Frame2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80975" cy="175260"/>
                      <wp:effectExtent l="0" t="0" r="0" b="0"/>
                      <wp:wrapNone/>
                      <wp:docPr id="285" name="Frame285"/>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581025" cy="175260"/>
                      <wp:effectExtent l="0" t="0" r="0" b="0"/>
                      <wp:wrapNone/>
                      <wp:docPr id="286" name="Frame286"/>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07010" cy="175260"/>
                      <wp:effectExtent l="0" t="0" r="0" b="0"/>
                      <wp:wrapNone/>
                      <wp:docPr id="287" name="Frame2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42875" cy="175260"/>
                      <wp:effectExtent l="0" t="0" r="0" b="0"/>
                      <wp:wrapNone/>
                      <wp:docPr id="288" name="Frame288"/>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457835" cy="175260"/>
                      <wp:effectExtent l="0" t="0" r="0" b="0"/>
                      <wp:wrapNone/>
                      <wp:docPr id="289" name="Frame28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7010" cy="175260"/>
                      <wp:effectExtent l="0" t="0" r="0" b="0"/>
                      <wp:wrapNone/>
                      <wp:docPr id="290" name="Frame2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33985" cy="175260"/>
                      <wp:effectExtent l="0" t="0" r="0" b="0"/>
                      <wp:wrapNone/>
                      <wp:docPr id="291" name="Frame2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562610" cy="175260"/>
                      <wp:effectExtent l="0" t="0" r="0" b="0"/>
                      <wp:wrapNone/>
                      <wp:docPr id="292" name="Frame29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Investment</w:t>
            </w:r>
          </w:p>
        </w:tc>
        <w:tc>
          <w:tcPr>
            <w:tcW w:w="32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Ground </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36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Sales-type</w:t>
            </w:r>
          </w:p>
        </w:tc>
        <w:tc>
          <w:tcPr>
            <w:tcW w:w="32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3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Six Months Ended June 30, 2025</w:t>
            </w:r>
          </w:p>
        </w:tc>
        <w:tc>
          <w:tcPr>
            <w:tcW w:w="326" w:type="dxa"/>
            <w:tcBorders/>
            <w:vAlign w:val="center"/>
          </w:tcPr>
          <w:p>
            <w:pPr>
              <w:pStyle w:val="TableContents"/>
              <w:bidi w:val="0"/>
              <w:spacing w:before="0" w:after="0"/>
              <w:ind w:left="0" w:right="0" w:hanging="0"/>
              <w:jc w:val="center"/>
              <w:rPr/>
            </w:pPr>
            <w:r>
              <w:rPr/>
              <w:t>    </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26" w:type="dxa"/>
            <w:tcBorders/>
            <w:vAlign w:val="center"/>
          </w:tcPr>
          <w:p>
            <w:pPr>
              <w:pStyle w:val="TableContents"/>
              <w:bidi w:val="0"/>
              <w:spacing w:before="0" w:after="0"/>
              <w:ind w:left="0" w:right="0" w:hanging="0"/>
              <w:jc w:val="center"/>
              <w:rPr/>
            </w:pPr>
            <w:r>
              <w:rPr/>
              <w:t>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Receivables</w:t>
            </w:r>
          </w:p>
        </w:tc>
        <w:tc>
          <w:tcPr>
            <w:tcW w:w="326" w:type="dxa"/>
            <w:tcBorders/>
            <w:vAlign w:val="center"/>
          </w:tcPr>
          <w:p>
            <w:pPr>
              <w:pStyle w:val="TableContents"/>
              <w:bidi w:val="0"/>
              <w:spacing w:before="0" w:after="0"/>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57,627</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90,800</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w:t>
            </w:r>
          </w:p>
        </w:tc>
        <w:tc>
          <w:tcPr>
            <w:tcW w:w="326"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32,043</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17,463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49,506</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 income from sales-type leases</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89,670</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140,306</w:t>
            </w:r>
          </w:p>
        </w:tc>
      </w:tr>
    </w:tbl>
    <w:p>
      <w:pPr>
        <w:pStyle w:val="TextBody"/>
        <w:bidi w:val="0"/>
        <w:spacing w:before="0" w:after="0"/>
        <w:ind w:left="0" w:right="0" w:hanging="0"/>
        <w:jc w:val="left"/>
        <w:rPr/>
      </w:pPr>
      <w:r>
        <w:rPr/>
        <w:t>​</w:t>
      </w:r>
    </w:p>
    <w:tbl>
      <w:tblPr>
        <w:tblW w:w="7877" w:type="dxa"/>
        <w:jc w:val="left"/>
        <w:tblInd w:w="0" w:type="dxa"/>
        <w:tblLayout w:type="fixed"/>
        <w:tblCellMar>
          <w:top w:w="0" w:type="dxa"/>
          <w:left w:w="0" w:type="dxa"/>
          <w:bottom w:w="0" w:type="dxa"/>
          <w:right w:w="0" w:type="dxa"/>
        </w:tblCellMar>
      </w:tblPr>
      <w:tblGrid>
        <w:gridCol w:w="3646"/>
        <w:gridCol w:w="326"/>
        <w:gridCol w:w="285"/>
        <w:gridCol w:w="915"/>
        <w:gridCol w:w="326"/>
        <w:gridCol w:w="225"/>
        <w:gridCol w:w="721"/>
        <w:gridCol w:w="326"/>
        <w:gridCol w:w="211"/>
        <w:gridCol w:w="896"/>
      </w:tblGrid>
      <w:tr>
        <w:trPr/>
        <w:tc>
          <w:tcPr>
            <w:tcW w:w="3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315210" cy="175260"/>
                      <wp:effectExtent l="0" t="0" r="0" b="0"/>
                      <wp:wrapNone/>
                      <wp:docPr id="293" name="Frame293"/>
                      <a:graphic xmlns:a="http://schemas.openxmlformats.org/drawingml/2006/main">
                        <a:graphicData uri="http://schemas.microsoft.com/office/word/2010/wordprocessingShape">
                          <wps:wsp>
                            <wps:cNvSpPr txBox="1"/>
                            <wps:spPr>
                              <a:xfrm>
                                <a:off x="0" y="0"/>
                                <a:ext cx="2315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07010" cy="175260"/>
                      <wp:effectExtent l="0" t="0" r="0" b="0"/>
                      <wp:wrapNone/>
                      <wp:docPr id="294" name="Frame2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80975" cy="175260"/>
                      <wp:effectExtent l="0" t="0" r="0" b="0"/>
                      <wp:wrapNone/>
                      <wp:docPr id="295" name="Frame295"/>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581025" cy="175260"/>
                      <wp:effectExtent l="0" t="0" r="0" b="0"/>
                      <wp:wrapNone/>
                      <wp:docPr id="296" name="Frame296"/>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07010" cy="175260"/>
                      <wp:effectExtent l="0" t="0" r="0" b="0"/>
                      <wp:wrapNone/>
                      <wp:docPr id="297" name="Frame2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42875" cy="175260"/>
                      <wp:effectExtent l="0" t="0" r="0" b="0"/>
                      <wp:wrapNone/>
                      <wp:docPr id="298" name="Frame298"/>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457835" cy="175260"/>
                      <wp:effectExtent l="0" t="0" r="0" b="0"/>
                      <wp:wrapNone/>
                      <wp:docPr id="299" name="Frame29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07010" cy="175260"/>
                      <wp:effectExtent l="0" t="0" r="0" b="0"/>
                      <wp:wrapNone/>
                      <wp:docPr id="300" name="Frame3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33985" cy="175260"/>
                      <wp:effectExtent l="0" t="0" r="0" b="0"/>
                      <wp:wrapNone/>
                      <wp:docPr id="301" name="Frame3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568960" cy="175260"/>
                      <wp:effectExtent l="0" t="0" r="0" b="0"/>
                      <wp:wrapNone/>
                      <wp:docPr id="302" name="Frame302"/>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Investment</w:t>
            </w:r>
          </w:p>
        </w:tc>
        <w:tc>
          <w:tcPr>
            <w:tcW w:w="326" w:type="dxa"/>
            <w:tcBorders/>
            <w:vAlign w:val="center"/>
          </w:tcPr>
          <w:p>
            <w:pPr>
              <w:pStyle w:val="TableContents"/>
              <w:bidi w:val="0"/>
              <w:spacing w:before="0" w:after="0"/>
              <w:ind w:left="0" w:right="0" w:hanging="0"/>
              <w:jc w:val="center"/>
              <w:rPr/>
            </w:pPr>
            <w:r>
              <w:rPr/>
              <w:t>    </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Ground </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center"/>
              <w:rPr/>
            </w:pPr>
            <w:r>
              <w:rPr/>
              <w:t>​</w:t>
            </w:r>
          </w:p>
        </w:tc>
      </w:tr>
      <w:tr>
        <w:trPr/>
        <w:tc>
          <w:tcPr>
            <w:tcW w:w="36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Sales-type</w:t>
            </w:r>
          </w:p>
        </w:tc>
        <w:tc>
          <w:tcPr>
            <w:tcW w:w="32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center"/>
              <w:rPr/>
            </w:pPr>
            <w:r>
              <w:rPr/>
              <w:t>​</w:t>
            </w:r>
          </w:p>
        </w:tc>
      </w:tr>
      <w:tr>
        <w:trPr/>
        <w:tc>
          <w:tcPr>
            <w:tcW w:w="3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Six Months Ended June 30, 2024</w:t>
            </w:r>
          </w:p>
        </w:tc>
        <w:tc>
          <w:tcPr>
            <w:tcW w:w="326" w:type="dxa"/>
            <w:tcBorders/>
            <w:vAlign w:val="center"/>
          </w:tcPr>
          <w:p>
            <w:pPr>
              <w:pStyle w:val="TableContents"/>
              <w:bidi w:val="0"/>
              <w:spacing w:before="0" w:after="0"/>
              <w:ind w:left="0" w:right="0" w:hanging="0"/>
              <w:jc w:val="center"/>
              <w:rPr/>
            </w:pPr>
            <w:r>
              <w:rPr/>
              <w:t>​</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26" w:type="dxa"/>
            <w:tcBorders/>
            <w:vAlign w:val="center"/>
          </w:tcPr>
          <w:p>
            <w:pPr>
              <w:pStyle w:val="TableContents"/>
              <w:bidi w:val="0"/>
              <w:spacing w:before="0" w:after="0"/>
              <w:ind w:left="0" w:right="0" w:hanging="0"/>
              <w:jc w:val="center"/>
              <w:rPr/>
            </w:pPr>
            <w:r>
              <w:rPr/>
              <w:t>​</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Receivables</w:t>
            </w:r>
          </w:p>
        </w:tc>
        <w:tc>
          <w:tcPr>
            <w:tcW w:w="326" w:type="dxa"/>
            <w:tcBorders/>
            <w:vAlign w:val="center"/>
          </w:tcPr>
          <w:p>
            <w:pPr>
              <w:pStyle w:val="TableContents"/>
              <w:bidi w:val="0"/>
              <w:spacing w:before="0" w:after="0"/>
              <w:ind w:left="0" w:right="0" w:hanging="0"/>
              <w:jc w:val="center"/>
              <w:rPr/>
            </w:pPr>
            <w:r>
              <w:rPr/>
              <w:t>​</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55,116</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84,033</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w:t>
            </w:r>
          </w:p>
        </w:tc>
        <w:tc>
          <w:tcPr>
            <w:tcW w:w="326"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29,953</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14,467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44,420</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 income from sales-type leases</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85,069</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128,453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1343" w:name="Tc_5PVgRlX_HkyvX2V8kmIx6A_7_8"/>
      <w:bookmarkStart w:id="1344" w:name="Tc_QCSgYwYbH0qD_dYf1O3otg_7_5"/>
      <w:bookmarkStart w:id="1345" w:name="Tc_Bq0d0-xNikOAZobEPH41HQ_7_2"/>
      <w:bookmarkStart w:id="1346" w:name="Tc_dMnv4aKeFEa-4qTNSvCMWQ_7_0"/>
      <w:bookmarkStart w:id="1347" w:name="Tc_UaqhrIi8NkaVASckYPW7og_6_0"/>
      <w:bookmarkStart w:id="1348" w:name="Tc_V_ahdIOGQkeXbyzhwGa2YA_5_0"/>
      <w:bookmarkStart w:id="1349" w:name="Tc_6CtDBhpBcUOnrJVsCAV48w_4_8"/>
      <w:bookmarkStart w:id="1350" w:name="Tc_vmt9YiFYkkuey4PzzQI9wg_4_5"/>
      <w:bookmarkStart w:id="1351" w:name="Tc_8J_fP6Q8b0OX9YO6hLxsZg_4_2"/>
      <w:bookmarkStart w:id="1352" w:name="Tc_8P4hs0edY0GS7uEgGgqzxQ_4_0"/>
      <w:bookmarkStart w:id="1353" w:name="Tc_N-v5DP_7HEGO6qOiRQk49A_3_8"/>
      <w:bookmarkStart w:id="1354" w:name="Tc_vEimjR3i2kewio5awAZaww_3_5"/>
      <w:bookmarkStart w:id="1355" w:name="Tc_IsyBUCTCIEOUrltKmedY7A_3_2"/>
      <w:bookmarkStart w:id="1356" w:name="Tc__QZVgvbOd0mIWIOJYZnQQw_2_8"/>
      <w:bookmarkStart w:id="1357" w:name="Tc_vxko_OztIkGFEWPWacj_iQ_2_5"/>
      <w:bookmarkStart w:id="1358" w:name="Tc_gnin8H042UOFiKXYlMH1UQ_2_2"/>
      <w:bookmarkStart w:id="1359" w:name="Tc_fRQW9Mhw40eMK8XPnMz7Xw_1_2"/>
      <w:bookmarkStart w:id="1360" w:name="_d886e38b_8782_4a11_a54d_67830d7454bb"/>
      <w:bookmarkStart w:id="1361" w:name="Tc_1ModEOJC6Uay_HgFC_MKKA_7_8"/>
      <w:bookmarkStart w:id="1362" w:name="Tc_xLTRNFdyzkO1wZg1e4Mp8A_7_5"/>
      <w:bookmarkStart w:id="1363" w:name="Tc_Q5iAaXPh9UKOGuyDWDQGCA_7_2"/>
      <w:bookmarkStart w:id="1364" w:name="Tc_oiGkKBmg4kyff_AutPg-ZA_7_0"/>
      <w:bookmarkStart w:id="1365" w:name="Tc_n5umqfvEw0y5occEopQZJw_6_0"/>
      <w:bookmarkStart w:id="1366" w:name="Tc_5w5mqVXqiE-OXQGXieBmdw_5_0"/>
      <w:bookmarkStart w:id="1367" w:name="Tc_RVKeStTB3UK0HYP2wbsArg_4_8"/>
      <w:bookmarkStart w:id="1368" w:name="Tc_bXbRfIboh0eMVqFTUS0Z4w_4_5"/>
      <w:bookmarkStart w:id="1369" w:name="Tc_bfENTsfxYkasVydCJjpy8A_4_2"/>
      <w:bookmarkStart w:id="1370" w:name="Tc_vBft4sBxSEyAurQ2DUxbTg_4_0"/>
      <w:bookmarkStart w:id="1371" w:name="Tc_HirT3KItF0abQzC-7Km6OQ_3_8"/>
      <w:bookmarkStart w:id="1372" w:name="Tc_PnKUfH3ZLESBVwgpLMutpQ_3_5"/>
      <w:bookmarkStart w:id="1373" w:name="Tc_Z4YxDs9pNkm21JHVKXTxPg_3_2"/>
      <w:bookmarkStart w:id="1374" w:name="Tc_Jd3PhHSsa0SMb-adIEa_8g_2_8"/>
      <w:bookmarkStart w:id="1375" w:name="Tc_eBRH3C68PUiHLfOJxg-y1g_2_5"/>
      <w:bookmarkStart w:id="1376" w:name="Tc_c7RzKfhS00aZokv1RSbLnA_2_2"/>
      <w:bookmarkStart w:id="1377" w:name="Tc_qXaT1WLQ2kuZZILly3T4Kw_1_2"/>
      <w:bookmarkStart w:id="1378" w:name="_fdfccfb5_08eb_42e2_9e86_3c14e5bc4b34"/>
      <w:bookmarkStart w:id="1379" w:name="Tc_ulAtDNBvrE27Na5-So-OPA_9_5"/>
      <w:bookmarkStart w:id="1380" w:name="Tc_U-g_ZsE820WsCOmQaEfy9Q_9_2"/>
      <w:bookmarkStart w:id="1381" w:name="Tc_-6u8GcLLY0qMHR_0wzicYA_9_0"/>
      <w:bookmarkStart w:id="1382" w:name="Tc_92sLgh_K80-VQdXbPnCu2g_8_0"/>
      <w:bookmarkStart w:id="1383" w:name="Tc_mw5u7K8TcUKzttg51sogVQ_7_0"/>
      <w:bookmarkStart w:id="1384" w:name="Tc_w4ZBKkwPTUumTcmi9BzsoQ_6_5"/>
      <w:bookmarkStart w:id="1385" w:name="Tc_BDFDjuGAb0aLwVV_ps3YxA_6_2"/>
      <w:bookmarkStart w:id="1386" w:name="Tc_6jD78Jl65UaRX_PThEbeTg_6_0"/>
      <w:bookmarkStart w:id="1387" w:name="Tc_Mk0DecRsTUapxSqbc9hHWQ_5_0"/>
      <w:bookmarkStart w:id="1388" w:name="Tc_TR6gZ_C1T02f_x3Mu5io-Q_4_0"/>
      <w:bookmarkStart w:id="1389" w:name="Tc_ByMvghRAGEa6cjkROuhfXw_3_5"/>
      <w:bookmarkStart w:id="1390" w:name="Tc_xuZCjyA4xU2SvP26f-P7QQ_3_2"/>
      <w:bookmarkStart w:id="1391" w:name="Tc_6fIl46j9-k2VUdEibiyfOQ_3_0"/>
      <w:bookmarkStart w:id="1392" w:name="Tc_he9AHtzBv0qvu_4_tQaLnw_2_5"/>
      <w:bookmarkStart w:id="1393" w:name="Tc_yvJRgdOhQUmvCTaQABCHKw_2_2"/>
      <w:bookmarkStart w:id="1394" w:name="Tc_mGsS0ihB-kqNloMl-FwuGA_1_2"/>
      <w:bookmarkStart w:id="1395" w:name="_3a938e74_fb65_4b66_9956_7fa78a1c87a6"/>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r>
        <w:rPr>
          <w:rFonts w:ascii="Times New Roman;Times;serif" w:hAnsi="Times New Roman;Times;serif"/>
          <w:b/>
          <w:sz w:val="20"/>
        </w:rPr>
        <w:t>Note 5—Real Estate, Real Estate-Related Intangibles and Real Estate Available and Held for Sale</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 xml:space="preserve">The Company’s real estate assets consist of the following ($ in thousands): </w:t>
      </w:r>
    </w:p>
    <w:tbl>
      <w:tblPr>
        <w:tblW w:w="10205" w:type="dxa"/>
        <w:jc w:val="left"/>
        <w:tblInd w:w="0" w:type="dxa"/>
        <w:tblLayout w:type="fixed"/>
        <w:tblCellMar>
          <w:top w:w="0" w:type="dxa"/>
          <w:left w:w="0" w:type="dxa"/>
          <w:bottom w:w="0" w:type="dxa"/>
          <w:right w:w="0" w:type="dxa"/>
        </w:tblCellMar>
      </w:tblPr>
      <w:tblGrid>
        <w:gridCol w:w="6881"/>
        <w:gridCol w:w="326"/>
        <w:gridCol w:w="239"/>
        <w:gridCol w:w="887"/>
        <w:gridCol w:w="326"/>
        <w:gridCol w:w="297"/>
        <w:gridCol w:w="1249"/>
      </w:tblGrid>
      <w:tr>
        <w:trPr/>
        <w:tc>
          <w:tcPr>
            <w:tcW w:w="6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4369435" cy="175260"/>
                      <wp:effectExtent l="0" t="0" r="0" b="0"/>
                      <wp:wrapNone/>
                      <wp:docPr id="303" name="Frame303"/>
                      <a:graphic xmlns:a="http://schemas.openxmlformats.org/drawingml/2006/main">
                        <a:graphicData uri="http://schemas.microsoft.com/office/word/2010/wordprocessingShape">
                          <wps:wsp>
                            <wps:cNvSpPr txBox="1"/>
                            <wps:spPr>
                              <a:xfrm>
                                <a:off x="0" y="0"/>
                                <a:ext cx="436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7010" cy="175260"/>
                      <wp:effectExtent l="0" t="0" r="0" b="0"/>
                      <wp:wrapNone/>
                      <wp:docPr id="304" name="Frame3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51765" cy="175260"/>
                      <wp:effectExtent l="0" t="0" r="0" b="0"/>
                      <wp:wrapNone/>
                      <wp:docPr id="305" name="Frame305"/>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563245" cy="175260"/>
                      <wp:effectExtent l="0" t="0" r="0" b="0"/>
                      <wp:wrapNone/>
                      <wp:docPr id="306" name="Frame306"/>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07010" cy="175260"/>
                      <wp:effectExtent l="0" t="0" r="0" b="0"/>
                      <wp:wrapNone/>
                      <wp:docPr id="307" name="Frame3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88595" cy="175260"/>
                      <wp:effectExtent l="0" t="0" r="0" b="0"/>
                      <wp:wrapNone/>
                      <wp:docPr id="308" name="Frame308"/>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793115" cy="175260"/>
                      <wp:effectExtent l="0" t="0" r="0" b="0"/>
                      <wp:wrapNone/>
                      <wp:docPr id="309" name="Frame309"/>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9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6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26" w:type="dxa"/>
            <w:tcBorders/>
            <w:vAlign w:val="center"/>
          </w:tcPr>
          <w:p>
            <w:pPr>
              <w:pStyle w:val="TableContents"/>
              <w:bidi w:val="0"/>
              <w:spacing w:before="0" w:after="0"/>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6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and land improvements, at cost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547,739</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547,739</w:t>
            </w:r>
          </w:p>
        </w:tc>
      </w:tr>
      <w:tr>
        <w:trPr/>
        <w:tc>
          <w:tcPr>
            <w:tcW w:w="6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 and improvements, at cost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193,232</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193,232</w:t>
            </w:r>
          </w:p>
        </w:tc>
      </w:tr>
      <w:tr>
        <w:trPr/>
        <w:tc>
          <w:tcPr>
            <w:tcW w:w="6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(49,373)</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(46,428)</w:t>
            </w:r>
          </w:p>
        </w:tc>
      </w:tr>
      <w:tr>
        <w:trPr/>
        <w:tc>
          <w:tcPr>
            <w:tcW w:w="6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real estate, net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691,598</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694,543</w:t>
            </w:r>
          </w:p>
        </w:tc>
      </w:tr>
      <w:tr>
        <w:trPr/>
        <w:tc>
          <w:tcPr>
            <w:tcW w:w="6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estate-related intangible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206,782</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208,731</w:t>
            </w:r>
          </w:p>
        </w:tc>
      </w:tr>
      <w:tr>
        <w:trPr/>
        <w:tc>
          <w:tcPr>
            <w:tcW w:w="6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available and held for sale</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5,187</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7,233</w:t>
            </w:r>
          </w:p>
        </w:tc>
      </w:tr>
      <w:tr>
        <w:trPr/>
        <w:tc>
          <w:tcPr>
            <w:tcW w:w="6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real estate, net and real estate-related intangible assets, net and real estate available and held for sale</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903,567</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910,507</w:t>
            </w:r>
          </w:p>
        </w:tc>
      </w:tr>
    </w:tbl>
    <w:p>
      <w:pPr>
        <w:pStyle w:val="TextBody"/>
        <w:bidi w:val="0"/>
        <w:spacing w:before="0" w:after="0"/>
        <w:ind w:left="360" w:right="0" w:hanging="0"/>
        <w:jc w:val="both"/>
        <w:rPr/>
      </w:pPr>
      <w:r>
        <w:rPr/>
        <w:t>​</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 xml:space="preserve">Real estate-related intangible assets, net consist of the following items ($ in thousands): </w:t>
      </w:r>
    </w:p>
    <w:tbl>
      <w:tblPr>
        <w:tblW w:w="6475" w:type="dxa"/>
        <w:jc w:val="left"/>
        <w:tblInd w:w="0" w:type="dxa"/>
        <w:tblLayout w:type="fixed"/>
        <w:tblCellMar>
          <w:top w:w="0" w:type="dxa"/>
          <w:left w:w="0" w:type="dxa"/>
          <w:bottom w:w="0" w:type="dxa"/>
          <w:right w:w="0" w:type="dxa"/>
        </w:tblCellMar>
      </w:tblPr>
      <w:tblGrid>
        <w:gridCol w:w="2746"/>
        <w:gridCol w:w="326"/>
        <w:gridCol w:w="211"/>
        <w:gridCol w:w="781"/>
        <w:gridCol w:w="109"/>
        <w:gridCol w:w="244"/>
        <w:gridCol w:w="852"/>
        <w:gridCol w:w="109"/>
        <w:gridCol w:w="211"/>
        <w:gridCol w:w="886"/>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743710" cy="175260"/>
                      <wp:effectExtent l="0" t="0" r="0" b="0"/>
                      <wp:wrapNone/>
                      <wp:docPr id="310" name="Frame310"/>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07010" cy="175260"/>
                      <wp:effectExtent l="0" t="0" r="0" b="0"/>
                      <wp:wrapNone/>
                      <wp:docPr id="311" name="Frame3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33985" cy="175260"/>
                      <wp:effectExtent l="0" t="0" r="0" b="0"/>
                      <wp:wrapNone/>
                      <wp:docPr id="312" name="Frame3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495935" cy="175260"/>
                      <wp:effectExtent l="0" t="0" r="0" b="0"/>
                      <wp:wrapNone/>
                      <wp:docPr id="313" name="Frame31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9215" cy="175260"/>
                      <wp:effectExtent l="0" t="0" r="0" b="0"/>
                      <wp:wrapNone/>
                      <wp:docPr id="314" name="Frame3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54940" cy="175260"/>
                      <wp:effectExtent l="0" t="0" r="0" b="0"/>
                      <wp:wrapNone/>
                      <wp:docPr id="315" name="Frame315"/>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541020" cy="175260"/>
                      <wp:effectExtent l="0" t="0" r="0" b="0"/>
                      <wp:wrapNone/>
                      <wp:docPr id="316" name="Frame316"/>
                      <a:graphic xmlns:a="http://schemas.openxmlformats.org/drawingml/2006/main">
                        <a:graphicData uri="http://schemas.microsoft.com/office/word/2010/wordprocessingShape">
                          <wps:wsp>
                            <wps:cNvSpPr txBox="1"/>
                            <wps:spPr>
                              <a:xfrm>
                                <a:off x="0" y="0"/>
                                <a:ext cx="541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9215" cy="175260"/>
                      <wp:effectExtent l="0" t="0" r="0" b="0"/>
                      <wp:wrapNone/>
                      <wp:docPr id="317" name="Frame3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33985" cy="175260"/>
                      <wp:effectExtent l="0" t="0" r="0" b="0"/>
                      <wp:wrapNone/>
                      <wp:docPr id="318" name="Frame3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562610" cy="175260"/>
                      <wp:effectExtent l="0" t="0" r="0" b="0"/>
                      <wp:wrapNone/>
                      <wp:docPr id="319" name="Frame31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40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2025</w:t>
            </w:r>
          </w:p>
        </w:tc>
      </w:tr>
      <w:tr>
        <w:trPr/>
        <w:tc>
          <w:tcPr>
            <w:tcW w:w="2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w:t>
            </w:r>
          </w:p>
        </w:tc>
        <w:tc>
          <w:tcPr>
            <w:tcW w:w="109"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109"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Carrying</w:t>
            </w:r>
            <w:r>
              <w:rPr>
                <w:rFonts w:ascii="Times New Roman;Times;serif" w:hAnsi="Times New Roman;Times;serif"/>
                <w:sz w:val="16"/>
              </w:rPr>
              <w:t> </w:t>
            </w:r>
          </w:p>
        </w:tc>
      </w:tr>
      <w:tr>
        <w:trPr/>
        <w:tc>
          <w:tcPr>
            <w:tcW w:w="2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Intangible</w:t>
            </w:r>
          </w:p>
        </w:tc>
        <w:tc>
          <w:tcPr>
            <w:tcW w:w="109" w:type="dxa"/>
            <w:tcBorders/>
            <w:vAlign w:val="center"/>
          </w:tcPr>
          <w:p>
            <w:pPr>
              <w:pStyle w:val="TableContents"/>
              <w:bidi w:val="0"/>
              <w:spacing w:before="0" w:after="0"/>
              <w:ind w:left="0" w:right="0" w:hanging="0"/>
              <w:jc w:val="left"/>
              <w:rPr/>
            </w:pPr>
            <w:r>
              <w:rPr/>
              <w:t>​</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109"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7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Above-market lease assets, net</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186,002</w:t>
            </w:r>
          </w:p>
        </w:tc>
        <w:tc>
          <w:tcPr>
            <w:tcW w:w="109"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(23,091)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162,911</w:t>
            </w:r>
          </w:p>
        </w:tc>
      </w:tr>
      <w:tr>
        <w:trPr/>
        <w:tc>
          <w:tcPr>
            <w:tcW w:w="274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In-place lease assets, net</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70,445</w:t>
            </w:r>
          </w:p>
        </w:tc>
        <w:tc>
          <w:tcPr>
            <w:tcW w:w="109"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(27,268)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43,177</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intangible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c>
          <w:tcPr>
            <w:tcW w:w="109" w:type="dxa"/>
            <w:tcBorders/>
            <w:shd w:fill="CCEEFF" w:val="clear"/>
            <w:vAlign w:val="center"/>
          </w:tcPr>
          <w:p>
            <w:pPr>
              <w:pStyle w:val="TableContents"/>
              <w:bidi w:val="0"/>
              <w:spacing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257,197</w:t>
            </w:r>
          </w:p>
        </w:tc>
        <w:tc>
          <w:tcPr>
            <w:tcW w:w="109" w:type="dxa"/>
            <w:tcBorders/>
            <w:vAlign w:val="center"/>
          </w:tcPr>
          <w:p>
            <w:pPr>
              <w:pStyle w:val="TableContents"/>
              <w:bidi w:val="0"/>
              <w:spacing w:before="0" w:after="0"/>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(50,415)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206,782</w:t>
            </w:r>
          </w:p>
        </w:tc>
      </w:tr>
    </w:tbl>
    <w:p>
      <w:pPr>
        <w:pStyle w:val="TextBody"/>
        <w:bidi w:val="0"/>
        <w:spacing w:before="0" w:after="0"/>
        <w:ind w:left="0" w:right="0" w:hanging="0"/>
        <w:jc w:val="left"/>
        <w:rPr/>
      </w:pPr>
      <w:r>
        <w:rPr/>
        <w:t>​</w:t>
      </w:r>
    </w:p>
    <w:tbl>
      <w:tblPr>
        <w:tblW w:w="6909" w:type="dxa"/>
        <w:jc w:val="left"/>
        <w:tblInd w:w="0" w:type="dxa"/>
        <w:tblLayout w:type="fixed"/>
        <w:tblCellMar>
          <w:top w:w="0" w:type="dxa"/>
          <w:left w:w="0" w:type="dxa"/>
          <w:bottom w:w="0" w:type="dxa"/>
          <w:right w:w="0" w:type="dxa"/>
        </w:tblCellMar>
      </w:tblPr>
      <w:tblGrid>
        <w:gridCol w:w="2746"/>
        <w:gridCol w:w="326"/>
        <w:gridCol w:w="211"/>
        <w:gridCol w:w="781"/>
        <w:gridCol w:w="326"/>
        <w:gridCol w:w="244"/>
        <w:gridCol w:w="852"/>
        <w:gridCol w:w="326"/>
        <w:gridCol w:w="211"/>
        <w:gridCol w:w="886"/>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743710" cy="175260"/>
                      <wp:effectExtent l="0" t="0" r="0" b="0"/>
                      <wp:wrapNone/>
                      <wp:docPr id="320" name="Frame320"/>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07010" cy="175260"/>
                      <wp:effectExtent l="0" t="0" r="0" b="0"/>
                      <wp:wrapNone/>
                      <wp:docPr id="321" name="Frame3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33985" cy="175260"/>
                      <wp:effectExtent l="0" t="0" r="0" b="0"/>
                      <wp:wrapNone/>
                      <wp:docPr id="322" name="Frame3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495935" cy="175260"/>
                      <wp:effectExtent l="0" t="0" r="0" b="0"/>
                      <wp:wrapNone/>
                      <wp:docPr id="323" name="Frame32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07010" cy="175260"/>
                      <wp:effectExtent l="0" t="0" r="0" b="0"/>
                      <wp:wrapNone/>
                      <wp:docPr id="324" name="Frame3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54940" cy="175260"/>
                      <wp:effectExtent l="0" t="0" r="0" b="0"/>
                      <wp:wrapNone/>
                      <wp:docPr id="325" name="Frame325"/>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541020" cy="175260"/>
                      <wp:effectExtent l="0" t="0" r="0" b="0"/>
                      <wp:wrapNone/>
                      <wp:docPr id="326" name="Frame326"/>
                      <a:graphic xmlns:a="http://schemas.openxmlformats.org/drawingml/2006/main">
                        <a:graphicData uri="http://schemas.microsoft.com/office/word/2010/wordprocessingShape">
                          <wps:wsp>
                            <wps:cNvSpPr txBox="1"/>
                            <wps:spPr>
                              <a:xfrm>
                                <a:off x="0" y="0"/>
                                <a:ext cx="541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07010" cy="175260"/>
                      <wp:effectExtent l="0" t="0" r="0" b="0"/>
                      <wp:wrapNone/>
                      <wp:docPr id="327" name="Frame3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33985" cy="175260"/>
                      <wp:effectExtent l="0" t="0" r="0" b="0"/>
                      <wp:wrapNone/>
                      <wp:docPr id="328" name="Frame3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562610" cy="175260"/>
                      <wp:effectExtent l="0" t="0" r="0" b="0"/>
                      <wp:wrapNone/>
                      <wp:docPr id="329" name="Frame32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837"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2024</w:t>
            </w:r>
          </w:p>
        </w:tc>
      </w:tr>
      <w:tr>
        <w:trPr/>
        <w:tc>
          <w:tcPr>
            <w:tcW w:w="27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w:t>
            </w:r>
          </w:p>
        </w:tc>
        <w:tc>
          <w:tcPr>
            <w:tcW w:w="326" w:type="dxa"/>
            <w:tcBorders/>
            <w:vAlign w:val="center"/>
          </w:tcPr>
          <w:p>
            <w:pPr>
              <w:pStyle w:val="TableContents"/>
              <w:bidi w:val="0"/>
              <w:spacing w:before="0" w:after="1"/>
              <w:ind w:left="0" w:right="0" w:hanging="0"/>
              <w:jc w:val="left"/>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26" w:type="dxa"/>
            <w:tcBorders/>
            <w:vAlign w:val="center"/>
          </w:tcPr>
          <w:p>
            <w:pPr>
              <w:pStyle w:val="TableContents"/>
              <w:bidi w:val="0"/>
              <w:spacing w:before="0" w:after="1"/>
              <w:ind w:left="0" w:right="0" w:hanging="0"/>
              <w:jc w:val="left"/>
              <w:rPr/>
            </w:pPr>
            <w:r>
              <w:rPr/>
              <w:t>​</w:t>
            </w:r>
          </w:p>
        </w:tc>
        <w:tc>
          <w:tcPr>
            <w:tcW w:w="1097"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Carrying</w:t>
            </w:r>
            <w:r>
              <w:rPr>
                <w:rFonts w:ascii="Times New Roman;Times;serif" w:hAnsi="Times New Roman;Times;serif"/>
                <w:sz w:val="16"/>
              </w:rPr>
              <w:t> </w:t>
            </w:r>
          </w:p>
        </w:tc>
      </w:tr>
      <w:tr>
        <w:trPr/>
        <w:tc>
          <w:tcPr>
            <w:tcW w:w="27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Intangible</w:t>
            </w:r>
          </w:p>
        </w:tc>
        <w:tc>
          <w:tcPr>
            <w:tcW w:w="326" w:type="dxa"/>
            <w:tcBorders/>
            <w:vAlign w:val="center"/>
          </w:tcPr>
          <w:p>
            <w:pPr>
              <w:pStyle w:val="TableContents"/>
              <w:bidi w:val="0"/>
              <w:spacing w:before="0" w:after="1"/>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1"/>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74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Above-market lease assets, net</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186,002</w:t>
            </w:r>
          </w:p>
        </w:tc>
        <w:tc>
          <w:tcPr>
            <w:tcW w:w="32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164,478</w:t>
            </w:r>
          </w:p>
        </w:tc>
      </w:tr>
      <w:tr>
        <w:trPr/>
        <w:tc>
          <w:tcPr>
            <w:tcW w:w="274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In-place lease assets, net</w:t>
            </w:r>
            <w:r>
              <w:rPr>
                <w:rFonts w:ascii="Times New Roman;Times;serif" w:hAnsi="Times New Roman;Times;serif"/>
                <w:sz w:val="15"/>
              </w:rPr>
              <w:t>(2)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69,631</w:t>
            </w:r>
          </w:p>
        </w:tc>
        <w:tc>
          <w:tcPr>
            <w:tcW w:w="32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 </w:t>
            </w:r>
          </w:p>
        </w:tc>
        <w:tc>
          <w:tcPr>
            <w:tcW w:w="8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(26,076)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43,555</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intangible assets,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w:t>
            </w:r>
          </w:p>
        </w:tc>
        <w:tc>
          <w:tcPr>
            <w:tcW w:w="326" w:type="dxa"/>
            <w:tcBorders/>
            <w:shd w:fill="CCEEFF" w:val="clear"/>
            <w:vAlign w:val="center"/>
          </w:tcPr>
          <w:p>
            <w:pPr>
              <w:pStyle w:val="TableContents"/>
              <w:bidi w:val="0"/>
              <w:spacing w:before="0" w:after="1"/>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698</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256,383</w:t>
            </w:r>
          </w:p>
        </w:tc>
        <w:tc>
          <w:tcPr>
            <w:tcW w:w="326" w:type="dxa"/>
            <w:tcBorders/>
            <w:vAlign w:val="center"/>
          </w:tcPr>
          <w:p>
            <w:pPr>
              <w:pStyle w:val="TableContents"/>
              <w:bidi w:val="0"/>
              <w:spacing w:before="0" w:after="1"/>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(47,652)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208,731</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Above-market lease assets are recognized during asset acquisitions when the present value of market rate rental cash flows over the term of a lease is less than the present value of the contractual in-place rental cash flows. Above-market lease assets are amortized over the non-cancelable term of the leases.</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In-place lease assets are recognized during asset acquisitions and are estimated based on the value associated with the costs avoided in originating leases comparable to the acquired in-place leases as well as the value associated with lost rental revenue during the assumed lease-up period. In-place lease assets are amortized over the non-cancelable term of the leases.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120"/>
        <w:ind w:left="0" w:right="0" w:firstLine="720"/>
        <w:jc w:val="both"/>
        <w:rPr>
          <w:rFonts w:ascii="Times New Roman;Times;serif" w:hAnsi="Times New Roman;Times;serif"/>
          <w:sz w:val="20"/>
        </w:rPr>
      </w:pPr>
      <w:bookmarkStart w:id="1396" w:name="Tc_MWfU251v30mZNF1olyVPxA_3_7"/>
      <w:bookmarkStart w:id="1397" w:name="Tc_1S5nao-UEUG4oGokccsOdQ_3_4"/>
      <w:bookmarkStart w:id="1398" w:name="Tc_Yj5EyU2-uEKKCNuoBV1gXA_3_2"/>
      <w:bookmarkStart w:id="1399" w:name="Tc_8bbYEz5hTUyBPgkIK2Lmag_3_0"/>
      <w:bookmarkStart w:id="1400" w:name="Tc_y4Y09hoDgkSrNQ6gmC9VrQ_2_7"/>
      <w:bookmarkStart w:id="1401" w:name="Tc_WOx4L2cmI0SOArc41jqgtA_2_4"/>
      <w:bookmarkStart w:id="1402" w:name="Tc_HkyYhmbk7Uy4ej_4lXNZXQ_2_2"/>
      <w:bookmarkStart w:id="1403" w:name="Tc_RzGnxKkcy0mCnQbSrAWg1Q_2_0"/>
      <w:bookmarkStart w:id="1404" w:name="Tc_6giKgAOaX0mc4cmOb85ZTg_1_4"/>
      <w:bookmarkStart w:id="1405" w:name="Tc_3Ay9oqUPEkOHhLap53FOvw_1_2"/>
      <w:bookmarkStart w:id="1406" w:name="_608bfa4f_cdcd_408a_94af_2aeb9058353a"/>
      <w:bookmarkStart w:id="1407" w:name="Tc__MFNogGTj0S8MWzkShLYoA_3_7"/>
      <w:bookmarkStart w:id="1408" w:name="Tc_i4VDj8pXgUKlwfQHUS_CyA_3_4"/>
      <w:bookmarkStart w:id="1409" w:name="Tc_3eXBeRx2C0KzVZTuaHgaHQ_3_2"/>
      <w:bookmarkStart w:id="1410" w:name="Tc_8-Y2vTEHOEqq8Dl_BDFXtQ_3_0"/>
      <w:bookmarkStart w:id="1411" w:name="Tc_oyAoc2MkU0a2UL5yFtYDuQ_2_7"/>
      <w:bookmarkStart w:id="1412" w:name="Tc_PeMIXD2HSEKWu28HLeDOdg_2_4"/>
      <w:bookmarkStart w:id="1413" w:name="Tc_KXopqKWrpEmXAUAcG6HIpw_2_2"/>
      <w:bookmarkStart w:id="1414" w:name="Tc_kHpo0WuTXkq-AT9ZSZT8Og_2_0"/>
      <w:bookmarkStart w:id="1415" w:name="Tc_kwCR7XWWBUqlmKymNF_d6A_1_4"/>
      <w:bookmarkStart w:id="1416" w:name="Tc_ZruJNPaYHEGSi2tKPyW9VA_1_2"/>
      <w:bookmarkStart w:id="1417" w:name="_ee3892ce_d7b1_4bac_9437_aabe15723cf7"/>
      <w:bookmarkStart w:id="1418" w:name="Tc_QA4ihwaQXEqYfcKDdYGyow_6_0"/>
      <w:bookmarkStart w:id="1419" w:name="Tc_r8tfq1-VeEu1ab4TWL9tkA_5_0"/>
      <w:bookmarkStart w:id="1420" w:name="Tc_nB8yp6n2_ke1o63Eu_Y8OA_4_0"/>
      <w:bookmarkStart w:id="1421" w:name="Tc_Oigehoo8jkW61ZwrTRFUBg_3_0"/>
      <w:bookmarkStart w:id="1422" w:name="Tc_5OuUUJNrq0-b_wLCrO4KVw_2_2"/>
      <w:bookmarkStart w:id="1423" w:name="Tc_1_P_KDpIQECFd4l6L5hrvQ_2_0"/>
      <w:bookmarkStart w:id="1424" w:name="Tc_7qesIR8vckaw0eaJPNAJzA_1_2"/>
      <w:bookmarkStart w:id="1425" w:name="Tc_rvtvIJ9csUGobJ6nNN20kA_1_0"/>
      <w:bookmarkStart w:id="1426" w:name="_0eaff58f_7a51_47ce_843c_05667c7aada1"/>
      <w:bookmarkStart w:id="1427" w:name="Tc_vo3C9AFSyEaQIU7t1ovgmg_5_2"/>
      <w:bookmarkStart w:id="1428" w:name="Tc_I9JI77zEFUSkpVo2kCOb7g_5_0"/>
      <w:bookmarkStart w:id="1429" w:name="Tc_zxhBQ9CCW0WhqjhekRHd3w_4_2"/>
      <w:bookmarkStart w:id="1430" w:name="Tc_h_s8KDydD0SJFkXrE4RKUA_4_0"/>
      <w:bookmarkStart w:id="1431" w:name="Tc_gxZukuoqvUOjqLBfavb1Mw_3_7"/>
      <w:bookmarkStart w:id="1432" w:name="Tc_1eun5mBzx0KJsKx8pjM3ow_3_4"/>
      <w:bookmarkStart w:id="1433" w:name="Tc_1zxBnb25Kke44p8Dp6F_6w_3_2"/>
      <w:bookmarkStart w:id="1434" w:name="Tc_-mOeVe2HGk6ASlI0WrUIjg_3_0"/>
      <w:bookmarkStart w:id="1435" w:name="Tc_ezraNNigEkS2PaPu3UOtaA_2_7"/>
      <w:bookmarkStart w:id="1436" w:name="Tc_vOZl0DQ7gEuKxTxNz6Z7xg_2_4"/>
      <w:bookmarkStart w:id="1437" w:name="Tc_jgYnvdMAZESNrznaXzyCTg_2_2"/>
      <w:bookmarkStart w:id="1438" w:name="Tc_X8gUKg26bECFUTjJ9i0MFg_2_0"/>
      <w:bookmarkStart w:id="1439" w:name="Tc_fo0hAeen-EqGjPoPZyazPw_1_4"/>
      <w:bookmarkStart w:id="1440" w:name="Tc_WBwWECH72Eq7ANXFQhaV6g_1_2"/>
      <w:bookmarkStart w:id="1441" w:name="_ce758bfd_865a_4162_9dce_5ffc567c9ade"/>
      <w:bookmarkStart w:id="1442" w:name="Tc_jMe6T-iaMEGalJswOSxLVQ_5_2"/>
      <w:bookmarkStart w:id="1443" w:name="Tc_qT7afEaEWUiLth97FhgFYA_5_0"/>
      <w:bookmarkStart w:id="1444" w:name="Tc_lfrXWv6p1EOOfipe6yqZAA_4_2"/>
      <w:bookmarkStart w:id="1445" w:name="Tc_9gIIBfwswUyaIgswYXY_iw_4_0"/>
      <w:bookmarkStart w:id="1446" w:name="Tc_0vu3MXPrlkigKzQQcpTwGg_3_7"/>
      <w:bookmarkStart w:id="1447" w:name="Tc_ZVs-aHKU60qoLYcc2UoJnw_3_4"/>
      <w:bookmarkStart w:id="1448" w:name="Tc_yvAjW_QnAUKORy312Bt65w_3_2"/>
      <w:bookmarkStart w:id="1449" w:name="Tc_VMEtBePkKkG8wHIWYl-jzQ_3_0"/>
      <w:bookmarkStart w:id="1450" w:name="Tc_bL79o2p7_UKx-M8KZfD7ng_2_7"/>
      <w:bookmarkStart w:id="1451" w:name="Tc_SIsRZh0q00SajZuNCy8iYw_2_4"/>
      <w:bookmarkStart w:id="1452" w:name="Tc_t19RtnXeOkCXKZWVoqz_Bg_2_2"/>
      <w:bookmarkStart w:id="1453" w:name="Tc_R_6XipHAcUyUgHNaGTL0fg_2_0"/>
      <w:bookmarkStart w:id="1454" w:name="Tc_OddgE-xik0SKAnSH_URsoQ_1_4"/>
      <w:bookmarkStart w:id="1455" w:name="Tc_PFLVOt7nhUSwXhFJJltK8g_1_2"/>
      <w:bookmarkStart w:id="1456" w:name="_23f7eec0_9f6c_42c2_8afd_149c3da80e41"/>
      <w:bookmarkStart w:id="1457" w:name="Tc_9GZF_ki1q0iAbia0DQrAzQ_4_8"/>
      <w:bookmarkStart w:id="1458" w:name="Tc_oJaJ_t3Xr0exsjyFVhfB2A_4_5"/>
      <w:bookmarkStart w:id="1459" w:name="Tc_BFvUspl25EWNOOlilehD6A_4_2"/>
      <w:bookmarkStart w:id="1460" w:name="Tc_uHjkqqPs90u4BxcMlnYhTw_4_0"/>
      <w:bookmarkStart w:id="1461" w:name="Tc_RgIpjwF3VUqp90qNOMmW9A_3_8"/>
      <w:bookmarkStart w:id="1462" w:name="Tc_xm5lfCIt9ES8AvotAMG9ew_3_5"/>
      <w:bookmarkStart w:id="1463" w:name="Tc_3WIZ3YgUtkmrF9p8BkNwrQ_3_2"/>
      <w:bookmarkStart w:id="1464" w:name="Tc_koZyjQuf10SfDGkRvIRsXw_2_8"/>
      <w:bookmarkStart w:id="1465" w:name="Tc_aCNc8LRVe0mlX4QVvwXpDA_2_5"/>
      <w:bookmarkStart w:id="1466" w:name="Tc_yzfbJ4qgIk2UnK8NJ-GbTA_2_2"/>
      <w:bookmarkStart w:id="1467" w:name="Tc_JHQn7VPgWkmYiGhpzPdVcw_1_2"/>
      <w:bookmarkStart w:id="1468" w:name="_42f0d453_122e_4174_a2fb_2cbcc249e7f3"/>
      <w:bookmarkStart w:id="1469" w:name="Tc_c5-5JypkNES0Rx1J6rr_kw_4_8"/>
      <w:bookmarkStart w:id="1470" w:name="Tc_jzuFexhfckagiD1jueD_kg_4_5"/>
      <w:bookmarkStart w:id="1471" w:name="Tc_zDtn6fDbW0Wf-fMnCGbyqw_4_2"/>
      <w:bookmarkStart w:id="1472" w:name="Tc_nAq1mcGP6kGZbWvhfyXFCQ_4_0"/>
      <w:bookmarkStart w:id="1473" w:name="Tc_34qjtCHvz0GDQM7efdFaAw_3_8"/>
      <w:bookmarkStart w:id="1474" w:name="Tc_cvAbeDczQkeLEm17knucBQ_3_5"/>
      <w:bookmarkStart w:id="1475" w:name="Tc_kB_eF74lpE-9zYMhdJvZcg_3_2"/>
      <w:bookmarkStart w:id="1476" w:name="Tc_SS_13rSaZ0mYLor2fsjmeg_2_8"/>
      <w:bookmarkStart w:id="1477" w:name="Tc_KUEoxeSJNEKLmeTFzMZ42Q_2_5"/>
      <w:bookmarkStart w:id="1478" w:name="Tc_nBc71iwWMUWyBpvuXkHAfA_2_2"/>
      <w:bookmarkStart w:id="1479" w:name="Tc_5JYIyDPTakGbD12Pvbv3wA_1_2"/>
      <w:bookmarkStart w:id="1480" w:name="_83ad898f_0b68_4d8e_95c3_558e2780d0e4"/>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r>
        <w:rPr>
          <w:rFonts w:ascii="Times New Roman;Times;serif" w:hAnsi="Times New Roman;Times;serif"/>
          <w:sz w:val="20"/>
        </w:rPr>
        <w:t xml:space="preserve">Real estate-related intangible liabilities, net consist of the following items ($ in thousands): </w:t>
      </w:r>
    </w:p>
    <w:tbl>
      <w:tblPr>
        <w:tblW w:w="6220" w:type="dxa"/>
        <w:jc w:val="left"/>
        <w:tblInd w:w="0" w:type="dxa"/>
        <w:tblLayout w:type="fixed"/>
        <w:tblCellMar>
          <w:top w:w="0" w:type="dxa"/>
          <w:left w:w="0" w:type="dxa"/>
          <w:bottom w:w="0" w:type="dxa"/>
          <w:right w:w="0" w:type="dxa"/>
        </w:tblCellMar>
      </w:tblPr>
      <w:tblGrid>
        <w:gridCol w:w="2701"/>
        <w:gridCol w:w="326"/>
        <w:gridCol w:w="211"/>
        <w:gridCol w:w="676"/>
        <w:gridCol w:w="109"/>
        <w:gridCol w:w="274"/>
        <w:gridCol w:w="822"/>
        <w:gridCol w:w="109"/>
        <w:gridCol w:w="211"/>
        <w:gridCol w:w="781"/>
      </w:tblGrid>
      <w:tr>
        <w:trPr/>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715135" cy="175260"/>
                      <wp:effectExtent l="0" t="0" r="0" b="0"/>
                      <wp:wrapNone/>
                      <wp:docPr id="330" name="Frame330"/>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07010" cy="175260"/>
                      <wp:effectExtent l="0" t="0" r="0" b="0"/>
                      <wp:wrapNone/>
                      <wp:docPr id="331" name="Frame3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33985" cy="175260"/>
                      <wp:effectExtent l="0" t="0" r="0" b="0"/>
                      <wp:wrapNone/>
                      <wp:docPr id="332" name="Frame3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429260" cy="175260"/>
                      <wp:effectExtent l="0" t="0" r="0" b="0"/>
                      <wp:wrapNone/>
                      <wp:docPr id="333" name="Frame33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9215" cy="175260"/>
                      <wp:effectExtent l="0" t="0" r="0" b="0"/>
                      <wp:wrapNone/>
                      <wp:docPr id="334" name="Frame3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73990" cy="175260"/>
                      <wp:effectExtent l="0" t="0" r="0" b="0"/>
                      <wp:wrapNone/>
                      <wp:docPr id="335" name="Frame335"/>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521970" cy="175260"/>
                      <wp:effectExtent l="0" t="0" r="0" b="0"/>
                      <wp:wrapNone/>
                      <wp:docPr id="336" name="Frame336"/>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9215" cy="175260"/>
                      <wp:effectExtent l="0" t="0" r="0" b="0"/>
                      <wp:wrapNone/>
                      <wp:docPr id="337" name="Frame3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33985" cy="175260"/>
                      <wp:effectExtent l="0" t="0" r="0" b="0"/>
                      <wp:wrapNone/>
                      <wp:docPr id="338" name="Frame3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495935" cy="175260"/>
                      <wp:effectExtent l="0" t="0" r="0" b="0"/>
                      <wp:wrapNone/>
                      <wp:docPr id="339" name="Frame33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19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2025</w:t>
            </w:r>
          </w:p>
        </w:tc>
      </w:tr>
      <w:tr>
        <w:trPr/>
        <w:tc>
          <w:tcPr>
            <w:tcW w:w="2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w:t>
            </w:r>
          </w:p>
        </w:tc>
        <w:tc>
          <w:tcPr>
            <w:tcW w:w="109" w:type="dxa"/>
            <w:tcBorders/>
            <w:vAlign w:val="center"/>
          </w:tcPr>
          <w:p>
            <w:pPr>
              <w:pStyle w:val="TableContents"/>
              <w:bidi w:val="0"/>
              <w:spacing w:before="0" w:after="0"/>
              <w:ind w:left="0" w:right="0" w:hanging="0"/>
              <w:jc w:val="center"/>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Carrying</w:t>
            </w:r>
            <w:r>
              <w:rPr>
                <w:rFonts w:ascii="Times New Roman;Times;serif" w:hAnsi="Times New Roman;Times;serif"/>
                <w:sz w:val="16"/>
              </w:rPr>
              <w:t> </w:t>
            </w:r>
          </w:p>
        </w:tc>
      </w:tr>
      <w:tr>
        <w:trPr/>
        <w:tc>
          <w:tcPr>
            <w:tcW w:w="2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Intangible</w:t>
            </w:r>
          </w:p>
        </w:tc>
        <w:tc>
          <w:tcPr>
            <w:tcW w:w="109" w:type="dxa"/>
            <w:tcBorders/>
            <w:vAlign w:val="center"/>
          </w:tcPr>
          <w:p>
            <w:pPr>
              <w:pStyle w:val="TableContents"/>
              <w:bidi w:val="0"/>
              <w:spacing w:before="0" w:after="0"/>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7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Below-market lease liabilities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68,618</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62,505</w:t>
            </w:r>
          </w:p>
        </w:tc>
      </w:tr>
    </w:tbl>
    <w:p>
      <w:pPr>
        <w:pStyle w:val="TextBody"/>
        <w:bidi w:val="0"/>
        <w:spacing w:before="0" w:after="0"/>
        <w:ind w:left="0" w:right="0" w:hanging="0"/>
        <w:jc w:val="left"/>
        <w:rPr/>
      </w:pPr>
      <w:r>
        <w:rPr/>
        <w:t>​</w:t>
      </w:r>
    </w:p>
    <w:tbl>
      <w:tblPr>
        <w:tblW w:w="6220" w:type="dxa"/>
        <w:jc w:val="left"/>
        <w:tblInd w:w="0" w:type="dxa"/>
        <w:tblLayout w:type="fixed"/>
        <w:tblCellMar>
          <w:top w:w="0" w:type="dxa"/>
          <w:left w:w="0" w:type="dxa"/>
          <w:bottom w:w="0" w:type="dxa"/>
          <w:right w:w="0" w:type="dxa"/>
        </w:tblCellMar>
      </w:tblPr>
      <w:tblGrid>
        <w:gridCol w:w="2701"/>
        <w:gridCol w:w="326"/>
        <w:gridCol w:w="211"/>
        <w:gridCol w:w="676"/>
        <w:gridCol w:w="109"/>
        <w:gridCol w:w="274"/>
        <w:gridCol w:w="822"/>
        <w:gridCol w:w="109"/>
        <w:gridCol w:w="211"/>
        <w:gridCol w:w="781"/>
      </w:tblGrid>
      <w:tr>
        <w:trPr/>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715135" cy="175260"/>
                      <wp:effectExtent l="0" t="0" r="0" b="0"/>
                      <wp:wrapNone/>
                      <wp:docPr id="340" name="Frame340"/>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07010" cy="175260"/>
                      <wp:effectExtent l="0" t="0" r="0" b="0"/>
                      <wp:wrapNone/>
                      <wp:docPr id="341" name="Frame3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33985" cy="175260"/>
                      <wp:effectExtent l="0" t="0" r="0" b="0"/>
                      <wp:wrapNone/>
                      <wp:docPr id="342" name="Frame3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429260" cy="175260"/>
                      <wp:effectExtent l="0" t="0" r="0" b="0"/>
                      <wp:wrapNone/>
                      <wp:docPr id="343" name="Frame34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9215" cy="175260"/>
                      <wp:effectExtent l="0" t="0" r="0" b="0"/>
                      <wp:wrapNone/>
                      <wp:docPr id="344" name="Frame3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73990" cy="175260"/>
                      <wp:effectExtent l="0" t="0" r="0" b="0"/>
                      <wp:wrapNone/>
                      <wp:docPr id="345" name="Frame345"/>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521970" cy="175260"/>
                      <wp:effectExtent l="0" t="0" r="0" b="0"/>
                      <wp:wrapNone/>
                      <wp:docPr id="346" name="Frame346"/>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9215" cy="175260"/>
                      <wp:effectExtent l="0" t="0" r="0" b="0"/>
                      <wp:wrapNone/>
                      <wp:docPr id="347" name="Frame3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33985" cy="175260"/>
                      <wp:effectExtent l="0" t="0" r="0" b="0"/>
                      <wp:wrapNone/>
                      <wp:docPr id="348" name="Frame3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495935" cy="175260"/>
                      <wp:effectExtent l="0" t="0" r="0" b="0"/>
                      <wp:wrapNone/>
                      <wp:docPr id="349" name="Frame34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319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2024</w:t>
            </w:r>
          </w:p>
        </w:tc>
      </w:tr>
      <w:tr>
        <w:trPr/>
        <w:tc>
          <w:tcPr>
            <w:tcW w:w="27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w:t>
            </w:r>
          </w:p>
        </w:tc>
        <w:tc>
          <w:tcPr>
            <w:tcW w:w="109" w:type="dxa"/>
            <w:tcBorders/>
            <w:vAlign w:val="center"/>
          </w:tcPr>
          <w:p>
            <w:pPr>
              <w:pStyle w:val="TableContents"/>
              <w:bidi w:val="0"/>
              <w:spacing w:before="0" w:after="1"/>
              <w:ind w:left="0" w:right="0" w:hanging="0"/>
              <w:jc w:val="center"/>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Carrying</w:t>
            </w:r>
            <w:r>
              <w:rPr>
                <w:rFonts w:ascii="Times New Roman;Times;serif" w:hAnsi="Times New Roman;Times;serif"/>
                <w:sz w:val="16"/>
              </w:rPr>
              <w:t> </w:t>
            </w:r>
          </w:p>
        </w:tc>
      </w:tr>
      <w:tr>
        <w:trPr/>
        <w:tc>
          <w:tcPr>
            <w:tcW w:w="27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Intangible</w:t>
            </w:r>
          </w:p>
        </w:tc>
        <w:tc>
          <w:tcPr>
            <w:tcW w:w="109" w:type="dxa"/>
            <w:tcBorders/>
            <w:vAlign w:val="center"/>
          </w:tcPr>
          <w:p>
            <w:pPr>
              <w:pStyle w:val="TableContents"/>
              <w:bidi w:val="0"/>
              <w:spacing w:before="0" w:after="1"/>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70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Below-market lease liabilities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68,618</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(5,696)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62,922</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Below-market lease liabilities are recognized during asset acquisitions when the present value of market rate rental cash flows over the term of a lease exceeds the present value of the contractual in-place rental cash flows. Below-market lease liabilities are amortized over the non-cancelable term of the leases</w:t>
            </w:r>
          </w:p>
        </w:tc>
      </w:tr>
    </w:tbl>
    <w:p>
      <w:pPr>
        <w:pStyle w:val="TextBody"/>
        <w:bidi w:val="0"/>
        <w:spacing w:before="0" w:after="0"/>
        <w:ind w:left="36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amortization of real estate-related intangible assets had the following impact on the Company’s consolidated statements of operations for the three and six months ended June 30, 2025 and 2024 ($ in thousands):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935"/>
        <w:gridCol w:w="326"/>
        <w:gridCol w:w="2576"/>
        <w:gridCol w:w="326"/>
        <w:gridCol w:w="383"/>
        <w:gridCol w:w="764"/>
        <w:gridCol w:w="591"/>
        <w:gridCol w:w="383"/>
        <w:gridCol w:w="764"/>
        <w:gridCol w:w="157"/>
      </w:tblGrid>
      <w:tr>
        <w:trPr/>
        <w:tc>
          <w:tcPr>
            <w:tcW w:w="3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498725" cy="175260"/>
                      <wp:effectExtent l="0" t="0" r="0" b="0"/>
                      <wp:wrapNone/>
                      <wp:docPr id="350" name="Frame350"/>
                      <a:graphic xmlns:a="http://schemas.openxmlformats.org/drawingml/2006/main">
                        <a:graphicData uri="http://schemas.microsoft.com/office/word/2010/wordprocessingShape">
                          <wps:wsp>
                            <wps:cNvSpPr txBox="1"/>
                            <wps:spPr>
                              <a:xfrm>
                                <a:off x="0" y="0"/>
                                <a:ext cx="2498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7010" cy="175260"/>
                      <wp:effectExtent l="0" t="0" r="0" b="0"/>
                      <wp:wrapNone/>
                      <wp:docPr id="351" name="Frame3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635760" cy="175260"/>
                      <wp:effectExtent l="0" t="0" r="0" b="0"/>
                      <wp:wrapNone/>
                      <wp:docPr id="352" name="Frame352"/>
                      <a:graphic xmlns:a="http://schemas.openxmlformats.org/drawingml/2006/main">
                        <a:graphicData uri="http://schemas.microsoft.com/office/word/2010/wordprocessingShape">
                          <wps:wsp>
                            <wps:cNvSpPr txBox="1"/>
                            <wps:spPr>
                              <a:xfrm>
                                <a:off x="0" y="0"/>
                                <a:ext cx="1635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07010" cy="175260"/>
                      <wp:effectExtent l="0" t="0" r="0" b="0"/>
                      <wp:wrapNone/>
                      <wp:docPr id="353" name="Frame3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43205" cy="175260"/>
                      <wp:effectExtent l="0" t="0" r="0" b="0"/>
                      <wp:wrapNone/>
                      <wp:docPr id="354" name="Frame354"/>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485140" cy="175260"/>
                      <wp:effectExtent l="0" t="0" r="0" b="0"/>
                      <wp:wrapNone/>
                      <wp:docPr id="355" name="Frame355"/>
                      <a:graphic xmlns:a="http://schemas.openxmlformats.org/drawingml/2006/main">
                        <a:graphicData uri="http://schemas.microsoft.com/office/word/2010/wordprocessingShape">
                          <wps:wsp>
                            <wps:cNvSpPr txBox="1"/>
                            <wps:spPr>
                              <a:xfrm>
                                <a:off x="0" y="0"/>
                                <a:ext cx="485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375285" cy="175260"/>
                      <wp:effectExtent l="0" t="0" r="0" b="0"/>
                      <wp:wrapNone/>
                      <wp:docPr id="356" name="Frame356"/>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43205" cy="175260"/>
                      <wp:effectExtent l="0" t="0" r="0" b="0"/>
                      <wp:wrapNone/>
                      <wp:docPr id="357" name="Frame357"/>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485140" cy="175260"/>
                      <wp:effectExtent l="0" t="0" r="0" b="0"/>
                      <wp:wrapNone/>
                      <wp:docPr id="358" name="Frame358"/>
                      <a:graphic xmlns:a="http://schemas.openxmlformats.org/drawingml/2006/main">
                        <a:graphicData uri="http://schemas.microsoft.com/office/word/2010/wordprocessingShape">
                          <wps:wsp>
                            <wps:cNvSpPr txBox="1"/>
                            <wps:spPr>
                              <a:xfrm>
                                <a:off x="0" y="0"/>
                                <a:ext cx="485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99695" cy="175260"/>
                      <wp:effectExtent l="0" t="0" r="0" b="0"/>
                      <wp:wrapNone/>
                      <wp:docPr id="359" name="Frame359"/>
                      <a:graphic xmlns:a="http://schemas.openxmlformats.org/drawingml/2006/main">
                        <a:graphicData uri="http://schemas.microsoft.com/office/word/2010/wordprocessingShape">
                          <wps:wsp>
                            <wps:cNvSpPr txBox="1"/>
                            <wps:spPr>
                              <a:xfrm>
                                <a:off x="0" y="0"/>
                                <a:ext cx="99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3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5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Statement</w:t>
            </w:r>
          </w:p>
        </w:tc>
        <w:tc>
          <w:tcPr>
            <w:tcW w:w="326" w:type="dxa"/>
            <w:tcBorders/>
            <w:vAlign w:val="center"/>
          </w:tcPr>
          <w:p>
            <w:pPr>
              <w:pStyle w:val="TableContents"/>
              <w:bidi w:val="0"/>
              <w:spacing w:before="0" w:after="1"/>
              <w:ind w:left="0" w:right="0" w:hanging="0"/>
              <w:jc w:val="center"/>
              <w:rPr/>
            </w:pPr>
            <w:r>
              <w:rPr/>
              <w:t>​</w:t>
            </w:r>
          </w:p>
        </w:tc>
        <w:tc>
          <w:tcPr>
            <w:tcW w:w="288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157" w:type="dxa"/>
            <w:tcBorders/>
            <w:vAlign w:val="center"/>
          </w:tcPr>
          <w:p>
            <w:pPr>
              <w:pStyle w:val="TableContents"/>
              <w:bidi w:val="0"/>
              <w:spacing w:before="0" w:after="1"/>
              <w:ind w:left="0" w:right="0" w:hanging="0"/>
              <w:jc w:val="center"/>
              <w:rPr/>
            </w:pPr>
            <w:r>
              <w:rPr/>
              <w:t>​</w:t>
            </w:r>
          </w:p>
        </w:tc>
      </w:tr>
      <w:tr>
        <w:trPr/>
        <w:tc>
          <w:tcPr>
            <w:tcW w:w="393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Intangible asset</w:t>
            </w:r>
          </w:p>
        </w:tc>
        <w:tc>
          <w:tcPr>
            <w:tcW w:w="326" w:type="dxa"/>
            <w:tcBorders/>
            <w:vAlign w:val="center"/>
          </w:tcPr>
          <w:p>
            <w:pPr>
              <w:pStyle w:val="TableContents"/>
              <w:bidi w:val="0"/>
              <w:spacing w:before="0" w:after="1"/>
              <w:ind w:left="0" w:right="0" w:hanging="0"/>
              <w:jc w:val="center"/>
              <w:rPr/>
            </w:pPr>
            <w:r>
              <w:rPr/>
              <w:t>    </w:t>
            </w:r>
          </w:p>
        </w:tc>
        <w:tc>
          <w:tcPr>
            <w:tcW w:w="25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326" w:type="dxa"/>
            <w:tcBorders/>
            <w:vAlign w:val="center"/>
          </w:tcPr>
          <w:p>
            <w:pPr>
              <w:pStyle w:val="TableContents"/>
              <w:bidi w:val="0"/>
              <w:spacing w:before="0" w:after="1"/>
              <w:ind w:left="0" w:right="0" w:hanging="0"/>
              <w:jc w:val="center"/>
              <w:rPr/>
            </w:pPr>
            <w:r>
              <w:rPr/>
              <w:t>    </w:t>
            </w:r>
          </w:p>
        </w:tc>
        <w:tc>
          <w:tcPr>
            <w:tcW w:w="11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91" w:type="dxa"/>
            <w:tcBorders/>
            <w:vAlign w:val="center"/>
          </w:tcPr>
          <w:p>
            <w:pPr>
              <w:pStyle w:val="TableContents"/>
              <w:bidi w:val="0"/>
              <w:spacing w:before="0" w:after="1"/>
              <w:ind w:left="0" w:right="0" w:hanging="0"/>
              <w:jc w:val="center"/>
              <w:rPr/>
            </w:pPr>
            <w:r>
              <w:rPr/>
              <w:t>    </w:t>
            </w:r>
          </w:p>
        </w:tc>
        <w:tc>
          <w:tcPr>
            <w:tcW w:w="11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7" w:type="dxa"/>
            <w:tcBorders/>
            <w:vAlign w:val="center"/>
          </w:tcPr>
          <w:p>
            <w:pPr>
              <w:pStyle w:val="TableContents"/>
              <w:bidi w:val="0"/>
              <w:spacing w:before="0" w:after="1"/>
              <w:ind w:left="0" w:right="0" w:hanging="0"/>
              <w:jc w:val="center"/>
              <w:rPr/>
            </w:pPr>
            <w:r>
              <w:rPr/>
              <w:t>​</w:t>
            </w:r>
          </w:p>
        </w:tc>
      </w:tr>
      <w:tr>
        <w:trPr/>
        <w:tc>
          <w:tcPr>
            <w:tcW w:w="39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Above-market lease assets (decrease to income)</w:t>
            </w:r>
          </w:p>
        </w:tc>
        <w:tc>
          <w:tcPr>
            <w:tcW w:w="326" w:type="dxa"/>
            <w:tcBorders/>
            <w:shd w:fill="CCEEFF" w:val="clear"/>
            <w:vAlign w:val="center"/>
          </w:tcPr>
          <w:p>
            <w:pPr>
              <w:pStyle w:val="TableContents"/>
              <w:bidi w:val="0"/>
              <w:spacing w:before="0" w:after="1"/>
              <w:ind w:left="0" w:right="0" w:hanging="0"/>
              <w:jc w:val="left"/>
              <w:rPr/>
            </w:pPr>
            <w:r>
              <w:rPr/>
              <w:t> </w:t>
            </w:r>
          </w:p>
        </w:tc>
        <w:tc>
          <w:tcPr>
            <w:tcW w:w="257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Operating lease income</w:t>
            </w:r>
          </w:p>
        </w:tc>
        <w:tc>
          <w:tcPr>
            <w:tcW w:w="326" w:type="dxa"/>
            <w:tcBorders/>
            <w:shd w:fill="CCEEFF" w:val="clear"/>
            <w:vAlign w:val="center"/>
          </w:tcPr>
          <w:p>
            <w:pPr>
              <w:pStyle w:val="TableContents"/>
              <w:bidi w:val="0"/>
              <w:spacing w:before="0" w:after="1"/>
              <w:ind w:left="0" w:right="0" w:hanging="0"/>
              <w:jc w:val="left"/>
              <w:rPr/>
            </w:pPr>
            <w:r>
              <w:rPr/>
              <w:t>​</w:t>
            </w:r>
          </w:p>
        </w:tc>
        <w:tc>
          <w:tcPr>
            <w:tcW w:w="3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784</w:t>
            </w:r>
          </w:p>
        </w:tc>
        <w:tc>
          <w:tcPr>
            <w:tcW w:w="591" w:type="dxa"/>
            <w:tcBorders/>
            <w:shd w:fill="CCEEFF" w:val="clear"/>
            <w:vAlign w:val="center"/>
          </w:tcPr>
          <w:p>
            <w:pPr>
              <w:pStyle w:val="TableContents"/>
              <w:bidi w:val="0"/>
              <w:spacing w:before="0" w:after="1"/>
              <w:ind w:left="0" w:right="0" w:hanging="0"/>
              <w:jc w:val="left"/>
              <w:rPr/>
            </w:pPr>
            <w:r>
              <w:rPr/>
              <w:t>​</w:t>
            </w:r>
          </w:p>
        </w:tc>
        <w:tc>
          <w:tcPr>
            <w:tcW w:w="3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784</w:t>
            </w:r>
          </w:p>
        </w:tc>
        <w:tc>
          <w:tcPr>
            <w:tcW w:w="157" w:type="dxa"/>
            <w:tcBorders/>
            <w:shd w:fill="CCEEFF" w:val="clear"/>
            <w:vAlign w:val="center"/>
          </w:tcPr>
          <w:p>
            <w:pPr>
              <w:pStyle w:val="TableContents"/>
              <w:bidi w:val="0"/>
              <w:spacing w:before="0" w:after="1"/>
              <w:ind w:left="0" w:right="0" w:hanging="0"/>
              <w:jc w:val="left"/>
              <w:rPr/>
            </w:pPr>
            <w:r>
              <w:rPr/>
              <w:t>​</w:t>
            </w:r>
          </w:p>
        </w:tc>
      </w:tr>
      <w:tr>
        <w:trPr/>
        <w:tc>
          <w:tcPr>
            <w:tcW w:w="39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In-place lease assets (decrease to income)</w:t>
            </w:r>
          </w:p>
        </w:tc>
        <w:tc>
          <w:tcPr>
            <w:tcW w:w="326" w:type="dxa"/>
            <w:tcBorders/>
            <w:vAlign w:val="center"/>
          </w:tcPr>
          <w:p>
            <w:pPr>
              <w:pStyle w:val="TableContents"/>
              <w:bidi w:val="0"/>
              <w:spacing w:before="0" w:after="1"/>
              <w:ind w:left="0" w:right="0" w:hanging="0"/>
              <w:jc w:val="left"/>
              <w:rPr/>
            </w:pPr>
            <w:r>
              <w:rPr/>
              <w:t> </w:t>
            </w:r>
          </w:p>
        </w:tc>
        <w:tc>
          <w:tcPr>
            <w:tcW w:w="257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383" w:type="dxa"/>
            <w:tcBorders/>
            <w:vAlign w:val="center"/>
          </w:tcPr>
          <w:p>
            <w:pPr>
              <w:pStyle w:val="TableContents"/>
              <w:bidi w:val="0"/>
              <w:spacing w:before="0" w:after="1"/>
              <w:ind w:left="0" w:right="0" w:hanging="0"/>
              <w:jc w:val="left"/>
              <w:rPr/>
            </w:pPr>
            <w:r>
              <w:rPr/>
              <w:t> </w:t>
            </w:r>
          </w:p>
        </w:tc>
        <w:tc>
          <w:tcPr>
            <w:tcW w:w="7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w:t>
            </w:r>
          </w:p>
        </w:tc>
        <w:tc>
          <w:tcPr>
            <w:tcW w:w="591" w:type="dxa"/>
            <w:tcBorders/>
            <w:vAlign w:val="center"/>
          </w:tcPr>
          <w:p>
            <w:pPr>
              <w:pStyle w:val="TableContents"/>
              <w:bidi w:val="0"/>
              <w:spacing w:before="0" w:after="1"/>
              <w:ind w:left="0" w:right="0" w:hanging="0"/>
              <w:jc w:val="left"/>
              <w:rPr/>
            </w:pPr>
            <w:r>
              <w:rPr/>
              <w:t>​</w:t>
            </w:r>
          </w:p>
        </w:tc>
        <w:tc>
          <w:tcPr>
            <w:tcW w:w="383" w:type="dxa"/>
            <w:tcBorders/>
            <w:vAlign w:val="center"/>
          </w:tcPr>
          <w:p>
            <w:pPr>
              <w:pStyle w:val="TableContents"/>
              <w:bidi w:val="0"/>
              <w:spacing w:before="0" w:after="1"/>
              <w:ind w:left="0" w:right="0" w:hanging="0"/>
              <w:jc w:val="left"/>
              <w:rPr/>
            </w:pPr>
            <w:r>
              <w:rPr/>
              <w:t> </w:t>
            </w:r>
          </w:p>
        </w:tc>
        <w:tc>
          <w:tcPr>
            <w:tcW w:w="7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884</w:t>
            </w:r>
          </w:p>
        </w:tc>
        <w:tc>
          <w:tcPr>
            <w:tcW w:w="157" w:type="dxa"/>
            <w:tcBorders/>
            <w:vAlign w:val="center"/>
          </w:tcPr>
          <w:p>
            <w:pPr>
              <w:pStyle w:val="TableContents"/>
              <w:bidi w:val="0"/>
              <w:spacing w:before="0" w:after="1"/>
              <w:ind w:left="0" w:right="0" w:hanging="0"/>
              <w:jc w:val="left"/>
              <w:rPr/>
            </w:pPr>
            <w:r>
              <w:rPr/>
              <w:t>​</w:t>
            </w:r>
          </w:p>
        </w:tc>
      </w:tr>
      <w:tr>
        <w:trPr/>
        <w:tc>
          <w:tcPr>
            <w:tcW w:w="39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intangible assets (decrease to income)</w:t>
            </w:r>
          </w:p>
        </w:tc>
        <w:tc>
          <w:tcPr>
            <w:tcW w:w="326" w:type="dxa"/>
            <w:tcBorders/>
            <w:shd w:fill="CCEEFF" w:val="clear"/>
            <w:vAlign w:val="center"/>
          </w:tcPr>
          <w:p>
            <w:pPr>
              <w:pStyle w:val="TableContents"/>
              <w:bidi w:val="0"/>
              <w:spacing w:before="0" w:after="1"/>
              <w:ind w:left="0" w:right="0" w:hanging="0"/>
              <w:jc w:val="left"/>
              <w:rPr/>
            </w:pPr>
            <w:r>
              <w:rPr/>
              <w:t> </w:t>
            </w:r>
          </w:p>
        </w:tc>
        <w:tc>
          <w:tcPr>
            <w:tcW w:w="257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Operating lease income</w:t>
            </w:r>
          </w:p>
        </w:tc>
        <w:tc>
          <w:tcPr>
            <w:tcW w:w="326" w:type="dxa"/>
            <w:tcBorders/>
            <w:shd w:fill="CCEEFF" w:val="clear"/>
            <w:vAlign w:val="center"/>
          </w:tcPr>
          <w:p>
            <w:pPr>
              <w:pStyle w:val="TableContents"/>
              <w:bidi w:val="0"/>
              <w:spacing w:before="0" w:after="1"/>
              <w:ind w:left="0" w:right="0" w:hanging="0"/>
              <w:jc w:val="left"/>
              <w:rPr/>
            </w:pPr>
            <w:r>
              <w:rPr/>
              <w:t>​</w:t>
            </w:r>
          </w:p>
        </w:tc>
        <w:tc>
          <w:tcPr>
            <w:tcW w:w="383" w:type="dxa"/>
            <w:tcBorders/>
            <w:shd w:fill="CCEEFF" w:val="clear"/>
            <w:vAlign w:val="center"/>
          </w:tcPr>
          <w:p>
            <w:pPr>
              <w:pStyle w:val="TableContents"/>
              <w:bidi w:val="0"/>
              <w:spacing w:before="0" w:after="1"/>
              <w:ind w:left="0" w:right="0" w:hanging="0"/>
              <w:jc w:val="left"/>
              <w:rPr/>
            </w:pPr>
            <w:r>
              <w:rPr/>
              <w:t> </w:t>
            </w:r>
          </w:p>
        </w:tc>
        <w:tc>
          <w:tcPr>
            <w:tcW w:w="7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591" w:type="dxa"/>
            <w:tcBorders/>
            <w:shd w:fill="CCEEFF" w:val="clear"/>
            <w:vAlign w:val="center"/>
          </w:tcPr>
          <w:p>
            <w:pPr>
              <w:pStyle w:val="TableContents"/>
              <w:bidi w:val="0"/>
              <w:spacing w:before="0" w:after="1"/>
              <w:ind w:left="0" w:right="0" w:hanging="0"/>
              <w:jc w:val="left"/>
              <w:rPr/>
            </w:pPr>
            <w:r>
              <w:rPr/>
              <w:t>​</w:t>
            </w:r>
          </w:p>
        </w:tc>
        <w:tc>
          <w:tcPr>
            <w:tcW w:w="383" w:type="dxa"/>
            <w:tcBorders/>
            <w:shd w:fill="CCEEFF" w:val="clear"/>
            <w:vAlign w:val="center"/>
          </w:tcPr>
          <w:p>
            <w:pPr>
              <w:pStyle w:val="TableContents"/>
              <w:bidi w:val="0"/>
              <w:spacing w:before="0" w:after="1"/>
              <w:ind w:left="0" w:right="0" w:hanging="0"/>
              <w:jc w:val="left"/>
              <w:rPr/>
            </w:pPr>
            <w:r>
              <w:rPr/>
              <w:t> </w:t>
            </w:r>
          </w:p>
        </w:tc>
        <w:tc>
          <w:tcPr>
            <w:tcW w:w="7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157"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720"/>
        <w:jc w:val="both"/>
        <w:rPr/>
      </w:pPr>
      <w:r>
        <w:rPr/>
        <w:t>​</w:t>
      </w:r>
    </w:p>
    <w:tbl>
      <w:tblPr>
        <w:tblW w:w="9923" w:type="dxa"/>
        <w:jc w:val="left"/>
        <w:tblInd w:w="0" w:type="dxa"/>
        <w:tblLayout w:type="fixed"/>
        <w:tblCellMar>
          <w:top w:w="0" w:type="dxa"/>
          <w:left w:w="0" w:type="dxa"/>
          <w:bottom w:w="0" w:type="dxa"/>
          <w:right w:w="0" w:type="dxa"/>
        </w:tblCellMar>
      </w:tblPr>
      <w:tblGrid>
        <w:gridCol w:w="3946"/>
        <w:gridCol w:w="326"/>
        <w:gridCol w:w="2581"/>
        <w:gridCol w:w="326"/>
        <w:gridCol w:w="299"/>
        <w:gridCol w:w="810"/>
        <w:gridCol w:w="462"/>
        <w:gridCol w:w="299"/>
        <w:gridCol w:w="874"/>
      </w:tblGrid>
      <w:tr>
        <w:trPr/>
        <w:tc>
          <w:tcPr>
            <w:tcW w:w="3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505710" cy="175260"/>
                      <wp:effectExtent l="0" t="0" r="0" b="0"/>
                      <wp:wrapNone/>
                      <wp:docPr id="360" name="Frame360"/>
                      <a:graphic xmlns:a="http://schemas.openxmlformats.org/drawingml/2006/main">
                        <a:graphicData uri="http://schemas.microsoft.com/office/word/2010/wordprocessingShape">
                          <wps:wsp>
                            <wps:cNvSpPr txBox="1"/>
                            <wps:spPr>
                              <a:xfrm>
                                <a:off x="0" y="0"/>
                                <a:ext cx="2505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07010" cy="175260"/>
                      <wp:effectExtent l="0" t="0" r="0" b="0"/>
                      <wp:wrapNone/>
                      <wp:docPr id="361" name="Frame3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638935" cy="175260"/>
                      <wp:effectExtent l="0" t="0" r="0" b="0"/>
                      <wp:wrapNone/>
                      <wp:docPr id="362" name="Frame362"/>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07010" cy="175260"/>
                      <wp:effectExtent l="0" t="0" r="0" b="0"/>
                      <wp:wrapNone/>
                      <wp:docPr id="363" name="Frame3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89865" cy="175260"/>
                      <wp:effectExtent l="0" t="0" r="0" b="0"/>
                      <wp:wrapNone/>
                      <wp:docPr id="364" name="Frame364"/>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514350" cy="175260"/>
                      <wp:effectExtent l="0" t="0" r="0" b="0"/>
                      <wp:wrapNone/>
                      <wp:docPr id="365" name="Frame365"/>
                      <a:graphic xmlns:a="http://schemas.openxmlformats.org/drawingml/2006/main">
                        <a:graphicData uri="http://schemas.microsoft.com/office/word/2010/wordprocessingShape">
                          <wps:wsp>
                            <wps:cNvSpPr txBox="1"/>
                            <wps:spPr>
                              <a:xfrm>
                                <a:off x="0" y="0"/>
                                <a:ext cx="514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93370" cy="175260"/>
                      <wp:effectExtent l="0" t="0" r="0" b="0"/>
                      <wp:wrapNone/>
                      <wp:docPr id="366" name="Frame366"/>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89865" cy="175260"/>
                      <wp:effectExtent l="0" t="0" r="0" b="0"/>
                      <wp:wrapNone/>
                      <wp:docPr id="367" name="Frame367"/>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554990" cy="175260"/>
                      <wp:effectExtent l="0" t="0" r="0" b="0"/>
                      <wp:wrapNone/>
                      <wp:docPr id="368" name="Frame368"/>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5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Statement</w:t>
            </w:r>
          </w:p>
        </w:tc>
        <w:tc>
          <w:tcPr>
            <w:tcW w:w="326" w:type="dxa"/>
            <w:tcBorders/>
            <w:vAlign w:val="center"/>
          </w:tcPr>
          <w:p>
            <w:pPr>
              <w:pStyle w:val="TableContents"/>
              <w:bidi w:val="0"/>
              <w:spacing w:before="0" w:after="1"/>
              <w:ind w:left="0" w:right="0" w:hanging="0"/>
              <w:jc w:val="center"/>
              <w:rPr/>
            </w:pPr>
            <w:r>
              <w:rPr/>
              <w:t>​</w:t>
            </w:r>
          </w:p>
        </w:tc>
        <w:tc>
          <w:tcPr>
            <w:tcW w:w="274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w:t>
            </w:r>
          </w:p>
        </w:tc>
      </w:tr>
      <w:tr>
        <w:trPr/>
        <w:tc>
          <w:tcPr>
            <w:tcW w:w="39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Intangible asset</w:t>
            </w:r>
          </w:p>
        </w:tc>
        <w:tc>
          <w:tcPr>
            <w:tcW w:w="326" w:type="dxa"/>
            <w:tcBorders/>
            <w:vAlign w:val="center"/>
          </w:tcPr>
          <w:p>
            <w:pPr>
              <w:pStyle w:val="TableContents"/>
              <w:bidi w:val="0"/>
              <w:spacing w:before="0" w:after="1"/>
              <w:ind w:left="0" w:right="0" w:hanging="0"/>
              <w:jc w:val="center"/>
              <w:rPr/>
            </w:pPr>
            <w:r>
              <w:rPr/>
              <w:t>    </w:t>
            </w:r>
          </w:p>
        </w:tc>
        <w:tc>
          <w:tcPr>
            <w:tcW w:w="25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326" w:type="dxa"/>
            <w:tcBorders/>
            <w:vAlign w:val="center"/>
          </w:tcPr>
          <w:p>
            <w:pPr>
              <w:pStyle w:val="TableContents"/>
              <w:bidi w:val="0"/>
              <w:spacing w:before="0" w:after="1"/>
              <w:ind w:left="0" w:right="0" w:hanging="0"/>
              <w:jc w:val="center"/>
              <w:rPr/>
            </w:pPr>
            <w:r>
              <w:rPr/>
              <w:t>    </w:t>
            </w:r>
          </w:p>
        </w:tc>
        <w:tc>
          <w:tcPr>
            <w:tcW w:w="11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62" w:type="dxa"/>
            <w:tcBorders/>
            <w:vAlign w:val="center"/>
          </w:tcPr>
          <w:p>
            <w:pPr>
              <w:pStyle w:val="TableContents"/>
              <w:bidi w:val="0"/>
              <w:spacing w:before="0" w:after="1"/>
              <w:ind w:left="0" w:right="0" w:hanging="0"/>
              <w:jc w:val="center"/>
              <w:rPr/>
            </w:pPr>
            <w:r>
              <w:rPr/>
              <w:t>    </w:t>
            </w:r>
          </w:p>
        </w:tc>
        <w:tc>
          <w:tcPr>
            <w:tcW w:w="117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Above-market lease assets (decrease to income)</w:t>
            </w:r>
          </w:p>
        </w:tc>
        <w:tc>
          <w:tcPr>
            <w:tcW w:w="326" w:type="dxa"/>
            <w:tcBorders/>
            <w:shd w:fill="CCEEFF" w:val="clear"/>
            <w:vAlign w:val="center"/>
          </w:tcPr>
          <w:p>
            <w:pPr>
              <w:pStyle w:val="TableContents"/>
              <w:bidi w:val="0"/>
              <w:spacing w:before="0" w:after="1"/>
              <w:ind w:left="0" w:right="0" w:hanging="0"/>
              <w:jc w:val="left"/>
              <w:rPr/>
            </w:pPr>
            <w:r>
              <w:rPr/>
              <w:t> </w:t>
            </w:r>
          </w:p>
        </w:tc>
        <w:tc>
          <w:tcPr>
            <w:tcW w:w="258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Operating lease income</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1,567</w:t>
            </w:r>
          </w:p>
        </w:tc>
        <w:tc>
          <w:tcPr>
            <w:tcW w:w="462"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1,567</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In-place lease assets (decrease to income)</w:t>
            </w:r>
          </w:p>
        </w:tc>
        <w:tc>
          <w:tcPr>
            <w:tcW w:w="326" w:type="dxa"/>
            <w:tcBorders/>
            <w:vAlign w:val="center"/>
          </w:tcPr>
          <w:p>
            <w:pPr>
              <w:pStyle w:val="TableContents"/>
              <w:bidi w:val="0"/>
              <w:spacing w:before="0" w:after="1"/>
              <w:ind w:left="0" w:right="0" w:hanging="0"/>
              <w:jc w:val="left"/>
              <w:rPr/>
            </w:pPr>
            <w:r>
              <w:rPr/>
              <w:t> </w:t>
            </w:r>
          </w:p>
        </w:tc>
        <w:tc>
          <w:tcPr>
            <w:tcW w:w="258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 </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1,191</w:t>
            </w:r>
          </w:p>
        </w:tc>
        <w:tc>
          <w:tcPr>
            <w:tcW w:w="462"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 </w:t>
            </w:r>
          </w:p>
        </w:tc>
        <w:tc>
          <w:tcPr>
            <w:tcW w:w="8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1,760</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intangible assets (decrease to income)</w:t>
            </w:r>
          </w:p>
        </w:tc>
        <w:tc>
          <w:tcPr>
            <w:tcW w:w="326" w:type="dxa"/>
            <w:tcBorders/>
            <w:shd w:fill="CCEEFF" w:val="clear"/>
            <w:vAlign w:val="center"/>
          </w:tcPr>
          <w:p>
            <w:pPr>
              <w:pStyle w:val="TableContents"/>
              <w:bidi w:val="0"/>
              <w:spacing w:before="0" w:after="1"/>
              <w:ind w:left="0" w:right="0" w:hanging="0"/>
              <w:jc w:val="left"/>
              <w:rPr/>
            </w:pPr>
            <w:r>
              <w:rPr/>
              <w:t> </w:t>
            </w:r>
          </w:p>
        </w:tc>
        <w:tc>
          <w:tcPr>
            <w:tcW w:w="258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Operating lease income</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 </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462"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 </w:t>
            </w:r>
          </w:p>
        </w:tc>
        <w:tc>
          <w:tcPr>
            <w:tcW w:w="874"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4</w:t>
            </w:r>
          </w:p>
        </w:tc>
      </w:tr>
    </w:tbl>
    <w:p>
      <w:pPr>
        <w:pStyle w:val="TextBody"/>
        <w:bidi w:val="0"/>
        <w:spacing w:before="0" w:after="240"/>
        <w:ind w:left="0" w:right="0" w:firstLine="720"/>
        <w:jc w:val="both"/>
        <w:rPr/>
      </w:pPr>
      <w:r>
        <w:rPr/>
        <w:t>​</w:t>
      </w:r>
    </w:p>
    <w:p>
      <w:pPr>
        <w:pStyle w:val="TextBody"/>
        <w:bidi w:val="0"/>
        <w:spacing w:lineRule="auto" w:line="240" w:before="0" w:after="0"/>
        <w:ind w:left="0" w:right="0" w:firstLine="720"/>
        <w:jc w:val="both"/>
        <w:rPr>
          <w:rFonts w:ascii="Times New Roman;Times;serif" w:hAnsi="Times New Roman;Times;serif"/>
          <w:sz w:val="20"/>
        </w:rPr>
      </w:pPr>
      <w:r>
        <w:rPr>
          <w:rFonts w:ascii="Times New Roman;Times;serif" w:hAnsi="Times New Roman;Times;serif"/>
          <w:sz w:val="20"/>
        </w:rPr>
        <w:t>The estimated amortization of real estate-related intangible assets for each of the five succeeding fiscal years is as follows ($ in thousands):</w:t>
      </w:r>
      <w:r>
        <w:rPr>
          <w:rFonts w:ascii="Times New Roman;Times;serif" w:hAnsi="Times New Roman;Times;serif"/>
          <w:sz w:val="15"/>
        </w:rPr>
        <w:t xml:space="preserve">(1) </w:t>
      </w:r>
    </w:p>
    <w:tbl>
      <w:tblPr>
        <w:tblW w:w="3674" w:type="dxa"/>
        <w:jc w:val="left"/>
        <w:tblInd w:w="0" w:type="dxa"/>
        <w:tblLayout w:type="fixed"/>
        <w:tblCellMar>
          <w:top w:w="0" w:type="dxa"/>
          <w:left w:w="0" w:type="dxa"/>
          <w:bottom w:w="0" w:type="dxa"/>
          <w:right w:w="0" w:type="dxa"/>
        </w:tblCellMar>
      </w:tblPr>
      <w:tblGrid>
        <w:gridCol w:w="2461"/>
        <w:gridCol w:w="326"/>
        <w:gridCol w:w="211"/>
        <w:gridCol w:w="676"/>
      </w:tblGrid>
      <w:tr>
        <w:trPr/>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562735" cy="175260"/>
                      <wp:effectExtent l="0" t="0" r="0" b="0"/>
                      <wp:wrapNone/>
                      <wp:docPr id="369" name="Frame369"/>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07010" cy="175260"/>
                      <wp:effectExtent l="0" t="0" r="0" b="0"/>
                      <wp:wrapNone/>
                      <wp:docPr id="370" name="Frame3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33985" cy="175260"/>
                      <wp:effectExtent l="0" t="0" r="0" b="0"/>
                      <wp:wrapNone/>
                      <wp:docPr id="371" name="Frame3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429260" cy="175260"/>
                      <wp:effectExtent l="0" t="0" r="0" b="0"/>
                      <wp:wrapNone/>
                      <wp:docPr id="372" name="Frame37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 (remaining six months)</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2,766</w:t>
            </w:r>
          </w:p>
        </w:tc>
      </w:tr>
      <w:tr>
        <w:trPr/>
        <w:tc>
          <w:tcPr>
            <w:tcW w:w="2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3,538</w:t>
            </w:r>
          </w:p>
        </w:tc>
      </w:tr>
      <w:tr>
        <w:trPr/>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3,538</w:t>
            </w:r>
          </w:p>
        </w:tc>
      </w:tr>
      <w:tr>
        <w:trPr/>
        <w:tc>
          <w:tcPr>
            <w:tcW w:w="2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3,530</w:t>
            </w:r>
          </w:p>
        </w:tc>
      </w:tr>
      <w:tr>
        <w:trPr/>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3,530</w:t>
            </w:r>
          </w:p>
        </w:tc>
      </w:tr>
    </w:tbl>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7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June 30, 2025, the weighted average amortization period for the Company’s real estate-related intangible assets was approximately 81.5</w:t>
            </w:r>
            <w:r>
              <w:rPr>
                <w:caps w:val="false"/>
                <w:smallCaps w:val="false"/>
              </w:rPr>
              <w:t> </w:t>
            </w:r>
            <w:r>
              <w:rPr>
                <w:rFonts w:ascii="Times New Roman;Times;serif" w:hAnsi="Times New Roman;Times;serif"/>
                <w:b w:val="false"/>
                <w:i w:val="false"/>
                <w:caps w:val="false"/>
                <w:smallCaps w:val="false"/>
                <w:sz w:val="16"/>
              </w:rPr>
              <w:t>years.</w:t>
            </w:r>
          </w:p>
        </w:tc>
      </w:tr>
    </w:tbl>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 xml:space="preserve">The amortization of real estate-related intangible liabilities had the following impact on the Company’s consolidated statements of operations for the three and six months ended June 30, 2025 and 2024 ($ in thousands): </w:t>
      </w:r>
    </w:p>
    <w:tbl>
      <w:tblPr>
        <w:tblW w:w="10143" w:type="dxa"/>
        <w:jc w:val="left"/>
        <w:tblInd w:w="0" w:type="dxa"/>
        <w:tblLayout w:type="fixed"/>
        <w:tblCellMar>
          <w:top w:w="0" w:type="dxa"/>
          <w:left w:w="0" w:type="dxa"/>
          <w:bottom w:w="0" w:type="dxa"/>
          <w:right w:w="0" w:type="dxa"/>
        </w:tblCellMar>
      </w:tblPr>
      <w:tblGrid>
        <w:gridCol w:w="4216"/>
        <w:gridCol w:w="326"/>
        <w:gridCol w:w="2011"/>
        <w:gridCol w:w="326"/>
        <w:gridCol w:w="384"/>
        <w:gridCol w:w="766"/>
        <w:gridCol w:w="593"/>
        <w:gridCol w:w="384"/>
        <w:gridCol w:w="766"/>
        <w:gridCol w:w="371"/>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677160" cy="175260"/>
                      <wp:effectExtent l="0" t="0" r="0" b="0"/>
                      <wp:wrapNone/>
                      <wp:docPr id="373" name="Frame373"/>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07010" cy="175260"/>
                      <wp:effectExtent l="0" t="0" r="0" b="0"/>
                      <wp:wrapNone/>
                      <wp:docPr id="374" name="Frame3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276985" cy="175260"/>
                      <wp:effectExtent l="0" t="0" r="0" b="0"/>
                      <wp:wrapNone/>
                      <wp:docPr id="375" name="Frame375"/>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07010" cy="175260"/>
                      <wp:effectExtent l="0" t="0" r="0" b="0"/>
                      <wp:wrapNone/>
                      <wp:docPr id="376" name="Frame3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43840" cy="175260"/>
                      <wp:effectExtent l="0" t="0" r="0" b="0"/>
                      <wp:wrapNone/>
                      <wp:docPr id="377" name="Frame377"/>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486410" cy="175260"/>
                      <wp:effectExtent l="0" t="0" r="0" b="0"/>
                      <wp:wrapNone/>
                      <wp:docPr id="378" name="Frame378"/>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376555" cy="175260"/>
                      <wp:effectExtent l="0" t="0" r="0" b="0"/>
                      <wp:wrapNone/>
                      <wp:docPr id="379" name="Frame379"/>
                      <a:graphic xmlns:a="http://schemas.openxmlformats.org/drawingml/2006/main">
                        <a:graphicData uri="http://schemas.microsoft.com/office/word/2010/wordprocessingShape">
                          <wps:wsp>
                            <wps:cNvSpPr txBox="1"/>
                            <wps:spPr>
                              <a:xfrm>
                                <a:off x="0" y="0"/>
                                <a:ext cx="376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43840" cy="175260"/>
                      <wp:effectExtent l="0" t="0" r="0" b="0"/>
                      <wp:wrapNone/>
                      <wp:docPr id="380" name="Frame380"/>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486410" cy="175260"/>
                      <wp:effectExtent l="0" t="0" r="0" b="0"/>
                      <wp:wrapNone/>
                      <wp:docPr id="381" name="Frame381"/>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35585" cy="175260"/>
                      <wp:effectExtent l="0" t="0" r="0" b="0"/>
                      <wp:wrapNone/>
                      <wp:docPr id="382" name="Frame382"/>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0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Statement</w:t>
            </w:r>
          </w:p>
        </w:tc>
        <w:tc>
          <w:tcPr>
            <w:tcW w:w="326" w:type="dxa"/>
            <w:tcBorders/>
            <w:vAlign w:val="center"/>
          </w:tcPr>
          <w:p>
            <w:pPr>
              <w:pStyle w:val="TableContents"/>
              <w:bidi w:val="0"/>
              <w:spacing w:before="0" w:after="0"/>
              <w:ind w:left="0" w:right="0" w:hanging="0"/>
              <w:jc w:val="center"/>
              <w:rPr/>
            </w:pPr>
            <w:r>
              <w:rPr/>
              <w:t>    </w:t>
            </w:r>
          </w:p>
        </w:tc>
        <w:tc>
          <w:tcPr>
            <w:tcW w:w="28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371" w:type="dxa"/>
            <w:tcBorders/>
            <w:vAlign w:val="center"/>
          </w:tcPr>
          <w:p>
            <w:pPr>
              <w:pStyle w:val="TableContents"/>
              <w:bidi w:val="0"/>
              <w:spacing w:before="0" w:after="0"/>
              <w:ind w:left="0" w:right="0" w:hanging="0"/>
              <w:jc w:val="center"/>
              <w:rPr/>
            </w:pPr>
            <w:r>
              <w:rPr/>
              <w:t>​</w:t>
            </w:r>
          </w:p>
        </w:tc>
      </w:tr>
      <w:tr>
        <w:trPr/>
        <w:tc>
          <w:tcPr>
            <w:tcW w:w="42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Intangible liability</w:t>
            </w:r>
          </w:p>
        </w:tc>
        <w:tc>
          <w:tcPr>
            <w:tcW w:w="326" w:type="dxa"/>
            <w:tcBorders/>
            <w:vAlign w:val="center"/>
          </w:tcPr>
          <w:p>
            <w:pPr>
              <w:pStyle w:val="TableContents"/>
              <w:bidi w:val="0"/>
              <w:spacing w:before="0" w:after="0"/>
              <w:ind w:left="0" w:right="0" w:hanging="0"/>
              <w:jc w:val="center"/>
              <w:rPr/>
            </w:pPr>
            <w:r>
              <w:rPr/>
              <w:t>    </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326" w:type="dxa"/>
            <w:tcBorders/>
            <w:vAlign w:val="center"/>
          </w:tcPr>
          <w:p>
            <w:pPr>
              <w:pStyle w:val="TableContents"/>
              <w:bidi w:val="0"/>
              <w:spacing w:before="0" w:after="0"/>
              <w:ind w:left="0" w:right="0" w:hanging="0"/>
              <w:jc w:val="center"/>
              <w:rPr/>
            </w:pPr>
            <w:r>
              <w:rPr/>
              <w:t>    </w:t>
            </w:r>
          </w:p>
        </w:tc>
        <w:tc>
          <w:tcPr>
            <w:tcW w:w="11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93" w:type="dxa"/>
            <w:tcBorders/>
            <w:vAlign w:val="center"/>
          </w:tcPr>
          <w:p>
            <w:pPr>
              <w:pStyle w:val="TableContents"/>
              <w:bidi w:val="0"/>
              <w:spacing w:before="0" w:after="0"/>
              <w:ind w:left="0" w:right="0" w:hanging="0"/>
              <w:jc w:val="center"/>
              <w:rPr/>
            </w:pPr>
            <w:r>
              <w:rPr/>
              <w:t>    </w:t>
            </w:r>
          </w:p>
        </w:tc>
        <w:tc>
          <w:tcPr>
            <w:tcW w:w="11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71" w:type="dxa"/>
            <w:tcBorders/>
            <w:vAlign w:val="center"/>
          </w:tcPr>
          <w:p>
            <w:pPr>
              <w:pStyle w:val="TableContents"/>
              <w:bidi w:val="0"/>
              <w:spacing w:before="0" w:after="0"/>
              <w:ind w:left="0" w:right="0" w:hanging="0"/>
              <w:jc w:val="center"/>
              <w:rPr/>
            </w:pPr>
            <w:r>
              <w:rPr/>
              <w:t>    </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Below-market lease liabilities (increase to income)</w:t>
            </w:r>
          </w:p>
        </w:tc>
        <w:tc>
          <w:tcPr>
            <w:tcW w:w="326" w:type="dxa"/>
            <w:tcBorders/>
            <w:shd w:fill="CCEEFF" w:val="clear"/>
            <w:vAlign w:val="center"/>
          </w:tcPr>
          <w:p>
            <w:pPr>
              <w:pStyle w:val="TableContents"/>
              <w:bidi w:val="0"/>
              <w:spacing w:before="0" w:after="0"/>
              <w:ind w:left="0" w:right="0" w:hanging="0"/>
              <w:jc w:val="left"/>
              <w:rPr/>
            </w:pPr>
            <w:r>
              <w:rPr/>
              <w:t> </w:t>
            </w:r>
          </w:p>
        </w:tc>
        <w:tc>
          <w:tcPr>
            <w:tcW w:w="20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Operating lease income</w:t>
            </w:r>
          </w:p>
        </w:tc>
        <w:tc>
          <w:tcPr>
            <w:tcW w:w="326" w:type="dxa"/>
            <w:tcBorders/>
            <w:shd w:fill="CCEEFF" w:val="clear"/>
            <w:vAlign w:val="center"/>
          </w:tcPr>
          <w:p>
            <w:pPr>
              <w:pStyle w:val="TableContents"/>
              <w:bidi w:val="0"/>
              <w:spacing w:before="0" w:after="0"/>
              <w:ind w:left="0" w:right="0" w:hanging="0"/>
              <w:jc w:val="left"/>
              <w:rPr/>
            </w:pPr>
            <w:r>
              <w:rPr/>
              <w:t>​</w:t>
            </w:r>
          </w:p>
        </w:tc>
        <w:tc>
          <w:tcPr>
            <w:tcW w:w="3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593" w:type="dxa"/>
            <w:tcBorders/>
            <w:shd w:fill="CCEEFF" w:val="clear"/>
            <w:vAlign w:val="center"/>
          </w:tcPr>
          <w:p>
            <w:pPr>
              <w:pStyle w:val="TableContents"/>
              <w:bidi w:val="0"/>
              <w:spacing w:before="0" w:after="0"/>
              <w:ind w:left="0" w:right="0" w:hanging="0"/>
              <w:jc w:val="left"/>
              <w:rPr/>
            </w:pPr>
            <w:r>
              <w:rPr/>
              <w:t>​</w:t>
            </w:r>
          </w:p>
        </w:tc>
        <w:tc>
          <w:tcPr>
            <w:tcW w:w="3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371"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tbl>
      <w:tblPr>
        <w:tblW w:w="9623" w:type="dxa"/>
        <w:jc w:val="left"/>
        <w:tblInd w:w="0" w:type="dxa"/>
        <w:tblLayout w:type="fixed"/>
        <w:tblCellMar>
          <w:top w:w="0" w:type="dxa"/>
          <w:left w:w="0" w:type="dxa"/>
          <w:bottom w:w="0" w:type="dxa"/>
          <w:right w:w="0" w:type="dxa"/>
        </w:tblCellMar>
      </w:tblPr>
      <w:tblGrid>
        <w:gridCol w:w="4216"/>
        <w:gridCol w:w="326"/>
        <w:gridCol w:w="2011"/>
        <w:gridCol w:w="326"/>
        <w:gridCol w:w="339"/>
        <w:gridCol w:w="678"/>
        <w:gridCol w:w="525"/>
        <w:gridCol w:w="339"/>
        <w:gridCol w:w="863"/>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677160" cy="175260"/>
                      <wp:effectExtent l="0" t="0" r="0" b="0"/>
                      <wp:wrapNone/>
                      <wp:docPr id="383" name="Frame383"/>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07010" cy="175260"/>
                      <wp:effectExtent l="0" t="0" r="0" b="0"/>
                      <wp:wrapNone/>
                      <wp:docPr id="384" name="Frame3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276985" cy="175260"/>
                      <wp:effectExtent l="0" t="0" r="0" b="0"/>
                      <wp:wrapNone/>
                      <wp:docPr id="385" name="Frame385"/>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07010" cy="175260"/>
                      <wp:effectExtent l="0" t="0" r="0" b="0"/>
                      <wp:wrapNone/>
                      <wp:docPr id="386" name="Frame3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15265" cy="175260"/>
                      <wp:effectExtent l="0" t="0" r="0" b="0"/>
                      <wp:wrapNone/>
                      <wp:docPr id="387" name="Frame387"/>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430530" cy="175260"/>
                      <wp:effectExtent l="0" t="0" r="0" b="0"/>
                      <wp:wrapNone/>
                      <wp:docPr id="388" name="Frame388"/>
                      <a:graphic xmlns:a="http://schemas.openxmlformats.org/drawingml/2006/main">
                        <a:graphicData uri="http://schemas.microsoft.com/office/word/2010/wordprocessingShape">
                          <wps:wsp>
                            <wps:cNvSpPr txBox="1"/>
                            <wps:spPr>
                              <a:xfrm>
                                <a:off x="0" y="0"/>
                                <a:ext cx="430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333375" cy="175260"/>
                      <wp:effectExtent l="0" t="0" r="0" b="0"/>
                      <wp:wrapNone/>
                      <wp:docPr id="389" name="Frame389"/>
                      <a:graphic xmlns:a="http://schemas.openxmlformats.org/drawingml/2006/main">
                        <a:graphicData uri="http://schemas.microsoft.com/office/word/2010/wordprocessingShape">
                          <wps:wsp>
                            <wps:cNvSpPr txBox="1"/>
                            <wps:spPr>
                              <a:xfrm>
                                <a:off x="0" y="0"/>
                                <a:ext cx="333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15265" cy="175260"/>
                      <wp:effectExtent l="0" t="0" r="0" b="0"/>
                      <wp:wrapNone/>
                      <wp:docPr id="390" name="Frame390"/>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548005" cy="175260"/>
                      <wp:effectExtent l="0" t="0" r="0" b="0"/>
                      <wp:wrapNone/>
                      <wp:docPr id="391" name="Frame391"/>
                      <a:graphic xmlns:a="http://schemas.openxmlformats.org/drawingml/2006/main">
                        <a:graphicData uri="http://schemas.microsoft.com/office/word/2010/wordprocessingShape">
                          <wps:wsp>
                            <wps:cNvSpPr txBox="1"/>
                            <wps:spPr>
                              <a:xfrm>
                                <a:off x="0" y="0"/>
                                <a:ext cx="548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0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Statement</w:t>
            </w:r>
          </w:p>
        </w:tc>
        <w:tc>
          <w:tcPr>
            <w:tcW w:w="326" w:type="dxa"/>
            <w:tcBorders/>
            <w:vAlign w:val="center"/>
          </w:tcPr>
          <w:p>
            <w:pPr>
              <w:pStyle w:val="TableContents"/>
              <w:bidi w:val="0"/>
              <w:spacing w:before="0" w:after="1"/>
              <w:ind w:left="0" w:right="0" w:hanging="0"/>
              <w:jc w:val="center"/>
              <w:rPr/>
            </w:pPr>
            <w:r>
              <w:rPr/>
              <w:t>    </w:t>
            </w:r>
          </w:p>
        </w:tc>
        <w:tc>
          <w:tcPr>
            <w:tcW w:w="274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w:t>
            </w:r>
          </w:p>
        </w:tc>
      </w:tr>
      <w:tr>
        <w:trPr/>
        <w:tc>
          <w:tcPr>
            <w:tcW w:w="42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Intangible liability</w:t>
            </w:r>
          </w:p>
        </w:tc>
        <w:tc>
          <w:tcPr>
            <w:tcW w:w="326" w:type="dxa"/>
            <w:tcBorders/>
            <w:vAlign w:val="center"/>
          </w:tcPr>
          <w:p>
            <w:pPr>
              <w:pStyle w:val="TableContents"/>
              <w:bidi w:val="0"/>
              <w:spacing w:before="0" w:after="1"/>
              <w:ind w:left="0" w:right="0" w:hanging="0"/>
              <w:jc w:val="center"/>
              <w:rPr/>
            </w:pPr>
            <w:r>
              <w:rPr/>
              <w:t>    </w:t>
            </w:r>
          </w:p>
        </w:tc>
        <w:tc>
          <w:tcPr>
            <w:tcW w:w="20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326" w:type="dxa"/>
            <w:tcBorders/>
            <w:vAlign w:val="center"/>
          </w:tcPr>
          <w:p>
            <w:pPr>
              <w:pStyle w:val="TableContents"/>
              <w:bidi w:val="0"/>
              <w:spacing w:before="0" w:after="1"/>
              <w:ind w:left="0" w:right="0" w:hanging="0"/>
              <w:jc w:val="center"/>
              <w:rPr/>
            </w:pPr>
            <w:r>
              <w:rPr/>
              <w:t>    </w:t>
            </w:r>
          </w:p>
        </w:tc>
        <w:tc>
          <w:tcPr>
            <w:tcW w:w="10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25" w:type="dxa"/>
            <w:tcBorders/>
            <w:vAlign w:val="center"/>
          </w:tcPr>
          <w:p>
            <w:pPr>
              <w:pStyle w:val="TableContents"/>
              <w:bidi w:val="0"/>
              <w:spacing w:before="0" w:after="1"/>
              <w:ind w:left="0" w:right="0" w:hanging="0"/>
              <w:jc w:val="center"/>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Below-market lease liabilities (increase to income)</w:t>
            </w:r>
          </w:p>
        </w:tc>
        <w:tc>
          <w:tcPr>
            <w:tcW w:w="326" w:type="dxa"/>
            <w:tcBorders/>
            <w:shd w:fill="CCEEFF" w:val="clear"/>
            <w:vAlign w:val="center"/>
          </w:tcPr>
          <w:p>
            <w:pPr>
              <w:pStyle w:val="TableContents"/>
              <w:bidi w:val="0"/>
              <w:spacing w:before="0" w:after="1"/>
              <w:ind w:left="0" w:right="0" w:hanging="0"/>
              <w:jc w:val="left"/>
              <w:rPr/>
            </w:pPr>
            <w:r>
              <w:rPr/>
              <w:t> </w:t>
            </w:r>
          </w:p>
        </w:tc>
        <w:tc>
          <w:tcPr>
            <w:tcW w:w="20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Operating lease income</w:t>
            </w:r>
          </w:p>
        </w:tc>
        <w:tc>
          <w:tcPr>
            <w:tcW w:w="326" w:type="dxa"/>
            <w:tcBorders/>
            <w:shd w:fill="CCEEFF" w:val="clear"/>
            <w:vAlign w:val="center"/>
          </w:tcPr>
          <w:p>
            <w:pPr>
              <w:pStyle w:val="TableContents"/>
              <w:bidi w:val="0"/>
              <w:spacing w:before="0" w:after="1"/>
              <w:ind w:left="0" w:right="0" w:hanging="0"/>
              <w:jc w:val="left"/>
              <w:rPr/>
            </w:pPr>
            <w:r>
              <w:rPr/>
              <w:t>​</w:t>
            </w:r>
          </w:p>
        </w:tc>
        <w:tc>
          <w:tcPr>
            <w:tcW w:w="3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w:t>
            </w:r>
          </w:p>
        </w:tc>
        <w:tc>
          <w:tcPr>
            <w:tcW w:w="525" w:type="dxa"/>
            <w:tcBorders/>
            <w:shd w:fill="CCEEFF" w:val="clear"/>
            <w:vAlign w:val="center"/>
          </w:tcPr>
          <w:p>
            <w:pPr>
              <w:pStyle w:val="TableContents"/>
              <w:bidi w:val="0"/>
              <w:spacing w:before="0" w:after="1"/>
              <w:ind w:left="0" w:right="0" w:hanging="0"/>
              <w:jc w:val="left"/>
              <w:rPr/>
            </w:pPr>
            <w:r>
              <w:rPr/>
              <w:t>​</w:t>
            </w:r>
          </w:p>
        </w:tc>
        <w:tc>
          <w:tcPr>
            <w:tcW w:w="3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416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120"/>
        <w:ind w:left="0" w:right="0" w:firstLine="720"/>
        <w:jc w:val="both"/>
        <w:rPr>
          <w:rFonts w:ascii="Times New Roman;Times;serif" w:hAnsi="Times New Roman;Times;serif"/>
          <w:sz w:val="20"/>
        </w:rPr>
      </w:pPr>
      <w:bookmarkStart w:id="1481" w:name="Tc_MRWKcSkr-0S6uNgRx6R3eg_10_15"/>
      <w:bookmarkStart w:id="1482" w:name="Tc_LjoOrckBYUi4JKCyqbQXeg_10_0"/>
      <w:bookmarkStart w:id="1483" w:name="Tc_jZCq_D_MuUuZuxUi8KAFNQ_9_15"/>
      <w:bookmarkStart w:id="1484" w:name="Tc_pFfVOMXSY0Gr4hOH40VarA_9_0"/>
      <w:bookmarkStart w:id="1485" w:name="Tc_AiJsGuUGLUWtOX_E5vaLaA_8_0"/>
      <w:bookmarkStart w:id="1486" w:name="Tc_kh5bwMLIrkimG3xVBc1hLg_7_0"/>
      <w:bookmarkStart w:id="1487" w:name="Tc_LTjiTC72T0OUb0J2NmtEIg_6_0"/>
      <w:bookmarkStart w:id="1488" w:name="Tc_WzdGB7mPgU6JC0CsJ9NJEw_5_17"/>
      <w:bookmarkStart w:id="1489" w:name="Tc_qAl0rV5bp0KVKGcygjeckw_5_14"/>
      <w:bookmarkStart w:id="1490" w:name="Tc_Nw7Z6TEVk0-fpvv1R7YOQA_5_11"/>
      <w:bookmarkStart w:id="1491" w:name="Tc_ujZevFeBYk2k10zpl5fUdA_5_8"/>
      <w:bookmarkStart w:id="1492" w:name="Tc_LsdYlrprQ06Dt2VsoqQHog_5_5"/>
      <w:bookmarkStart w:id="1493" w:name="Tc_im6sbni38kyftaWr0trVJw_5_2"/>
      <w:bookmarkStart w:id="1494" w:name="Tc_eXwVak_eu021wt3ZL6nIwA_5_0"/>
      <w:bookmarkStart w:id="1495" w:name="Tc_WR9yNiEvKUaL6dfdDxLJfw_4_17"/>
      <w:bookmarkStart w:id="1496" w:name="Tc_sn7-tEvHEU-n_X1IwVm-4Q_4_14"/>
      <w:bookmarkStart w:id="1497" w:name="Tc_yy73v0vgLkOR3tMFjr_zyg_4_11"/>
      <w:bookmarkStart w:id="1498" w:name="Tc_ypKrWjwzoUyZxmkauUnMMw_4_8"/>
      <w:bookmarkStart w:id="1499" w:name="Tc_T31Dli7RXU68HpU-brQ5aw_4_5"/>
      <w:bookmarkStart w:id="1500" w:name="Tc_wBXpLnO3ikir_AgcbmOXfw_4_2"/>
      <w:bookmarkStart w:id="1501" w:name="Tc_-jDedMcslUWFR3S7spPprA_4_0"/>
      <w:bookmarkStart w:id="1502" w:name="Tc__TnhN_esQUCNZaizlpT_gg_3_14"/>
      <w:bookmarkStart w:id="1503" w:name="Tc_SFParnTZ4UqT6ithW6Ksow_3_11"/>
      <w:bookmarkStart w:id="1504" w:name="Tc_yo6Jm9SvgEOe38E30LF5Wg_3_8"/>
      <w:bookmarkStart w:id="1505" w:name="Tc__n50Q-D9LkG1Zk96R5KJng_3_5"/>
      <w:bookmarkStart w:id="1506" w:name="Tc_6rvRP0Nvn0mmXwj727s-9w_3_2"/>
      <w:bookmarkStart w:id="1507" w:name="Tc_i2g-U2MuTEmiS52gd6uXsw_2_14"/>
      <w:bookmarkStart w:id="1508" w:name="Tc_Tn498grnXUSdBsFqAIhf2g_2_5"/>
      <w:bookmarkStart w:id="1509" w:name="Tc_uvXVoklYsEmYSwXeORSvFg_1_14"/>
      <w:bookmarkStart w:id="1510" w:name="Tc_XIunewm_JkWWqP8L4r0NhQ_1_5"/>
      <w:bookmarkStart w:id="1511" w:name="_3b10acdf_397e_45bb_b62b_99b70c340e3b"/>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r>
        <w:rPr>
          <w:rFonts w:ascii="Times New Roman;Times;serif" w:hAnsi="Times New Roman;Times;serif"/>
          <w:i/>
          <w:sz w:val="20"/>
        </w:rPr>
        <w:t>Future Minimum Operating Lease Payments</w:t>
      </w:r>
      <w:r>
        <w:rPr>
          <w:rFonts w:ascii="Times New Roman;Times;serif" w:hAnsi="Times New Roman;Times;serif"/>
          <w:sz w:val="20"/>
        </w:rPr>
        <w:t xml:space="preserve">—Future minimum lease payments to be collected under non-cancelable operating leases, excluding lease payments that are not fixed and determinable, in effect as of June 30, 2025, are as follows by year ($ in thousands): </w:t>
      </w:r>
    </w:p>
    <w:tbl>
      <w:tblPr>
        <w:tblW w:w="10205" w:type="dxa"/>
        <w:jc w:val="left"/>
        <w:tblInd w:w="0" w:type="dxa"/>
        <w:tblLayout w:type="fixed"/>
        <w:tblCellMar>
          <w:top w:w="0" w:type="dxa"/>
          <w:left w:w="0" w:type="dxa"/>
          <w:bottom w:w="0" w:type="dxa"/>
          <w:right w:w="0" w:type="dxa"/>
        </w:tblCellMar>
      </w:tblPr>
      <w:tblGrid>
        <w:gridCol w:w="1914"/>
        <w:gridCol w:w="326"/>
        <w:gridCol w:w="211"/>
        <w:gridCol w:w="781"/>
        <w:gridCol w:w="326"/>
        <w:gridCol w:w="211"/>
        <w:gridCol w:w="931"/>
        <w:gridCol w:w="326"/>
        <w:gridCol w:w="211"/>
        <w:gridCol w:w="781"/>
        <w:gridCol w:w="326"/>
        <w:gridCol w:w="228"/>
        <w:gridCol w:w="733"/>
        <w:gridCol w:w="326"/>
        <w:gridCol w:w="330"/>
        <w:gridCol w:w="661"/>
        <w:gridCol w:w="326"/>
        <w:gridCol w:w="211"/>
        <w:gridCol w:w="1046"/>
      </w:tblGrid>
      <w:tr>
        <w:trPr/>
        <w:tc>
          <w:tcPr>
            <w:tcW w:w="19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215390" cy="175260"/>
                      <wp:effectExtent l="0" t="0" r="0" b="0"/>
                      <wp:wrapNone/>
                      <wp:docPr id="392" name="Frame392"/>
                      <a:graphic xmlns:a="http://schemas.openxmlformats.org/drawingml/2006/main">
                        <a:graphicData uri="http://schemas.microsoft.com/office/word/2010/wordprocessingShape">
                          <wps:wsp>
                            <wps:cNvSpPr txBox="1"/>
                            <wps:spPr>
                              <a:xfrm>
                                <a:off x="0" y="0"/>
                                <a:ext cx="1215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07010" cy="175260"/>
                      <wp:effectExtent l="0" t="0" r="0" b="0"/>
                      <wp:wrapNone/>
                      <wp:docPr id="393" name="Frame3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33985" cy="175260"/>
                      <wp:effectExtent l="0" t="0" r="0" b="0"/>
                      <wp:wrapNone/>
                      <wp:docPr id="394" name="Frame3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495935" cy="175260"/>
                      <wp:effectExtent l="0" t="0" r="0" b="0"/>
                      <wp:wrapNone/>
                      <wp:docPr id="395" name="Frame39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07010" cy="175260"/>
                      <wp:effectExtent l="0" t="0" r="0" b="0"/>
                      <wp:wrapNone/>
                      <wp:docPr id="396" name="Frame3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33985" cy="175260"/>
                      <wp:effectExtent l="0" t="0" r="0" b="0"/>
                      <wp:wrapNone/>
                      <wp:docPr id="397" name="Frame3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591185" cy="175260"/>
                      <wp:effectExtent l="0" t="0" r="0" b="0"/>
                      <wp:wrapNone/>
                      <wp:docPr id="398" name="Frame39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07010" cy="175260"/>
                      <wp:effectExtent l="0" t="0" r="0" b="0"/>
                      <wp:wrapNone/>
                      <wp:docPr id="399" name="Frame3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33985" cy="175260"/>
                      <wp:effectExtent l="0" t="0" r="0" b="0"/>
                      <wp:wrapNone/>
                      <wp:docPr id="400" name="Frame4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495935" cy="175260"/>
                      <wp:effectExtent l="0" t="0" r="0" b="0"/>
                      <wp:wrapNone/>
                      <wp:docPr id="401" name="Frame40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07010" cy="175260"/>
                      <wp:effectExtent l="0" t="0" r="0" b="0"/>
                      <wp:wrapNone/>
                      <wp:docPr id="402" name="Frame4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44780" cy="175260"/>
                      <wp:effectExtent l="0" t="0" r="0" b="0"/>
                      <wp:wrapNone/>
                      <wp:docPr id="403" name="Frame403"/>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465455" cy="175260"/>
                      <wp:effectExtent l="0" t="0" r="0" b="0"/>
                      <wp:wrapNone/>
                      <wp:docPr id="404" name="Frame404"/>
                      <a:graphic xmlns:a="http://schemas.openxmlformats.org/drawingml/2006/main">
                        <a:graphicData uri="http://schemas.microsoft.com/office/word/2010/wordprocessingShape">
                          <wps:wsp>
                            <wps:cNvSpPr txBox="1"/>
                            <wps:spPr>
                              <a:xfrm>
                                <a:off x="0" y="0"/>
                                <a:ext cx="465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07010" cy="175260"/>
                      <wp:effectExtent l="0" t="0" r="0" b="0"/>
                      <wp:wrapNone/>
                      <wp:docPr id="405" name="Frame4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09550" cy="175260"/>
                      <wp:effectExtent l="0" t="0" r="0" b="0"/>
                      <wp:wrapNone/>
                      <wp:docPr id="406" name="Frame406"/>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419735" cy="175260"/>
                      <wp:effectExtent l="0" t="0" r="0" b="0"/>
                      <wp:wrapNone/>
                      <wp:docPr id="407" name="Frame407"/>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07010" cy="175260"/>
                      <wp:effectExtent l="0" t="0" r="0" b="0"/>
                      <wp:wrapNone/>
                      <wp:docPr id="408" name="Frame4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133985" cy="175260"/>
                      <wp:effectExtent l="0" t="0" r="0" b="0"/>
                      <wp:wrapNone/>
                      <wp:docPr id="409" name="Frame4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64210" cy="175260"/>
                      <wp:effectExtent l="0" t="0" r="0" b="0"/>
                      <wp:wrapNone/>
                      <wp:docPr id="410" name="Frame410"/>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1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Fixed Bumps </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28" w:type="dxa"/>
            <w:tcBorders/>
            <w:vAlign w:val="center"/>
          </w:tcPr>
          <w:p>
            <w:pPr>
              <w:pStyle w:val="TableContents"/>
              <w:bidi w:val="0"/>
              <w:spacing w:before="0" w:after="1"/>
              <w:ind w:left="0" w:right="0" w:hanging="0"/>
              <w:jc w:val="center"/>
              <w:rPr/>
            </w:pPr>
            <w:r>
              <w:rPr/>
              <w:t>​</w:t>
            </w:r>
          </w:p>
        </w:tc>
        <w:tc>
          <w:tcPr>
            <w:tcW w:w="73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Fixed </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1046" w:type="dxa"/>
            <w:tcBorders/>
            <w:vAlign w:val="center"/>
          </w:tcPr>
          <w:p>
            <w:pPr>
              <w:pStyle w:val="TableContents"/>
              <w:bidi w:val="0"/>
              <w:spacing w:before="0" w:after="1"/>
              <w:ind w:left="0" w:right="0" w:hanging="0"/>
              <w:jc w:val="center"/>
              <w:rPr/>
            </w:pPr>
            <w:r>
              <w:rPr/>
              <w:t>​</w:t>
            </w:r>
          </w:p>
        </w:tc>
      </w:tr>
      <w:tr>
        <w:trPr/>
        <w:tc>
          <w:tcPr>
            <w:tcW w:w="191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with </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28" w:type="dxa"/>
            <w:tcBorders/>
            <w:vAlign w:val="center"/>
          </w:tcPr>
          <w:p>
            <w:pPr>
              <w:pStyle w:val="TableContents"/>
              <w:bidi w:val="0"/>
              <w:spacing w:before="0" w:after="1"/>
              <w:ind w:left="0" w:right="0" w:hanging="0"/>
              <w:jc w:val="center"/>
              <w:rPr/>
            </w:pPr>
            <w:r>
              <w:rPr/>
              <w:t>​</w:t>
            </w:r>
          </w:p>
        </w:tc>
        <w:tc>
          <w:tcPr>
            <w:tcW w:w="73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Bumps with </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046" w:type="dxa"/>
            <w:tcBorders/>
            <w:vAlign w:val="center"/>
          </w:tcPr>
          <w:p>
            <w:pPr>
              <w:pStyle w:val="TableContents"/>
              <w:bidi w:val="0"/>
              <w:spacing w:before="0" w:after="1"/>
              <w:ind w:left="0" w:right="0" w:hanging="0"/>
              <w:jc w:val="center"/>
              <w:rPr/>
            </w:pPr>
            <w:r>
              <w:rPr/>
              <w:t>​</w:t>
            </w:r>
          </w:p>
        </w:tc>
      </w:tr>
      <w:tr>
        <w:trPr/>
        <w:tc>
          <w:tcPr>
            <w:tcW w:w="191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Inflation-</w:t>
            </w:r>
            <w:r>
              <w:rPr>
                <w:rFonts w:ascii="Times New Roman;Times;serif" w:hAnsi="Times New Roman;Times;serif"/>
                <w:sz w:val="16"/>
              </w:rPr>
              <w:t> </w:t>
            </w:r>
          </w:p>
        </w:tc>
        <w:tc>
          <w:tcPr>
            <w:tcW w:w="326" w:type="dxa"/>
            <w:tcBorders/>
            <w:vAlign w:val="center"/>
          </w:tcPr>
          <w:p>
            <w:pPr>
              <w:pStyle w:val="TableContents"/>
              <w:bidi w:val="0"/>
              <w:spacing w:before="0" w:after="1"/>
              <w:ind w:left="0" w:right="0" w:hanging="0"/>
              <w:jc w:val="center"/>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Inflation </w:t>
            </w:r>
          </w:p>
        </w:tc>
        <w:tc>
          <w:tcPr>
            <w:tcW w:w="32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Fixed </w:t>
            </w:r>
          </w:p>
        </w:tc>
        <w:tc>
          <w:tcPr>
            <w:tcW w:w="326" w:type="dxa"/>
            <w:tcBorders/>
            <w:vAlign w:val="center"/>
          </w:tcPr>
          <w:p>
            <w:pPr>
              <w:pStyle w:val="TableContents"/>
              <w:bidi w:val="0"/>
              <w:spacing w:before="0" w:after="1"/>
              <w:ind w:left="0" w:right="0" w:hanging="0"/>
              <w:jc w:val="center"/>
              <w:rPr/>
            </w:pPr>
            <w:r>
              <w:rPr/>
              <w:t>​</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 </w:t>
            </w:r>
          </w:p>
        </w:tc>
        <w:tc>
          <w:tcPr>
            <w:tcW w:w="32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 </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046" w:type="dxa"/>
            <w:tcBorders/>
            <w:vAlign w:val="center"/>
          </w:tcPr>
          <w:p>
            <w:pPr>
              <w:pStyle w:val="TableContents"/>
              <w:bidi w:val="0"/>
              <w:spacing w:before="0" w:after="1"/>
              <w:ind w:left="0" w:right="0" w:hanging="0"/>
              <w:jc w:val="center"/>
              <w:rPr/>
            </w:pPr>
            <w:r>
              <w:rPr/>
              <w:t>​</w:t>
            </w:r>
          </w:p>
        </w:tc>
      </w:tr>
      <w:tr>
        <w:trPr/>
        <w:tc>
          <w:tcPr>
            <w:tcW w:w="191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Linked</w:t>
            </w:r>
          </w:p>
        </w:tc>
        <w:tc>
          <w:tcPr>
            <w:tcW w:w="326" w:type="dxa"/>
            <w:tcBorders/>
            <w:vAlign w:val="center"/>
          </w:tcPr>
          <w:p>
            <w:pPr>
              <w:pStyle w:val="TableContents"/>
              <w:bidi w:val="0"/>
              <w:spacing w:before="0" w:after="1"/>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Bumps</w:t>
            </w:r>
          </w:p>
        </w:tc>
        <w:tc>
          <w:tcPr>
            <w:tcW w:w="326" w:type="dxa"/>
            <w:tcBorders/>
            <w:vAlign w:val="center"/>
          </w:tcPr>
          <w:p>
            <w:pPr>
              <w:pStyle w:val="TableContents"/>
              <w:bidi w:val="0"/>
              <w:spacing w:before="0" w:after="1"/>
              <w:ind w:left="0" w:right="0" w:hanging="0"/>
              <w:jc w:val="center"/>
              <w:rPr/>
            </w:pPr>
            <w:r>
              <w:rPr/>
              <w:t>    </w:t>
            </w:r>
          </w:p>
        </w:tc>
        <w:tc>
          <w:tcPr>
            <w:tcW w:w="961"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Rent</w:t>
            </w:r>
            <w:r>
              <w:rPr>
                <w:rFonts w:ascii="Times New Roman;Times;serif" w:hAnsi="Times New Roman;Times;serif"/>
                <w:b/>
                <w:sz w:val="12"/>
              </w:rPr>
              <w:t>(1)</w:t>
            </w:r>
          </w:p>
        </w:tc>
        <w:tc>
          <w:tcPr>
            <w:tcW w:w="326" w:type="dxa"/>
            <w:tcBorders/>
            <w:vAlign w:val="center"/>
          </w:tcPr>
          <w:p>
            <w:pPr>
              <w:pStyle w:val="TableContents"/>
              <w:bidi w:val="0"/>
              <w:spacing w:before="0" w:after="1"/>
              <w:ind w:left="0" w:right="0" w:hanging="0"/>
              <w:jc w:val="center"/>
              <w:rPr/>
            </w:pPr>
            <w:r>
              <w:rPr/>
              <w:t>    </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Rent </w:t>
            </w:r>
          </w:p>
        </w:tc>
        <w:tc>
          <w:tcPr>
            <w:tcW w:w="326" w:type="dxa"/>
            <w:tcBorders/>
            <w:vAlign w:val="center"/>
          </w:tcPr>
          <w:p>
            <w:pPr>
              <w:pStyle w:val="TableContents"/>
              <w:bidi w:val="0"/>
              <w:spacing w:before="0" w:after="1"/>
              <w:ind w:left="0" w:right="0" w:hanging="0"/>
              <w:jc w:val="center"/>
              <w:rPr/>
            </w:pPr>
            <w:r>
              <w:rPr/>
              <w:t>    </w:t>
            </w:r>
          </w:p>
        </w:tc>
        <w:tc>
          <w:tcPr>
            <w:tcW w:w="12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9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 (remaining six months)</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9,084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1,163</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6,380</w:t>
            </w:r>
          </w:p>
        </w:tc>
        <w:tc>
          <w:tcPr>
            <w:tcW w:w="326" w:type="dxa"/>
            <w:tcBorders/>
            <w:shd w:fill="CCEEFF" w:val="clear"/>
            <w:vAlign w:val="center"/>
          </w:tcPr>
          <w:p>
            <w:pPr>
              <w:pStyle w:val="TableContents"/>
              <w:bidi w:val="0"/>
              <w:spacing w:before="0" w:after="1"/>
              <w:ind w:left="0" w:right="0" w:hanging="0"/>
              <w:jc w:val="left"/>
              <w:rPr/>
            </w:pPr>
            <w:r>
              <w:rPr/>
              <w:t>​</w:t>
            </w:r>
          </w:p>
        </w:tc>
        <w:tc>
          <w:tcPr>
            <w:tcW w:w="3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19,741</w:t>
            </w:r>
          </w:p>
        </w:tc>
      </w:tr>
      <w:tr>
        <w:trPr/>
        <w:tc>
          <w:tcPr>
            <w:tcW w:w="19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18,469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2,357</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7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7,399</w:t>
            </w:r>
          </w:p>
        </w:tc>
        <w:tc>
          <w:tcPr>
            <w:tcW w:w="326" w:type="dxa"/>
            <w:tcBorders/>
            <w:vAlign w:val="center"/>
          </w:tcPr>
          <w:p>
            <w:pPr>
              <w:pStyle w:val="TableContents"/>
              <w:bidi w:val="0"/>
              <w:spacing w:before="0" w:after="1"/>
              <w:ind w:left="0" w:right="0" w:hanging="0"/>
              <w:jc w:val="left"/>
              <w:rPr/>
            </w:pPr>
            <w:r>
              <w:rPr/>
              <w:t>​</w:t>
            </w:r>
          </w:p>
        </w:tc>
        <w:tc>
          <w:tcPr>
            <w:tcW w:w="330"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34,453</w:t>
            </w:r>
          </w:p>
        </w:tc>
      </w:tr>
      <w:tr>
        <w:trPr/>
        <w:tc>
          <w:tcPr>
            <w:tcW w:w="19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18,856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2,388</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7,399</w:t>
            </w:r>
          </w:p>
        </w:tc>
        <w:tc>
          <w:tcPr>
            <w:tcW w:w="326" w:type="dxa"/>
            <w:tcBorders/>
            <w:shd w:fill="CCEEFF" w:val="clear"/>
            <w:vAlign w:val="center"/>
          </w:tcPr>
          <w:p>
            <w:pPr>
              <w:pStyle w:val="TableContents"/>
              <w:bidi w:val="0"/>
              <w:spacing w:before="0" w:after="1"/>
              <w:ind w:left="0" w:right="0" w:hanging="0"/>
              <w:jc w:val="left"/>
              <w:rPr/>
            </w:pPr>
            <w:r>
              <w:rPr/>
              <w:t>​</w:t>
            </w:r>
          </w:p>
        </w:tc>
        <w:tc>
          <w:tcPr>
            <w:tcW w:w="330"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34,871</w:t>
            </w:r>
          </w:p>
        </w:tc>
      </w:tr>
      <w:tr>
        <w:trPr/>
        <w:tc>
          <w:tcPr>
            <w:tcW w:w="19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19,203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2,421</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7,399</w:t>
            </w:r>
          </w:p>
        </w:tc>
        <w:tc>
          <w:tcPr>
            <w:tcW w:w="326" w:type="dxa"/>
            <w:tcBorders/>
            <w:vAlign w:val="center"/>
          </w:tcPr>
          <w:p>
            <w:pPr>
              <w:pStyle w:val="TableContents"/>
              <w:bidi w:val="0"/>
              <w:spacing w:before="0" w:after="1"/>
              <w:ind w:left="0" w:right="0" w:hanging="0"/>
              <w:jc w:val="left"/>
              <w:rPr/>
            </w:pPr>
            <w:r>
              <w:rPr/>
              <w:t>​</w:t>
            </w:r>
          </w:p>
        </w:tc>
        <w:tc>
          <w:tcPr>
            <w:tcW w:w="330"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35,134</w:t>
            </w:r>
          </w:p>
        </w:tc>
      </w:tr>
      <w:tr>
        <w:trPr/>
        <w:tc>
          <w:tcPr>
            <w:tcW w:w="19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19,558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2,453</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7,399</w:t>
            </w:r>
          </w:p>
        </w:tc>
        <w:tc>
          <w:tcPr>
            <w:tcW w:w="326" w:type="dxa"/>
            <w:tcBorders/>
            <w:shd w:fill="CCEEFF" w:val="clear"/>
            <w:vAlign w:val="center"/>
          </w:tcPr>
          <w:p>
            <w:pPr>
              <w:pStyle w:val="TableContents"/>
              <w:bidi w:val="0"/>
              <w:spacing w:before="0" w:after="1"/>
              <w:ind w:left="0" w:right="0" w:hanging="0"/>
              <w:jc w:val="left"/>
              <w:rPr/>
            </w:pPr>
            <w:r>
              <w:rPr/>
              <w:t>​</w:t>
            </w:r>
          </w:p>
        </w:tc>
        <w:tc>
          <w:tcPr>
            <w:tcW w:w="330"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35,217</w:t>
            </w:r>
          </w:p>
        </w:tc>
      </w:tr>
      <w:tr>
        <w:trPr/>
        <w:tc>
          <w:tcPr>
            <w:tcW w:w="19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423,318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4,287,241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428,235</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7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28,105</w:t>
            </w:r>
          </w:p>
        </w:tc>
        <w:tc>
          <w:tcPr>
            <w:tcW w:w="326" w:type="dxa"/>
            <w:tcBorders/>
            <w:vAlign w:val="center"/>
          </w:tcPr>
          <w:p>
            <w:pPr>
              <w:pStyle w:val="TableContents"/>
              <w:bidi w:val="0"/>
              <w:spacing w:before="0" w:after="1"/>
              <w:ind w:left="0" w:right="0" w:hanging="0"/>
              <w:jc w:val="left"/>
              <w:rPr/>
            </w:pPr>
            <w:r>
              <w:rPr/>
              <w:t>​</w:t>
            </w:r>
          </w:p>
        </w:tc>
        <w:tc>
          <w:tcPr>
            <w:tcW w:w="330"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6" w:type="dxa"/>
            <w:tcBorders/>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5,166,899</w:t>
            </w:r>
          </w:p>
        </w:tc>
      </w:tr>
    </w:tbl>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1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During the three months ended June 30, 2025 and 2024, the Company recognized $0.2</w:t>
            </w:r>
            <w:r>
              <w:rPr>
                <w:caps w:val="false"/>
                <w:smallCaps w:val="false"/>
              </w:rPr>
              <w:t> </w:t>
            </w:r>
            <w:r>
              <w:rPr>
                <w:rFonts w:ascii="Times New Roman;Times;serif" w:hAnsi="Times New Roman;Times;serif"/>
                <w:b w:val="false"/>
                <w:i w:val="false"/>
                <w:caps w:val="false"/>
                <w:smallCaps w:val="false"/>
                <w:sz w:val="16"/>
              </w:rPr>
              <w:t>million and $0.2</w:t>
            </w:r>
            <w:r>
              <w:rPr>
                <w:caps w:val="false"/>
                <w:smallCaps w:val="false"/>
              </w:rPr>
              <w:t xml:space="preserve"> </w:t>
            </w:r>
            <w:r>
              <w:rPr>
                <w:rFonts w:ascii="Times New Roman;Times;serif" w:hAnsi="Times New Roman;Times;serif"/>
                <w:b w:val="false"/>
                <w:i w:val="false"/>
                <w:caps w:val="false"/>
                <w:smallCaps w:val="false"/>
                <w:sz w:val="16"/>
              </w:rPr>
              <w:t>million, respectively, of percentage rent in “Operating lease income” in the Company’s consolidated statements of operations. During the six months ended June 30, 2025 and 2024, the Company recognized $5.2</w:t>
            </w:r>
            <w:r>
              <w:rPr>
                <w:caps w:val="false"/>
                <w:smallCaps w:val="false"/>
              </w:rPr>
              <w:t> </w:t>
            </w:r>
            <w:r>
              <w:rPr>
                <w:rFonts w:ascii="Times New Roman;Times;serif" w:hAnsi="Times New Roman;Times;serif"/>
                <w:b w:val="false"/>
                <w:i w:val="false"/>
                <w:caps w:val="false"/>
                <w:smallCaps w:val="false"/>
                <w:sz w:val="16"/>
              </w:rPr>
              <w:t>million and $4.8</w:t>
            </w:r>
            <w:r>
              <w:rPr>
                <w:caps w:val="false"/>
                <w:smallCaps w:val="false"/>
              </w:rPr>
              <w:t xml:space="preserve"> </w:t>
            </w:r>
            <w:r>
              <w:rPr>
                <w:rFonts w:ascii="Times New Roman;Times;serif" w:hAnsi="Times New Roman;Times;serif"/>
                <w:b w:val="false"/>
                <w:i w:val="false"/>
                <w:caps w:val="false"/>
                <w:smallCaps w:val="false"/>
                <w:sz w:val="16"/>
              </w:rPr>
              <w:t xml:space="preserve">million, respectively, of percentage rent in “Operating lease income” in the Company’s consolidated statements of operations. </w:t>
            </w:r>
          </w:p>
        </w:tc>
      </w:tr>
    </w:tbl>
    <w:p>
      <w:pPr>
        <w:pStyle w:val="TextBody"/>
        <w:bidi w:val="0"/>
        <w:spacing w:before="0" w:after="120"/>
        <w:ind w:left="360" w:right="0" w:hanging="0"/>
        <w:jc w:val="both"/>
        <w:rPr/>
      </w:pPr>
      <w:r>
        <w:rPr/>
        <w:t>​</w:t>
      </w:r>
    </w:p>
    <w:p>
      <w:pPr>
        <w:pStyle w:val="TextBody"/>
        <w:pBdr/>
        <w:bidi w:val="0"/>
        <w:spacing w:before="0" w:after="120"/>
        <w:ind w:left="0" w:right="0" w:hanging="360"/>
        <w:jc w:val="both"/>
        <w:rPr>
          <w:rFonts w:ascii="Times New Roman;Times;serif" w:hAnsi="Times New Roman;Times;serif"/>
          <w:sz w:val="20"/>
        </w:rPr>
      </w:pPr>
      <w:r>
        <w:rPr>
          <w:rFonts w:ascii="Times New Roman;Times;serif" w:hAnsi="Times New Roman;Times;serif"/>
          <w:b/>
          <w:sz w:val="20"/>
        </w:rPr>
        <w:t>Note 6</w:t>
      </w:r>
      <w:r>
        <w:rPr>
          <w:rFonts w:ascii="Times New Roman;Times;serif" w:hAnsi="Times New Roman;Times;serif"/>
          <w:sz w:val="20"/>
        </w:rPr>
        <w:t>—</w:t>
      </w:r>
      <w:r>
        <w:rPr>
          <w:rFonts w:ascii="Times New Roman;Times;serif" w:hAnsi="Times New Roman;Times;serif"/>
          <w:b/>
          <w:sz w:val="20"/>
        </w:rPr>
        <w:t>Loans Receivable, net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the second quarter of 2025, the Company originated leasehold loans in conjunction with its Ground Leases. These leasehold loans allow the Company’s Ground Lease tenants to receive their full capital structure needs from one source. As of June 30, 2025, the Company had three senior mortgages with an aggregate outstanding principal balance of $42.8 million and an aggregate carrying value of $43.3 million. The Company’s three leasehold loans have initial maturities that range from May 2028 to June 2029, excluding all extension options that can be exercised by the borrower subject to certain conditions, and accrue interest at a weighted average rate of 6.81%, assuming a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rate of 4.32% as of June 30, 2025 for the Company’s two floating rate loans.</w:t>
      </w:r>
    </w:p>
    <w:p>
      <w:pPr>
        <w:pStyle w:val="TextBody"/>
        <w:bidi w:val="0"/>
        <w:spacing w:before="0" w:after="0"/>
        <w:ind w:left="0" w:right="0" w:firstLine="720"/>
        <w:jc w:val="both"/>
        <w:rPr/>
      </w:pPr>
      <w:r>
        <w:rPr/>
        <w:t>​</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i/>
          <w:sz w:val="20"/>
        </w:rPr>
        <w:t>Credit Characteristics—</w:t>
      </w:r>
      <w:r>
        <w:rPr>
          <w:rFonts w:ascii="Times New Roman;Times;serif" w:hAnsi="Times New Roman;Times;serif"/>
          <w:sz w:val="20"/>
        </w:rPr>
        <w:t>As part of the Company’s process for monitoring the credit quality of its leasehold loans, it performs a quarterly loan portfolio assessment and assigns risk ratings to each of its performing loans. Risk ratings, which range from 1 (lower risk) to 5 (higher risk), are based on judgments which are inherently uncertain, and there can be no assurance that actual performance will be similar to current expectations. The Company designates loans as non-performing at such time as: (1) interest payments become 90 days delinquent; (2) the loan has a maturity default; or (3) management determines it is probable that we will be unable to collect all amounts due according to the contractual terms of the loan. All non-performing loans, if any, are placed on non-accrual status and income is only recognized in certain cases upon actual cash receipt. As of June 30, 2025, all of the Company’s leasehold loans were current in their payment status and had a risk rating of 3.</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i/>
          <w:sz w:val="20"/>
        </w:rPr>
        <w:t>Allowance for Credit Losses</w:t>
      </w:r>
      <w:r>
        <w:rPr>
          <w:rFonts w:ascii="Times New Roman;Times;serif" w:hAnsi="Times New Roman;Times;serif"/>
          <w:sz w:val="20"/>
        </w:rPr>
        <w:t>—During the three and six months ended June 30, 2025, the Company recorded a provision for credit losses (refer to Note 3) of $1.3 million, including $1.0 million related to unfunded commitments. Allowances on unfunded commitments are recorded in “Accounts payable and accrued expenses” on the Company’s consolidated balance sheets. The provision for credit losses during the three and six months ended June 30, 2025 was due to the origination of new loans during the period.</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Unfunded Commitments</w:t>
      </w:r>
      <w:r>
        <w:rPr>
          <w:rFonts w:ascii="Times New Roman;Times;serif" w:hAnsi="Times New Roman;Times;serif"/>
          <w:sz w:val="20"/>
        </w:rPr>
        <w:t>—The Company has commitments to fund construction and development loans over a period of time if and when its borrowers meet established milestones and other performance criteria. The Company refers to these arrangements as performance-based commitments. As of June 30, 2025, the Company had $85.8 million of such commitments.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pBdr/>
        <w:bidi w:val="0"/>
        <w:spacing w:before="0" w:after="0"/>
        <w:ind w:left="0" w:right="0" w:hanging="360"/>
        <w:jc w:val="both"/>
        <w:rPr>
          <w:rFonts w:ascii="Times New Roman;Times;serif" w:hAnsi="Times New Roman;Times;serif"/>
          <w:sz w:val="20"/>
        </w:rPr>
      </w:pPr>
      <w:r>
        <w:rPr>
          <w:rFonts w:ascii="Times New Roman;Times;serif" w:hAnsi="Times New Roman;Times;serif"/>
          <w:b/>
          <w:sz w:val="20"/>
        </w:rPr>
        <w:t>Note 7</w:t>
      </w:r>
      <w:r>
        <w:rPr>
          <w:rFonts w:ascii="Times New Roman;Times;serif" w:hAnsi="Times New Roman;Times;serif"/>
          <w:sz w:val="20"/>
        </w:rPr>
        <w:t>—</w:t>
      </w:r>
      <w:r>
        <w:rPr>
          <w:rFonts w:ascii="Times New Roman;Times;serif" w:hAnsi="Times New Roman;Times;serif"/>
          <w:b/>
          <w:sz w:val="20"/>
        </w:rPr>
        <w:t>Loan Receivable, net – Related Party</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March 31, 2023, the Company, as lender and as administrative agent, and Star Holdings, as borrower, entered into a senior secured term loan facility, which was amended on October 4, 2023 and March 28, 2025, in an aggregate principal amount of $115.0 million (the “Secured Term Loan Facility”) and an additional commitment amount of up to $25.0 million at Star Holding’s election (the “Incremental Term Loan Facility”, together with the Secured Term Loan Facility, as amended, the “Star Holdings Term Loan Facility”). During the three months ended June 30, 2025 and 2024, the Company recorded $2.4 million and $2.4 million, respectively, of interest income on the Star Holdings Term Loan Facility, which is recorded in “Interest income” in the Company’s consolidated statements of operations. During the six months ended June 30, 2025 and 2024, the Company recorded $4.7 million and $4.7 million, respectively, of interest income on the Star Holdings Term Loan Facility, which is recorded in “Interest income” in the Company’s consolidated statements of operations.  As of each of June 30, 2025 and December 31, 2024, the Star Holdings Term Loan Facility had a principal balance of $115.0 million.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Star Holdings Term Loan Facility is a secured credit facility. Borrowings under the Star Holdings Term Loan Facility bear interest at a fixed rate of 8.00% per annum, which may increase to 10.00% per annum if any loans remain outstanding under the Incremental Term Loan Facility. On March 28, 2025, the Company and Star Holdings entered into an amendment to the Star Holdings Term Loan Facility that extended the maturity date by one year to March 31, 2028, provides that Star Holdings may re-borrow amounts that have been repaid on the Incremental Term Loan Facility and permits Star Holdings to repurchase up to $10.0 million in shares of its common stock, subject to certain conditions. The Star Holdings Term Loan Facility is secured by a first-priority perfected security pledge of all the equity interests in Star Holding’s primary real estate subsidiary. Starting in the first quarter of 2024, within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business days after Star Holdings has delivered its unaudited quarterly financial statements, Star Holdings must apply any unrestricted cash on its balance sheet in excess of the aggregate of (i) an operating reserve; and (ii) $50 million, to prepay the Star Holdings Term Loan Facility or alternatively, with the consent of the Company, Star Holdings may apply such cash to prepay its margin loan facility in lieu of any prepayment of the Star Holdings Term Loan Facility. The operating reserve will be calculated quarterly and is equal to the aggregate of projected operating expenses (including payments to the Star Holdings local property consultants but excluding management fees and public company costs), projected land carry costs, projected capital expenditure and projected interest expense on the margin loan facility with Morgan Stanley Bank, N.A., which is secured by Star Holdings’ shares of the Company’s common stock, and the Star Holdings Term Loan Facility for the next twelve months; less the projected operating revenues for the next twelve months consistent with the operating budget approved by the Company.</w:t>
      </w:r>
    </w:p>
    <w:p>
      <w:pPr>
        <w:pStyle w:val="TextBody"/>
        <w:shd w:fill="FFFFFF" w:val="clear"/>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 xml:space="preserve">The </w:t>
      </w:r>
      <w:r>
        <w:rPr>
          <w:rFonts w:ascii="Times New Roman;Times;serif" w:hAnsi="Times New Roman;Times;serif"/>
          <w:sz w:val="20"/>
        </w:rPr>
        <w:t>Star Holdings</w:t>
      </w:r>
      <w:r>
        <w:rPr>
          <w:rFonts w:ascii="Times New Roman;Times;serif" w:hAnsi="Times New Roman;Times;serif"/>
          <w:sz w:val="20"/>
          <w:shd w:fill="FFFFFF" w:val="clear"/>
        </w:rPr>
        <w:t xml:space="preserve"> Term Loan Facility contains certain customary covenants, including affirmative covenants on reporting, maintenance of property, continued ownership of interests in the Company as well as negative covenants relating to investments, indebtedness and liens, fundamental changes, asset dispositions, repayments, distributions and affiliate transactions. Furthermore, the </w:t>
      </w:r>
      <w:r>
        <w:rPr>
          <w:rFonts w:ascii="Times New Roman;Times;serif" w:hAnsi="Times New Roman;Times;serif"/>
          <w:sz w:val="20"/>
        </w:rPr>
        <w:t>Star Holdings</w:t>
      </w:r>
      <w:r>
        <w:rPr>
          <w:rFonts w:ascii="Times New Roman;Times;serif" w:hAnsi="Times New Roman;Times;serif"/>
          <w:sz w:val="20"/>
          <w:shd w:fill="FFFFFF" w:val="clear"/>
        </w:rPr>
        <w:t xml:space="preserve"> Term Loan Facility contains customary events of default, including payment defaults, failure to perform covenants, cross-default and cross acceleration to other indebtedness, including the margin loan facility, impairment of security interests and change of control.</w:t>
      </w:r>
    </w:p>
    <w:p>
      <w:pPr>
        <w:pStyle w:val="TextBody"/>
        <w:bidi w:val="0"/>
        <w:spacing w:before="0" w:after="240"/>
        <w:ind w:left="0" w:right="0" w:firstLine="720"/>
        <w:jc w:val="both"/>
        <w:rPr>
          <w:shd w:fill="FFFFFF" w:val="clear"/>
        </w:rPr>
      </w:pPr>
      <w:r>
        <w:rPr>
          <w:shd w:fill="FFFFFF" w:val="clea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During the three months ended June 30, 2025 and 2024, the Company recorded a provision for (recovery of) credit losses of $21 thousand and ($36) thousand, respectively, on the Star Holdings Term Loan Facility, including amounts on the Incremental Term Loan Facility, which was undrawn as of June 30, 2025 and December 31, 2024. During the six months ended June 30, 2025 and 2024, the Company recorded a recovery of credit losses of $0.1 million and $0.1 million, respectively, on the Star Holdings Term Loan Facility, including amounts on the Incremental Term Loan Facility. The Company did not have any accrued interest receivable from the Star Holdings Term Loan Facility as of June 30, 2025 and December 31, 2024. The Company did not reverse any accrued interest on its loan asset during the three and six months ended June 30, 2025 and 2024.</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512" w:name="Tc_3GBQPUQsc0SsvQrLZHVqVA_11_17"/>
      <w:bookmarkStart w:id="1513" w:name="Tc_hWgK64554U-pNbaAWyarsw_11_14"/>
      <w:bookmarkStart w:id="1514" w:name="Tc_QuziLnYyzE2oaVCiWC9RgQ_11_11"/>
      <w:bookmarkStart w:id="1515" w:name="Tc_3k54YpJhdUCJIBK5Yyb8Fg_11_8"/>
      <w:bookmarkStart w:id="1516" w:name="Tc_NHaSTnVkZ0utjHg4mAjsag_11_5"/>
      <w:bookmarkStart w:id="1517" w:name="Tc_PyNEKXgrQ0KJST_cJzfSdA_11_2"/>
      <w:bookmarkStart w:id="1518" w:name="Tc_dj8UAECRgUaxjhONfuT6Ow_11_0"/>
      <w:bookmarkStart w:id="1519" w:name="Tc_J33XUl4CjUaf7h33TS3YsA_10_0"/>
      <w:bookmarkStart w:id="1520" w:name="Tc_DFX_14b4QUGdIytVIt_miA_9_0"/>
      <w:bookmarkStart w:id="1521" w:name="Tc_HHh1Y3jP1EuBHj8gWU592A_8_0"/>
      <w:bookmarkStart w:id="1522" w:name="Tc_jxyyKCw-n0mE3KUN-l-nEQ_7_17"/>
      <w:bookmarkStart w:id="1523" w:name="Tc_pSQUHDPg2kO5pbUf3Ss6wA_7_14"/>
      <w:bookmarkStart w:id="1524" w:name="Tc_iaBnbOFiTEi6zCKzw0JLEQ_7_11"/>
      <w:bookmarkStart w:id="1525" w:name="Tc_b51iQwoeWUqazd-N0A-UYw_7_8"/>
      <w:bookmarkStart w:id="1526" w:name="Tc_SnwQVEv29E-sgJimOJI_Bg_7_5"/>
      <w:bookmarkStart w:id="1527" w:name="Tc_T5CSSc0GGU2rj5FkxSRjSQ_7_2"/>
      <w:bookmarkStart w:id="1528" w:name="Tc_CJqdVJ5zcUGOSBt3VNbECA_7_0"/>
      <w:bookmarkStart w:id="1529" w:name="Tc_mvIsSv5dkUiYz9RpsugbmQ_6_0"/>
      <w:bookmarkStart w:id="1530" w:name="Tc_2LTnpc99t0WoJTP7PXNnGg_5_17"/>
      <w:bookmarkStart w:id="1531" w:name="Tc_vY4WF91WIE-CH7QDqTTGkA_5_14"/>
      <w:bookmarkStart w:id="1532" w:name="Tc_SFBsBXDfHUO3YdPv9CelmA_5_11"/>
      <w:bookmarkStart w:id="1533" w:name="Tc_svJCofesOUK3iNJbDCnTCA_5_8"/>
      <w:bookmarkStart w:id="1534" w:name="Tc_19v2t4ELGUCeiTi-cE3Unw_5_5"/>
      <w:bookmarkStart w:id="1535" w:name="Tc_who3_zOBeEWg4uupPOgUnA_5_2"/>
      <w:bookmarkStart w:id="1536" w:name="Tc_NgD3mL410kiG3YAaMd01_Q_4_14"/>
      <w:bookmarkStart w:id="1537" w:name="Tc_RAnr3eUrhEeSWOThRCOm-w_4_8"/>
      <w:bookmarkStart w:id="1538" w:name="Tc_y6xHMj9p9ki3z4ppYNWemw_4_5"/>
      <w:bookmarkStart w:id="1539" w:name="Tc_CruLqrdHOUyZAh11eJ-jlw_4_2"/>
      <w:bookmarkStart w:id="1540" w:name="Tc_e9Uo0UEq00GdgFkNHqu7mA_3_14"/>
      <w:bookmarkStart w:id="1541" w:name="Tc_6XO2iAcbTU-JDufyLR3M5A_3_8"/>
      <w:bookmarkStart w:id="1542" w:name="Tc_oAoigvOK3ESPDLast8vR7Q_3_2"/>
      <w:bookmarkStart w:id="1543" w:name="Tc_G6Oow6GW-k68Mh1YVXZMxw_2_14"/>
      <w:bookmarkStart w:id="1544" w:name="Tc_kDlA_vq8X0yy6h8Bxs5qBg_2_8"/>
      <w:bookmarkStart w:id="1545" w:name="Tc_yB1WfEdcY0Cd2dbnXLdOfw_2_2"/>
      <w:bookmarkStart w:id="1546" w:name="Tc_Bt9wp5IRDUW_IeAxpi9ikw_1_14"/>
      <w:bookmarkStart w:id="1547" w:name="Tc_6mh7QRJMEEykpD5xQCpmyQ_1_8"/>
      <w:bookmarkStart w:id="1548" w:name="_d0384ecf_f5b7_4e85_bb74_3b4448cead19"/>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r>
        <w:rPr>
          <w:rFonts w:ascii="Times New Roman;Times;serif" w:hAnsi="Times New Roman;Times;serif"/>
          <w:b/>
          <w:sz w:val="20"/>
        </w:rPr>
        <w:t>Note 8—Equity Investments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equity investments and its proportionate share of earnings (losses) from equity investments were as follows ($ in thousands):</w:t>
      </w:r>
    </w:p>
    <w:tbl>
      <w:tblPr>
        <w:tblW w:w="9716" w:type="dxa"/>
        <w:jc w:val="left"/>
        <w:tblInd w:w="0" w:type="dxa"/>
        <w:tblLayout w:type="fixed"/>
        <w:tblCellMar>
          <w:top w:w="0" w:type="dxa"/>
          <w:left w:w="0" w:type="dxa"/>
          <w:bottom w:w="0" w:type="dxa"/>
          <w:right w:w="0" w:type="dxa"/>
        </w:tblCellMar>
      </w:tblPr>
      <w:tblGrid>
        <w:gridCol w:w="2266"/>
        <w:gridCol w:w="109"/>
        <w:gridCol w:w="211"/>
        <w:gridCol w:w="781"/>
        <w:gridCol w:w="326"/>
        <w:gridCol w:w="242"/>
        <w:gridCol w:w="898"/>
        <w:gridCol w:w="326"/>
        <w:gridCol w:w="240"/>
        <w:gridCol w:w="651"/>
        <w:gridCol w:w="372"/>
        <w:gridCol w:w="240"/>
        <w:gridCol w:w="651"/>
        <w:gridCol w:w="123"/>
        <w:gridCol w:w="228"/>
        <w:gridCol w:w="617"/>
        <w:gridCol w:w="352"/>
        <w:gridCol w:w="228"/>
        <w:gridCol w:w="855"/>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1438910" cy="175260"/>
                      <wp:effectExtent l="0" t="0" r="0" b="0"/>
                      <wp:wrapNone/>
                      <wp:docPr id="411" name="Frame411"/>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9215" cy="175260"/>
                      <wp:effectExtent l="0" t="0" r="0" b="0"/>
                      <wp:wrapNone/>
                      <wp:docPr id="412" name="Frame4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33985" cy="175260"/>
                      <wp:effectExtent l="0" t="0" r="0" b="0"/>
                      <wp:wrapNone/>
                      <wp:docPr id="413" name="Frame4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495935" cy="175260"/>
                      <wp:effectExtent l="0" t="0" r="0" b="0"/>
                      <wp:wrapNone/>
                      <wp:docPr id="414" name="Frame41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07010" cy="175260"/>
                      <wp:effectExtent l="0" t="0" r="0" b="0"/>
                      <wp:wrapNone/>
                      <wp:docPr id="415" name="Frame4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53670" cy="175260"/>
                      <wp:effectExtent l="0" t="0" r="0" b="0"/>
                      <wp:wrapNone/>
                      <wp:docPr id="416" name="Frame416"/>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570230" cy="175260"/>
                      <wp:effectExtent l="0" t="0" r="0" b="0"/>
                      <wp:wrapNone/>
                      <wp:docPr id="417" name="Frame417"/>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07010" cy="175260"/>
                      <wp:effectExtent l="0" t="0" r="0" b="0"/>
                      <wp:wrapNone/>
                      <wp:docPr id="418" name="Frame4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152400" cy="175260"/>
                      <wp:effectExtent l="0" t="0" r="0" b="0"/>
                      <wp:wrapNone/>
                      <wp:docPr id="419" name="Frame419"/>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413385" cy="175260"/>
                      <wp:effectExtent l="0" t="0" r="0" b="0"/>
                      <wp:wrapNone/>
                      <wp:docPr id="420" name="Frame420"/>
                      <a:graphic xmlns:a="http://schemas.openxmlformats.org/drawingml/2006/main">
                        <a:graphicData uri="http://schemas.microsoft.com/office/word/2010/wordprocessingShape">
                          <wps:wsp>
                            <wps:cNvSpPr txBox="1"/>
                            <wps:spPr>
                              <a:xfrm>
                                <a:off x="0" y="0"/>
                                <a:ext cx="413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36220" cy="175260"/>
                      <wp:effectExtent l="0" t="0" r="0" b="0"/>
                      <wp:wrapNone/>
                      <wp:docPr id="421" name="Frame421"/>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152400" cy="175260"/>
                      <wp:effectExtent l="0" t="0" r="0" b="0"/>
                      <wp:wrapNone/>
                      <wp:docPr id="422" name="Frame422"/>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413385" cy="175260"/>
                      <wp:effectExtent l="0" t="0" r="0" b="0"/>
                      <wp:wrapNone/>
                      <wp:docPr id="423" name="Frame423"/>
                      <a:graphic xmlns:a="http://schemas.openxmlformats.org/drawingml/2006/main">
                        <a:graphicData uri="http://schemas.microsoft.com/office/word/2010/wordprocessingShape">
                          <wps:wsp>
                            <wps:cNvSpPr txBox="1"/>
                            <wps:spPr>
                              <a:xfrm>
                                <a:off x="0" y="0"/>
                                <a:ext cx="413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78105" cy="175260"/>
                      <wp:effectExtent l="0" t="0" r="0" b="0"/>
                      <wp:wrapNone/>
                      <wp:docPr id="424" name="Frame424"/>
                      <a:graphic xmlns:a="http://schemas.openxmlformats.org/drawingml/2006/main">
                        <a:graphicData uri="http://schemas.microsoft.com/office/word/2010/wordprocessingShape">
                          <wps:wsp>
                            <wps:cNvSpPr txBox="1"/>
                            <wps:spPr>
                              <a:xfrm>
                                <a:off x="0" y="0"/>
                                <a:ext cx="78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144780" cy="175260"/>
                      <wp:effectExtent l="0" t="0" r="0" b="0"/>
                      <wp:wrapNone/>
                      <wp:docPr id="425" name="Frame425"/>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391795" cy="175260"/>
                      <wp:effectExtent l="0" t="0" r="0" b="0"/>
                      <wp:wrapNone/>
                      <wp:docPr id="426" name="Frame426"/>
                      <a:graphic xmlns:a="http://schemas.openxmlformats.org/drawingml/2006/main">
                        <a:graphicData uri="http://schemas.microsoft.com/office/word/2010/wordprocessingShape">
                          <wps:wsp>
                            <wps:cNvSpPr txBox="1"/>
                            <wps:spPr>
                              <a:xfrm>
                                <a:off x="0" y="0"/>
                                <a:ext cx="391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23520" cy="175260"/>
                      <wp:effectExtent l="0" t="0" r="0" b="0"/>
                      <wp:wrapNone/>
                      <wp:docPr id="427" name="Frame427"/>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44780" cy="175260"/>
                      <wp:effectExtent l="0" t="0" r="0" b="0"/>
                      <wp:wrapNone/>
                      <wp:docPr id="428" name="Frame428"/>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542925" cy="175260"/>
                      <wp:effectExtent l="0" t="0" r="0" b="0"/>
                      <wp:wrapNone/>
                      <wp:docPr id="429" name="Frame429"/>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42" w:type="dxa"/>
            <w:tcBorders/>
            <w:vAlign w:val="center"/>
          </w:tcPr>
          <w:p>
            <w:pPr>
              <w:pStyle w:val="TableContents"/>
              <w:bidi w:val="0"/>
              <w:spacing w:before="0" w:after="1"/>
              <w:ind w:left="0" w:right="0" w:hanging="0"/>
              <w:jc w:val="center"/>
              <w:rPr/>
            </w:pPr>
            <w:r>
              <w:rPr/>
              <w:t>​</w:t>
            </w:r>
          </w:p>
        </w:tc>
        <w:tc>
          <w:tcPr>
            <w:tcW w:w="89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277" w:type="dxa"/>
            <w:gridSpan w:val="6"/>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Earnings from </w:t>
            </w:r>
          </w:p>
        </w:tc>
        <w:tc>
          <w:tcPr>
            <w:tcW w:w="228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Earnings from </w:t>
            </w:r>
          </w:p>
        </w:tc>
      </w:tr>
      <w:tr>
        <w:trPr/>
        <w:tc>
          <w:tcPr>
            <w:tcW w:w="22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45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 Value</w:t>
            </w:r>
          </w:p>
        </w:tc>
        <w:tc>
          <w:tcPr>
            <w:tcW w:w="326" w:type="dxa"/>
            <w:tcBorders/>
            <w:vAlign w:val="center"/>
          </w:tcPr>
          <w:p>
            <w:pPr>
              <w:pStyle w:val="TableContents"/>
              <w:bidi w:val="0"/>
              <w:spacing w:before="0" w:after="1"/>
              <w:ind w:left="0" w:right="0" w:hanging="0"/>
              <w:jc w:val="center"/>
              <w:rPr/>
            </w:pPr>
            <w:r>
              <w:rPr/>
              <w:t>​</w:t>
            </w:r>
          </w:p>
        </w:tc>
        <w:tc>
          <w:tcPr>
            <w:tcW w:w="2277" w:type="dxa"/>
            <w:gridSpan w:val="6"/>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 Method Investments</w:t>
            </w:r>
          </w:p>
        </w:tc>
        <w:tc>
          <w:tcPr>
            <w:tcW w:w="2280" w:type="dxa"/>
            <w:gridSpan w:val="5"/>
            <w:tcBorders/>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Equity Method Investments</w:t>
            </w:r>
            <w:r>
              <w:rPr>
                <w:rFonts w:ascii="Times New Roman;Times;serif" w:hAnsi="Times New Roman;Times;serif"/>
                <w:b/>
                <w:sz w:val="12"/>
              </w:rPr>
              <w:t>(1)</w:t>
            </w:r>
          </w:p>
        </w:tc>
      </w:tr>
      <w:tr>
        <w:trPr/>
        <w:tc>
          <w:tcPr>
            <w:tcW w:w="22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45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vAlign w:val="center"/>
          </w:tcPr>
          <w:p>
            <w:pPr>
              <w:pStyle w:val="TableContents"/>
              <w:bidi w:val="0"/>
              <w:spacing w:before="0" w:after="1"/>
              <w:ind w:left="0" w:right="0" w:hanging="0"/>
              <w:jc w:val="center"/>
              <w:rPr/>
            </w:pPr>
            <w:r>
              <w:rPr/>
              <w:t>​</w:t>
            </w:r>
          </w:p>
        </w:tc>
        <w:tc>
          <w:tcPr>
            <w:tcW w:w="2277" w:type="dxa"/>
            <w:gridSpan w:val="6"/>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228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22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center"/>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1"/>
              <w:ind w:left="0" w:right="0" w:hanging="0"/>
              <w:jc w:val="center"/>
              <w:rPr/>
            </w:pPr>
            <w:r>
              <w:rPr/>
              <w:t>​</w:t>
            </w:r>
          </w:p>
        </w:tc>
        <w:tc>
          <w:tcPr>
            <w:tcW w:w="2277"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28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2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8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72" w:type="dxa"/>
            <w:tcBorders/>
            <w:vAlign w:val="center"/>
          </w:tcPr>
          <w:p>
            <w:pPr>
              <w:pStyle w:val="TableContents"/>
              <w:bidi w:val="0"/>
              <w:spacing w:before="0" w:after="1"/>
              <w:ind w:left="0" w:right="0" w:hanging="0"/>
              <w:jc w:val="center"/>
              <w:rPr/>
            </w:pPr>
            <w:r>
              <w:rPr/>
              <w:t>    </w:t>
            </w:r>
          </w:p>
        </w:tc>
        <w:tc>
          <w:tcPr>
            <w:tcW w:w="8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23" w:type="dxa"/>
            <w:tcBorders/>
            <w:vAlign w:val="center"/>
          </w:tcPr>
          <w:p>
            <w:pPr>
              <w:pStyle w:val="TableContents"/>
              <w:bidi w:val="0"/>
              <w:spacing w:before="0" w:after="1"/>
              <w:ind w:left="0" w:right="0" w:hanging="0"/>
              <w:jc w:val="center"/>
              <w:rPr/>
            </w:pPr>
            <w:r>
              <w:rPr/>
              <w:t>​</w:t>
            </w:r>
          </w:p>
        </w:tc>
        <w:tc>
          <w:tcPr>
            <w:tcW w:w="8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52" w:type="dxa"/>
            <w:tcBorders/>
            <w:vAlign w:val="center"/>
          </w:tcPr>
          <w:p>
            <w:pPr>
              <w:pStyle w:val="TableContents"/>
              <w:bidi w:val="0"/>
              <w:spacing w:before="0" w:after="1"/>
              <w:ind w:left="0" w:right="0" w:hanging="0"/>
              <w:jc w:val="center"/>
              <w:rPr/>
            </w:pPr>
            <w:r>
              <w:rPr/>
              <w:t>    </w:t>
            </w:r>
          </w:p>
        </w:tc>
        <w:tc>
          <w:tcPr>
            <w:tcW w:w="108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2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Equity investment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42"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651" w:type="dxa"/>
            <w:tcBorders/>
            <w:shd w:fill="CCEEFF" w:val="clear"/>
            <w:vAlign w:val="center"/>
          </w:tcPr>
          <w:p>
            <w:pPr>
              <w:pStyle w:val="TableContents"/>
              <w:bidi w:val="0"/>
              <w:spacing w:before="0" w:after="1"/>
              <w:ind w:left="0" w:right="0" w:hanging="0"/>
              <w:jc w:val="right"/>
              <w:rPr/>
            </w:pPr>
            <w:r>
              <w:rPr/>
              <w:t>  </w:t>
            </w:r>
          </w:p>
        </w:tc>
        <w:tc>
          <w:tcPr>
            <w:tcW w:w="372"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651" w:type="dxa"/>
            <w:tcBorders/>
            <w:shd w:fill="CCEEFF" w:val="clear"/>
            <w:vAlign w:val="center"/>
          </w:tcPr>
          <w:p>
            <w:pPr>
              <w:pStyle w:val="TableContents"/>
              <w:bidi w:val="0"/>
              <w:spacing w:before="0" w:after="1"/>
              <w:ind w:left="0" w:right="0" w:hanging="0"/>
              <w:jc w:val="right"/>
              <w:rPr/>
            </w:pPr>
            <w:r>
              <w:rPr/>
              <w:t>  </w:t>
            </w:r>
          </w:p>
        </w:tc>
        <w:tc>
          <w:tcPr>
            <w:tcW w:w="123"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617" w:type="dxa"/>
            <w:tcBorders/>
            <w:shd w:fill="CCEEFF" w:val="clear"/>
            <w:vAlign w:val="center"/>
          </w:tcPr>
          <w:p>
            <w:pPr>
              <w:pStyle w:val="TableContents"/>
              <w:bidi w:val="0"/>
              <w:spacing w:before="0" w:after="1"/>
              <w:ind w:left="0" w:right="0" w:hanging="0"/>
              <w:jc w:val="right"/>
              <w:rPr/>
            </w:pPr>
            <w:r>
              <w:rPr/>
              <w:t>  </w:t>
            </w:r>
          </w:p>
        </w:tc>
        <w:tc>
          <w:tcPr>
            <w:tcW w:w="352" w:type="dxa"/>
            <w:tcBorders/>
            <w:shd w:fill="CCEEFF" w:val="clear"/>
            <w:vAlign w:val="center"/>
          </w:tcPr>
          <w:p>
            <w:pPr>
              <w:pStyle w:val="TableContents"/>
              <w:bidi w:val="0"/>
              <w:spacing w:before="0" w:after="1"/>
              <w:ind w:left="0" w:right="0" w:hanging="0"/>
              <w:jc w:val="left"/>
              <w:rPr/>
            </w:pPr>
            <w:r>
              <w:rPr/>
              <w:t> </w:t>
            </w:r>
          </w:p>
        </w:tc>
        <w:tc>
          <w:tcPr>
            <w:tcW w:w="228" w:type="dxa"/>
            <w:tcBorders/>
            <w:shd w:fill="CCEEFF" w:val="clear"/>
            <w:vAlign w:val="center"/>
          </w:tcPr>
          <w:p>
            <w:pPr>
              <w:pStyle w:val="TableContents"/>
              <w:bidi w:val="0"/>
              <w:spacing w:before="0" w:after="1"/>
              <w:ind w:left="0" w:right="0" w:hanging="0"/>
              <w:jc w:val="left"/>
              <w:rPr/>
            </w:pPr>
            <w:r>
              <w:rPr/>
              <w:t>​</w:t>
            </w:r>
          </w:p>
        </w:tc>
        <w:tc>
          <w:tcPr>
            <w:tcW w:w="855" w:type="dxa"/>
            <w:tcBorders/>
            <w:shd w:fill="CCEEFF" w:val="clear"/>
            <w:vAlign w:val="center"/>
          </w:tcPr>
          <w:p>
            <w:pPr>
              <w:pStyle w:val="TableContents"/>
              <w:bidi w:val="0"/>
              <w:spacing w:before="0" w:after="1"/>
              <w:ind w:left="0" w:right="0" w:hanging="0"/>
              <w:jc w:val="right"/>
              <w:rPr/>
            </w:pPr>
            <w:r>
              <w:rPr/>
              <w:t>  </w:t>
            </w:r>
          </w:p>
        </w:tc>
      </w:tr>
      <w:tr>
        <w:trPr/>
        <w:tc>
          <w:tcPr>
            <w:tcW w:w="2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425 Park Avenue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138,629</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137,348</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887</w:t>
            </w:r>
          </w:p>
        </w:tc>
        <w:tc>
          <w:tcPr>
            <w:tcW w:w="372"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856</w:t>
            </w:r>
          </w:p>
        </w:tc>
        <w:tc>
          <w:tcPr>
            <w:tcW w:w="123"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1,772</w:t>
            </w:r>
          </w:p>
        </w:tc>
        <w:tc>
          <w:tcPr>
            <w:tcW w:w="352"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1,735</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32 Old Slip</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65,858</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57,574</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6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1,323</w:t>
            </w:r>
          </w:p>
        </w:tc>
        <w:tc>
          <w:tcPr>
            <w:tcW w:w="372"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6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1,417</w:t>
            </w:r>
          </w:p>
        </w:tc>
        <w:tc>
          <w:tcPr>
            <w:tcW w:w="123"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6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2,754</w:t>
            </w:r>
          </w:p>
        </w:tc>
        <w:tc>
          <w:tcPr>
            <w:tcW w:w="352"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8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2,842</w:t>
            </w:r>
          </w:p>
        </w:tc>
      </w:tr>
      <w:tr>
        <w:trPr/>
        <w:tc>
          <w:tcPr>
            <w:tcW w:w="226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Ground Lease Plus Fund</w:t>
            </w:r>
            <w:r>
              <w:rPr>
                <w:rFonts w:ascii="Times New Roman;Times;serif" w:hAnsi="Times New Roman;Times;serif"/>
                <w:sz w:val="15"/>
              </w:rPr>
              <w:t>(1)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30,340</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30,103</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6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w:t>
            </w:r>
          </w:p>
        </w:tc>
        <w:tc>
          <w:tcPr>
            <w:tcW w:w="372"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6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w:t>
            </w:r>
          </w:p>
        </w:tc>
        <w:tc>
          <w:tcPr>
            <w:tcW w:w="123"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6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814</w:t>
            </w:r>
          </w:p>
        </w:tc>
        <w:tc>
          <w:tcPr>
            <w:tcW w:w="352"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8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1,342</w:t>
            </w:r>
          </w:p>
        </w:tc>
      </w:tr>
      <w:tr>
        <w:trPr/>
        <w:tc>
          <w:tcPr>
            <w:tcW w:w="226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Leasehold Loan Fund</w:t>
            </w:r>
            <w:r>
              <w:rPr>
                <w:rFonts w:ascii="Times New Roman;Times;serif" w:hAnsi="Times New Roman;Times;serif"/>
                <w:sz w:val="15"/>
              </w:rPr>
              <w:t>(2)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26,280</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25,009</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2,372</w:t>
            </w:r>
          </w:p>
        </w:tc>
        <w:tc>
          <w:tcPr>
            <w:tcW w:w="372"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3,743</w:t>
            </w:r>
          </w:p>
        </w:tc>
        <w:tc>
          <w:tcPr>
            <w:tcW w:w="123"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4,564</w:t>
            </w:r>
          </w:p>
        </w:tc>
        <w:tc>
          <w:tcPr>
            <w:tcW w:w="352"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7,462</w:t>
            </w:r>
          </w:p>
        </w:tc>
      </w:tr>
      <w:tr>
        <w:trPr/>
        <w:tc>
          <w:tcPr>
            <w:tcW w:w="2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261,107</w:t>
            </w:r>
          </w:p>
        </w:tc>
        <w:tc>
          <w:tcPr>
            <w:tcW w:w="326" w:type="dxa"/>
            <w:tcBorders/>
            <w:vAlign w:val="center"/>
          </w:tcPr>
          <w:p>
            <w:pPr>
              <w:pStyle w:val="TableContents"/>
              <w:bidi w:val="0"/>
              <w:spacing w:before="0" w:after="1"/>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250,034</w:t>
            </w:r>
          </w:p>
        </w:tc>
        <w:tc>
          <w:tcPr>
            <w:tcW w:w="326" w:type="dxa"/>
            <w:tcBorders/>
            <w:vAlign w:val="center"/>
          </w:tcPr>
          <w:p>
            <w:pPr>
              <w:pStyle w:val="TableContents"/>
              <w:bidi w:val="0"/>
              <w:spacing w:before="0" w:after="1"/>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4,912</w:t>
            </w:r>
          </w:p>
        </w:tc>
        <w:tc>
          <w:tcPr>
            <w:tcW w:w="372" w:type="dxa"/>
            <w:tcBorders/>
            <w:vAlign w:val="center"/>
          </w:tcPr>
          <w:p>
            <w:pPr>
              <w:pStyle w:val="TableContents"/>
              <w:bidi w:val="0"/>
              <w:spacing w:before="0" w:after="1"/>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6,469</w:t>
            </w:r>
          </w:p>
        </w:tc>
        <w:tc>
          <w:tcPr>
            <w:tcW w:w="123" w:type="dxa"/>
            <w:tcBorders/>
            <w:vAlign w:val="center"/>
          </w:tcPr>
          <w:p>
            <w:pPr>
              <w:pStyle w:val="TableContents"/>
              <w:bidi w:val="0"/>
              <w:spacing w:before="0" w:after="1"/>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9,904</w:t>
            </w:r>
          </w:p>
        </w:tc>
        <w:tc>
          <w:tcPr>
            <w:tcW w:w="352" w:type="dxa"/>
            <w:tcBorders/>
            <w:vAlign w:val="center"/>
          </w:tcPr>
          <w:p>
            <w:pPr>
              <w:pStyle w:val="TableContents"/>
              <w:bidi w:val="0"/>
              <w:spacing w:before="0" w:after="1"/>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13,381</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June 30, 2025, the Company has a basis difference of $19.6</w:t>
            </w:r>
            <w:r>
              <w:rPr>
                <w:caps w:val="false"/>
                <w:smallCaps w:val="false"/>
              </w:rPr>
              <w:t xml:space="preserve"> </w:t>
            </w:r>
            <w:r>
              <w:rPr>
                <w:rFonts w:ascii="Times New Roman;Times;serif" w:hAnsi="Times New Roman;Times;serif"/>
                <w:b w:val="false"/>
                <w:i w:val="false"/>
                <w:caps w:val="false"/>
                <w:smallCaps w:val="false"/>
                <w:sz w:val="16"/>
              </w:rPr>
              <w:t>million in the Ground Lease Plus Fund that will be amortized over a weighted average remaining term of 105.1</w:t>
            </w:r>
            <w:r>
              <w:rPr>
                <w:caps w:val="false"/>
                <w:smallCaps w:val="false"/>
              </w:rPr>
              <w:t xml:space="preserve"> </w:t>
            </w:r>
            <w:r>
              <w:rPr>
                <w:rFonts w:ascii="Times New Roman;Times;serif" w:hAnsi="Times New Roman;Times;serif"/>
                <w:b w:val="false"/>
                <w:i w:val="false"/>
                <w:caps w:val="false"/>
                <w:smallCaps w:val="false"/>
                <w:sz w:val="16"/>
              </w:rPr>
              <w:t>years using the effective interest method. During the three months ended June 30, 2025 and 2024, $0.1</w:t>
            </w:r>
            <w:r>
              <w:rPr>
                <w:caps w:val="false"/>
                <w:smallCaps w:val="false"/>
              </w:rPr>
              <w:t xml:space="preserve"> </w:t>
            </w:r>
            <w:r>
              <w:rPr>
                <w:rFonts w:ascii="Times New Roman;Times;serif" w:hAnsi="Times New Roman;Times;serif"/>
                <w:b w:val="false"/>
                <w:i w:val="false"/>
                <w:caps w:val="false"/>
                <w:smallCaps w:val="false"/>
                <w:sz w:val="16"/>
              </w:rPr>
              <w:t>million and $0.1</w:t>
            </w:r>
            <w:r>
              <w:rPr>
                <w:caps w:val="false"/>
                <w:smallCaps w:val="false"/>
              </w:rPr>
              <w:t xml:space="preserve"> </w:t>
            </w:r>
            <w:r>
              <w:rPr>
                <w:rFonts w:ascii="Times New Roman;Times;serif" w:hAnsi="Times New Roman;Times;serif"/>
                <w:b w:val="false"/>
                <w:i w:val="false"/>
                <w:caps w:val="false"/>
                <w:smallCaps w:val="false"/>
                <w:sz w:val="16"/>
              </w:rPr>
              <w:t>million, respectively, of the basis difference was amortized as a decrease to earnings from equity method investments. During the six months ended June 30, 2025 and 2024, ($0.2)</w:t>
            </w:r>
            <w:r>
              <w:rPr>
                <w:caps w:val="false"/>
                <w:smallCaps w:val="false"/>
              </w:rPr>
              <w:t xml:space="preserve"> </w:t>
            </w:r>
            <w:r>
              <w:rPr>
                <w:rFonts w:ascii="Times New Roman;Times;serif" w:hAnsi="Times New Roman;Times;serif"/>
                <w:b w:val="false"/>
                <w:i w:val="false"/>
                <w:caps w:val="false"/>
                <w:smallCaps w:val="false"/>
                <w:sz w:val="16"/>
              </w:rPr>
              <w:t>million and $0.1</w:t>
            </w:r>
            <w:r>
              <w:rPr>
                <w:caps w:val="false"/>
                <w:smallCaps w:val="false"/>
              </w:rPr>
              <w:t xml:space="preserve"> </w:t>
            </w:r>
            <w:r>
              <w:rPr>
                <w:rFonts w:ascii="Times New Roman;Times;serif" w:hAnsi="Times New Roman;Times;serif"/>
                <w:b w:val="false"/>
                <w:i w:val="false"/>
                <w:caps w:val="false"/>
                <w:smallCaps w:val="false"/>
                <w:sz w:val="16"/>
              </w:rPr>
              <w:t xml:space="preserve">million, respectively, of the basis difference was amortized as a (decrease) increase to earnings from equity method investments. </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2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June 30, 2025, the Company has a basis difference of $5.1</w:t>
            </w:r>
            <w:r>
              <w:rPr>
                <w:caps w:val="false"/>
                <w:smallCaps w:val="false"/>
              </w:rPr>
              <w:t xml:space="preserve"> </w:t>
            </w:r>
            <w:r>
              <w:rPr>
                <w:rFonts w:ascii="Times New Roman;Times;serif" w:hAnsi="Times New Roman;Times;serif"/>
                <w:b w:val="false"/>
                <w:i w:val="false"/>
                <w:caps w:val="false"/>
                <w:smallCaps w:val="false"/>
                <w:sz w:val="16"/>
              </w:rPr>
              <w:t>million in the Leasehold Loan Fund that will be amortized over a weighted average remaining term of 1.8</w:t>
            </w:r>
            <w:r>
              <w:rPr>
                <w:caps w:val="false"/>
                <w:smallCaps w:val="false"/>
              </w:rPr>
              <w:t xml:space="preserve"> </w:t>
            </w:r>
            <w:r>
              <w:rPr>
                <w:rFonts w:ascii="Times New Roman;Times;serif" w:hAnsi="Times New Roman;Times;serif"/>
                <w:b w:val="false"/>
                <w:i w:val="false"/>
                <w:caps w:val="false"/>
                <w:smallCaps w:val="false"/>
                <w:sz w:val="16"/>
              </w:rPr>
              <w:t>years using the effective interest method. During the three months ended June 30, 2025 and 2024, $0.7</w:t>
            </w:r>
            <w:r>
              <w:rPr>
                <w:caps w:val="false"/>
                <w:smallCaps w:val="false"/>
              </w:rPr>
              <w:t xml:space="preserve"> </w:t>
            </w:r>
            <w:r>
              <w:rPr>
                <w:rFonts w:ascii="Times New Roman;Times;serif" w:hAnsi="Times New Roman;Times;serif"/>
                <w:b w:val="false"/>
                <w:i w:val="false"/>
                <w:caps w:val="false"/>
                <w:smallCaps w:val="false"/>
                <w:sz w:val="16"/>
              </w:rPr>
              <w:t>million and $2.2</w:t>
            </w:r>
            <w:r>
              <w:rPr>
                <w:caps w:val="false"/>
                <w:smallCaps w:val="false"/>
              </w:rPr>
              <w:t xml:space="preserve"> </w:t>
            </w:r>
            <w:r>
              <w:rPr>
                <w:rFonts w:ascii="Times New Roman;Times;serif" w:hAnsi="Times New Roman;Times;serif"/>
                <w:b w:val="false"/>
                <w:i w:val="false"/>
                <w:caps w:val="false"/>
                <w:smallCaps w:val="false"/>
                <w:sz w:val="16"/>
              </w:rPr>
              <w:t>million, respectively, of the basis difference was amortized as an increase to earnings from equity method investments. During the six months ended June 30, 2025 and 2024, $1.4</w:t>
            </w:r>
            <w:r>
              <w:rPr>
                <w:caps w:val="false"/>
                <w:smallCaps w:val="false"/>
              </w:rPr>
              <w:t xml:space="preserve"> </w:t>
            </w:r>
            <w:r>
              <w:rPr>
                <w:rFonts w:ascii="Times New Roman;Times;serif" w:hAnsi="Times New Roman;Times;serif"/>
                <w:b w:val="false"/>
                <w:i w:val="false"/>
                <w:caps w:val="false"/>
                <w:smallCaps w:val="false"/>
                <w:sz w:val="16"/>
              </w:rPr>
              <w:t>million and $3.2</w:t>
            </w:r>
            <w:r>
              <w:rPr>
                <w:caps w:val="false"/>
                <w:smallCaps w:val="false"/>
              </w:rPr>
              <w:t xml:space="preserve"> </w:t>
            </w:r>
            <w:r>
              <w:rPr>
                <w:rFonts w:ascii="Times New Roman;Times;serif" w:hAnsi="Times New Roman;Times;serif"/>
                <w:b w:val="false"/>
                <w:i w:val="false"/>
                <w:caps w:val="false"/>
                <w:smallCaps w:val="false"/>
                <w:sz w:val="16"/>
              </w:rPr>
              <w:t>million, respectively, of the basis difference was amortized as an increase to earnings from equity method investments.</w:t>
            </w:r>
          </w:p>
        </w:tc>
      </w:tr>
    </w:tbl>
    <w:p>
      <w:pPr>
        <w:pStyle w:val="TextBody"/>
        <w:bidi w:val="0"/>
        <w:spacing w:before="0" w:after="0"/>
        <w:ind w:left="36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425 Park Avenue</w:t>
      </w:r>
      <w:r>
        <w:rPr>
          <w:rFonts w:ascii="Times New Roman;Times;serif" w:hAnsi="Times New Roman;Times;serif"/>
          <w:sz w:val="20"/>
        </w:rPr>
        <w:t xml:space="preserve">—In August 2019, the Company formed a venture with a sovereign wealth fund that is an existing shareholder of the Company to acquire the existing Ground Lease at 425 Park Avenue in New York City. The venture acquired the Ground Lease in November 2019. The Company has a 54.8% noncontrolling equity interest in the venture and is the manager of the venture. </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32 Old Slip</w:t>
      </w:r>
      <w:r>
        <w:rPr>
          <w:rFonts w:ascii="Times New Roman;Times;serif" w:hAnsi="Times New Roman;Times;serif"/>
          <w:sz w:val="20"/>
        </w:rPr>
        <w:t xml:space="preserve">—In June 2021, the Company acquired a 29.2% noncontrolling equity interest in a Ground Lease at an office property in New York City. </w:t>
      </w:r>
    </w:p>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Ground Lease Plus Fund</w:t>
      </w:r>
      <w:r>
        <w:rPr>
          <w:rFonts w:ascii="Times New Roman;Times;serif" w:hAnsi="Times New Roman;Times;serif"/>
          <w:sz w:val="20"/>
        </w:rPr>
        <w:t xml:space="preserve">—The Company manages a fund that targets the origination and acquisition of Ground Leases for commercial real estate projects that are in a pre-development phase (the “Ground Lease Plus Fund”). The Company owns a 53.2% noncontrolling equity interest in the Ground Lease Plus Fund. The Company does not have a controlling interest in the Ground Lease Plus Fund due to the substantive participating rights of its partner and accounts for this investment as an equity method investment. The Company receives a fee from its partner in exchange for managing the entity and is also entitled to a promote payment on investments in the Ground Lease Plus Fund.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November 2021, iStar acquired land for $33.3 million and simultaneously structured and entered into a Ground Lease on which a multi-family project will be constructed. In December 2021, iStar sold the Ground Lease to the Ground Lease Plus Fund and recognized no gain or loss on the sale. At the time of iStar’s acquisition in November 2021, the Company and iStar entered into an agreement pursuant to which the Company would acquire the land and related Ground Lease from the Ground Lease Plus Fund when certain construction related conditions are met by a specified time period. In January 2024, the Company acquired the Ground Lease from the Ground Lease Plus Fund for $38.3 million, excluding amounts funded by the Company pursuant to a leasehold improvement allowance (refer to Note 15).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i/>
          <w:sz w:val="20"/>
        </w:rPr>
        <w:t>Leasehold Loan Fund</w:t>
      </w:r>
      <w:r>
        <w:rPr>
          <w:rFonts w:ascii="Times New Roman;Times;serif" w:hAnsi="Times New Roman;Times;serif"/>
          <w:sz w:val="20"/>
        </w:rPr>
        <w:t>—The Company manages a fund that targets customers that may require a mortgage leasehold loan as well as a Ground Lease (the “Leasehold Loan Fund”). The Company owns a 53.2% noncontrolling equity interest in the Leasehold Loan Fund. The Company does not have a controlling interest in the Leasehold Loan Fund due to the substantive participating rights of its partner. The Company accounts for this investment as an equity method investment and receives a fixed annual administrative fee and an asset management fee from its partner in exchange for managing the entity. The Company is also entitled to a promote payment on certain investments in the Leasehold Loan Fund.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February 2022, the Leasehold Loan Fund committed to provide a $130.0 million loan to the ground lessee of a Ground Lease originated by the Company. The loan was for the Ground Lease tenant’s recapitalization of a life science property. As of June 30, 2025, the Leasehold Loan Fund funded $11.0 million of the commitment.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June 2022, the Leasehold Loan Fund committed to provide a $105.0 million loan to the ground lessee of a Ground Lease originated by the Company. The loan was for the Ground Lease tenant’s recapitalization of a mixed-use property. As of June 30, 2025, the Leasehold Loan Fund funded $43.7 million of the commitment.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July 2024, the Leasehold Loan Fund committed to provide a $31.5 million loan to the ground lessee of a Ground Lease originated by the Company. The loan was for the Ground Lease tenant’s construction of a student housing property. As of June 30, 2025, the Leasehold Loan Fund funded $4.9 million of the commitment.</w:t>
      </w:r>
    </w:p>
    <w:p>
      <w:pPr>
        <w:pStyle w:val="TextBody"/>
        <w:bidi w:val="0"/>
        <w:spacing w:before="0" w:after="240"/>
        <w:ind w:left="0" w:right="0" w:hanging="0"/>
        <w:jc w:val="both"/>
        <w:rPr>
          <w:rFonts w:ascii="Times New Roman;Times;serif" w:hAnsi="Times New Roman;Times;serif"/>
          <w:b/>
          <w:sz w:val="20"/>
        </w:rPr>
      </w:pPr>
      <w:bookmarkStart w:id="1549" w:name="Tc_BC73CJPtFUWQ0fXlWa-ucg_10_5"/>
      <w:bookmarkStart w:id="1550" w:name="Tc_-BB6iGpwyU663kh_EUdyxQ_10_2"/>
      <w:bookmarkStart w:id="1551" w:name="Tc_VnJcszuaRUCNNlNwNEOTnQ_10_0"/>
      <w:bookmarkStart w:id="1552" w:name="Tc_NpbLGl5fmUebQ8rMXiwDzQ_9_0"/>
      <w:bookmarkStart w:id="1553" w:name="Tc_8bSzaZVbKEuY9L7z-kpPdQ_8_0"/>
      <w:bookmarkStart w:id="1554" w:name="Tc_y78LZnnw7EaehOeQob4JKw_7_3"/>
      <w:bookmarkStart w:id="1555" w:name="Tc_rneH0rl5lUiGCzKZ5Z3lRw_7_0"/>
      <w:bookmarkStart w:id="1556" w:name="Tc_aRMSVngvVUiQ40JlW9Rwug_6_0"/>
      <w:bookmarkStart w:id="1557" w:name="Tc_wuPF8XmeVkm1N5tIPIMi6w_5_0"/>
      <w:bookmarkStart w:id="1558" w:name="Tc_8dJD6ZK4Uki89VTmNxc93w_4_0"/>
      <w:bookmarkStart w:id="1559" w:name="Tc_OiUPa10zvUugH9WLq_onLQ_3_5"/>
      <w:bookmarkStart w:id="1560" w:name="Tc_ehWaClUKMk--Yhdu3wkzWg_3_2"/>
      <w:bookmarkStart w:id="1561" w:name="Tc_4chNc38M9kCH7oj5l3u93Q_2_5"/>
      <w:bookmarkStart w:id="1562" w:name="Tc_GYRhOrzOSkirhBi0rdqzKQ_2_2"/>
      <w:bookmarkStart w:id="1563" w:name="Tc_X0RfPc017E-FU566AuARng_1_2"/>
      <w:bookmarkStart w:id="1564" w:name="_8a73288b_37d0_4896_8e56_e0e0fa6c1dba"/>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r>
        <w:rPr>
          <w:rFonts w:ascii="Times New Roman;Times;serif" w:hAnsi="Times New Roman;Times;serif"/>
          <w:b/>
          <w:sz w:val="20"/>
        </w:rPr>
        <w:t>Note 9—Deferred Expenses and Other Assets, Net and Accounts Payable, Accrued Expenses and Other Liabilities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Deferred expenses and other assets, net, consist of the following items ($ in thousands): </w:t>
      </w:r>
    </w:p>
    <w:p>
      <w:pPr>
        <w:pStyle w:val="TextBody"/>
        <w:bidi w:val="0"/>
        <w:spacing w:before="0" w:after="0"/>
        <w:ind w:left="0" w:right="0" w:hanging="0"/>
        <w:jc w:val="left"/>
        <w:rPr/>
      </w:pPr>
      <w:r>
        <w:rPr/>
        <w:t>​</w:t>
      </w:r>
    </w:p>
    <w:tbl>
      <w:tblPr>
        <w:tblW w:w="7315" w:type="dxa"/>
        <w:jc w:val="left"/>
        <w:tblInd w:w="0" w:type="dxa"/>
        <w:tblLayout w:type="fixed"/>
        <w:tblCellMar>
          <w:top w:w="0" w:type="dxa"/>
          <w:left w:w="0" w:type="dxa"/>
          <w:bottom w:w="0" w:type="dxa"/>
          <w:right w:w="0" w:type="dxa"/>
        </w:tblCellMar>
      </w:tblPr>
      <w:tblGrid>
        <w:gridCol w:w="3991"/>
        <w:gridCol w:w="326"/>
        <w:gridCol w:w="267"/>
        <w:gridCol w:w="859"/>
        <w:gridCol w:w="326"/>
        <w:gridCol w:w="297"/>
        <w:gridCol w:w="1249"/>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534285" cy="175260"/>
                      <wp:effectExtent l="0" t="0" r="0" b="0"/>
                      <wp:wrapNone/>
                      <wp:docPr id="430" name="Frame430"/>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07010" cy="175260"/>
                      <wp:effectExtent l="0" t="0" r="0" b="0"/>
                      <wp:wrapNone/>
                      <wp:docPr id="431" name="Frame4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69545" cy="175260"/>
                      <wp:effectExtent l="0" t="0" r="0" b="0"/>
                      <wp:wrapNone/>
                      <wp:docPr id="432" name="Frame432"/>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545465" cy="175260"/>
                      <wp:effectExtent l="0" t="0" r="0" b="0"/>
                      <wp:wrapNone/>
                      <wp:docPr id="433" name="Frame433"/>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07010" cy="175260"/>
                      <wp:effectExtent l="0" t="0" r="0" b="0"/>
                      <wp:wrapNone/>
                      <wp:docPr id="434" name="Frame4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188595" cy="175260"/>
                      <wp:effectExtent l="0" t="0" r="0" b="0"/>
                      <wp:wrapNone/>
                      <wp:docPr id="435" name="Frame435"/>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793115" cy="175260"/>
                      <wp:effectExtent l="0" t="0" r="0" b="0"/>
                      <wp:wrapNone/>
                      <wp:docPr id="436" name="Frame436"/>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99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9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99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Operating lease right-of-use asset</w:t>
            </w:r>
            <w:r>
              <w:rPr>
                <w:rFonts w:ascii="Times New Roman;Times;serif" w:hAnsi="Times New Roman;Times;serif"/>
                <w:b w:val="false"/>
                <w:i w:val="false"/>
                <w:caps w:val="false"/>
                <w:smallCaps w:val="false"/>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27,461</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29,707</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rate hedge assets</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22,748</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45,439</w:t>
            </w:r>
          </w:p>
        </w:tc>
      </w:tr>
      <w:tr>
        <w:trPr/>
        <w:tc>
          <w:tcPr>
            <w:tcW w:w="399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Deferred finance costs, net</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13,974</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16,471</w:t>
            </w:r>
          </w:p>
        </w:tc>
      </w:tr>
      <w:tr>
        <w:trPr/>
        <w:tc>
          <w:tcPr>
            <w:tcW w:w="399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Other assets</w:t>
            </w:r>
            <w:r>
              <w:rPr>
                <w:rFonts w:ascii="Times New Roman;Times;serif" w:hAnsi="Times New Roman;Times;serif"/>
                <w:sz w:val="15"/>
              </w:rPr>
              <w:t>(3)</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9,776</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12,278</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 deposits</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Leasing costs, net</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furniture, fixtures and equipment, net</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647</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expenses and other assets, net</w:t>
            </w:r>
          </w:p>
        </w:tc>
        <w:tc>
          <w:tcPr>
            <w:tcW w:w="326" w:type="dxa"/>
            <w:tcBorders/>
            <w:vAlign w:val="center"/>
          </w:tcPr>
          <w:p>
            <w:pPr>
              <w:pStyle w:val="TableContents"/>
              <w:bidi w:val="0"/>
              <w:spacing w:before="0" w:after="1"/>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74,926</w:t>
            </w:r>
          </w:p>
        </w:tc>
        <w:tc>
          <w:tcPr>
            <w:tcW w:w="326" w:type="dxa"/>
            <w:tcBorders/>
            <w:vAlign w:val="center"/>
          </w:tcPr>
          <w:p>
            <w:pPr>
              <w:pStyle w:val="TableContents"/>
              <w:bidi w:val="0"/>
              <w:spacing w:before="0" w:after="1"/>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105,015</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Operating lease right-of-use asset (and operating lease liability below) relates primarily to a property that is majority-owned by a third party and is ground leased to the Company. The Company is obligated to pay the owner of the property $0.5</w:t>
            </w:r>
            <w:r>
              <w:rPr>
                <w:caps w:val="false"/>
                <w:smallCaps w:val="false"/>
              </w:rPr>
              <w:t xml:space="preserve"> </w:t>
            </w:r>
            <w:r>
              <w:rPr>
                <w:rFonts w:ascii="Times New Roman;Times;serif" w:hAnsi="Times New Roman;Times;serif"/>
                <w:b w:val="false"/>
                <w:i w:val="false"/>
                <w:caps w:val="false"/>
                <w:smallCaps w:val="false"/>
                <w:sz w:val="16"/>
              </w:rPr>
              <w:t>million, subject to adjustment for changes in the CPI, per year through 2044; however, the Company’s Ground Lease tenant at the property pays this expense directly under the terms of a master lease. Operating lease right-of-use asset is amortized on a straight-line basis over the term of the lease and is recorded in “Real estate expense” in the Company’s consolidated statements of operations. During both the three months ended June 30, 2025 and 2024, the Company recognized $0.1</w:t>
            </w:r>
            <w:r>
              <w:rPr>
                <w:caps w:val="false"/>
                <w:smallCaps w:val="false"/>
              </w:rPr>
              <w:t xml:space="preserve"> </w:t>
            </w:r>
            <w:r>
              <w:rPr>
                <w:rFonts w:ascii="Times New Roman;Times;serif" w:hAnsi="Times New Roman;Times;serif"/>
                <w:b w:val="false"/>
                <w:i w:val="false"/>
                <w:caps w:val="false"/>
                <w:smallCaps w:val="false"/>
                <w:sz w:val="16"/>
              </w:rPr>
              <w:t>million in “Real estate expense” and $0.1</w:t>
            </w:r>
            <w:r>
              <w:rPr>
                <w:caps w:val="false"/>
                <w:smallCaps w:val="false"/>
              </w:rPr>
              <w:t xml:space="preserve"> </w:t>
            </w:r>
            <w:r>
              <w:rPr>
                <w:rFonts w:ascii="Times New Roman;Times;serif" w:hAnsi="Times New Roman;Times;serif"/>
                <w:b w:val="false"/>
                <w:i w:val="false"/>
                <w:caps w:val="false"/>
                <w:smallCaps w:val="false"/>
                <w:sz w:val="16"/>
              </w:rPr>
              <w:t>million in “Other income” from its operating lease right-of-use asset. During both the six months ended June 30, 2025 and 2024, the Company recognized $0.3</w:t>
            </w:r>
            <w:r>
              <w:rPr>
                <w:caps w:val="false"/>
                <w:smallCaps w:val="false"/>
              </w:rPr>
              <w:t xml:space="preserve"> </w:t>
            </w:r>
            <w:r>
              <w:rPr>
                <w:rFonts w:ascii="Times New Roman;Times;serif" w:hAnsi="Times New Roman;Times;serif"/>
                <w:b w:val="false"/>
                <w:i w:val="false"/>
                <w:caps w:val="false"/>
                <w:smallCaps w:val="false"/>
                <w:sz w:val="16"/>
              </w:rPr>
              <w:t>million in “Real estate expense” and $0.3</w:t>
            </w:r>
            <w:r>
              <w:rPr>
                <w:caps w:val="false"/>
                <w:smallCaps w:val="false"/>
              </w:rPr>
              <w:t xml:space="preserve"> </w:t>
            </w:r>
            <w:r>
              <w:rPr>
                <w:rFonts w:ascii="Times New Roman;Times;serif" w:hAnsi="Times New Roman;Times;serif"/>
                <w:b w:val="false"/>
                <w:i w:val="false"/>
                <w:caps w:val="false"/>
                <w:smallCaps w:val="false"/>
                <w:sz w:val="16"/>
              </w:rPr>
              <w:t>million in “Other income” from its operating lease right-of-use asset. The related operating lease liability (see table below) equals the present value of the minimum rental payments due under the lease discounted at the Company’s incremental secured borrowing rate for a similar asset estimated to be 5.5%. The Company also has operating leases for office space.</w:t>
            </w:r>
          </w:p>
        </w:tc>
      </w:tr>
    </w:tbl>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7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Accumulated amortization of deferred finance costs was $6.0</w:t>
            </w:r>
            <w:r>
              <w:rPr>
                <w:caps w:val="false"/>
                <w:smallCaps w:val="false"/>
              </w:rPr>
              <w:t xml:space="preserve"> </w:t>
            </w:r>
            <w:r>
              <w:rPr>
                <w:rFonts w:ascii="Times New Roman;Times;serif" w:hAnsi="Times New Roman;Times;serif"/>
                <w:b w:val="false"/>
                <w:i w:val="false"/>
                <w:caps w:val="false"/>
                <w:smallCaps w:val="false"/>
                <w:sz w:val="16"/>
              </w:rPr>
              <w:t>million and $3.5</w:t>
            </w:r>
            <w:r>
              <w:rPr>
                <w:caps w:val="false"/>
                <w:smallCaps w:val="false"/>
              </w:rPr>
              <w:t> </w:t>
            </w:r>
            <w:r>
              <w:rPr>
                <w:rFonts w:ascii="Times New Roman;Times;serif" w:hAnsi="Times New Roman;Times;serif"/>
                <w:b w:val="false"/>
                <w:i w:val="false"/>
                <w:caps w:val="false"/>
                <w:smallCaps w:val="false"/>
                <w:sz w:val="16"/>
              </w:rPr>
              <w:t>million as of June 30, 2025 and December 31, 2024, respectively.</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91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June 30, 2025 and December 31, 2024, includes $2.5</w:t>
            </w:r>
            <w:r>
              <w:rPr>
                <w:caps w:val="false"/>
                <w:smallCaps w:val="false"/>
              </w:rPr>
              <w:t xml:space="preserve"> </w:t>
            </w:r>
            <w:r>
              <w:rPr>
                <w:rFonts w:ascii="Times New Roman;Times;serif" w:hAnsi="Times New Roman;Times;serif"/>
                <w:b w:val="false"/>
                <w:i w:val="false"/>
                <w:caps w:val="false"/>
                <w:smallCaps w:val="false"/>
                <w:sz w:val="16"/>
              </w:rPr>
              <w:t>million and $3.7</w:t>
            </w:r>
            <w:r>
              <w:rPr>
                <w:caps w:val="false"/>
                <w:smallCaps w:val="false"/>
              </w:rPr>
              <w:t xml:space="preserve"> </w:t>
            </w:r>
            <w:r>
              <w:rPr>
                <w:rFonts w:ascii="Times New Roman;Times;serif" w:hAnsi="Times New Roman;Times;serif"/>
                <w:b w:val="false"/>
                <w:i w:val="false"/>
                <w:caps w:val="false"/>
                <w:smallCaps w:val="false"/>
                <w:sz w:val="16"/>
              </w:rPr>
              <w:t>million, respectively, of management fees due from Star Holdings. Through June 30, 2025, the Company has earned $42.5</w:t>
            </w:r>
            <w:r>
              <w:rPr>
                <w:caps w:val="false"/>
                <w:smallCaps w:val="false"/>
              </w:rPr>
              <w:t xml:space="preserve"> </w:t>
            </w:r>
            <w:r>
              <w:rPr>
                <w:rFonts w:ascii="Times New Roman;Times;serif" w:hAnsi="Times New Roman;Times;serif"/>
                <w:b w:val="false"/>
                <w:i w:val="false"/>
                <w:caps w:val="false"/>
                <w:smallCaps w:val="false"/>
                <w:sz w:val="16"/>
              </w:rPr>
              <w:t>million of management fees from Star Holdings and as of June 30, 2025, $7.5</w:t>
            </w:r>
            <w:r>
              <w:rPr>
                <w:caps w:val="false"/>
                <w:smallCaps w:val="false"/>
              </w:rPr>
              <w:t xml:space="preserve"> </w:t>
            </w:r>
            <w:r>
              <w:rPr>
                <w:rFonts w:ascii="Times New Roman;Times;serif" w:hAnsi="Times New Roman;Times;serif"/>
                <w:b w:val="false"/>
                <w:i w:val="false"/>
                <w:caps w:val="false"/>
                <w:smallCaps w:val="false"/>
                <w:sz w:val="16"/>
              </w:rPr>
              <w:t>million of the transaction price is attributable to performance obligations that remain unsatisfied.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1565" w:name="Tc_nc1oK7-8J0C2JN16CSYwWw_8_5"/>
      <w:bookmarkStart w:id="1566" w:name="Tc_BVwk9lU93kaN4GyHrCuJjw_8_2"/>
      <w:bookmarkStart w:id="1567" w:name="Tc_rdiyrILiLkC6PDUssoJOpQ_8_0"/>
      <w:bookmarkStart w:id="1568" w:name="Tc_DTGqiBPWZUKilR0FDewkuQ_7_0"/>
      <w:bookmarkStart w:id="1569" w:name="Tc__KtiGan9Y0uW9ds4WsWjWw_5_0"/>
      <w:bookmarkStart w:id="1570" w:name="Tc_3unxeJNEL0-Sn9MLDbzzog_4_0"/>
      <w:bookmarkStart w:id="1571" w:name="Tc_bS54nMdijki5k6c1xtugCg_3_5"/>
      <w:bookmarkStart w:id="1572" w:name="Tc_sWXQKmGI0kqs1o7sqNeQww_3_2"/>
      <w:bookmarkStart w:id="1573" w:name="Tc_JdnRNOcZP0aoxJZ9LkOAyg_3_0"/>
      <w:bookmarkStart w:id="1574" w:name="Tc_0NosuJ2H0UimX5dKJ3ctoA_2_5"/>
      <w:bookmarkStart w:id="1575" w:name="Tc_pSU8LOCcgUmNq_WfSdwh2w_2_2"/>
      <w:bookmarkStart w:id="1576" w:name="Tc_0MUe7VSKqkeEC0ToaAxjXg_1_2"/>
      <w:bookmarkStart w:id="1577" w:name="_9c54ed87_8916_4c5c_9a6a_e9f1f9cae4fb"/>
      <w:bookmarkEnd w:id="1565"/>
      <w:bookmarkEnd w:id="1566"/>
      <w:bookmarkEnd w:id="1567"/>
      <w:bookmarkEnd w:id="1568"/>
      <w:bookmarkEnd w:id="1569"/>
      <w:bookmarkEnd w:id="1570"/>
      <w:bookmarkEnd w:id="1571"/>
      <w:bookmarkEnd w:id="1572"/>
      <w:bookmarkEnd w:id="1573"/>
      <w:bookmarkEnd w:id="1574"/>
      <w:bookmarkEnd w:id="1575"/>
      <w:bookmarkEnd w:id="1576"/>
      <w:bookmarkEnd w:id="1577"/>
      <w:r>
        <w:rPr>
          <w:rFonts w:ascii="Times New Roman;Times;serif" w:hAnsi="Times New Roman;Times;serif"/>
          <w:sz w:val="20"/>
        </w:rPr>
        <w:t xml:space="preserve">Accounts payable, accrued expenses and other liabilities consist of the following items ($ in thousands): </w:t>
      </w:r>
    </w:p>
    <w:p>
      <w:pPr>
        <w:pStyle w:val="TextBody"/>
        <w:bidi w:val="0"/>
        <w:spacing w:before="0" w:after="0"/>
        <w:ind w:left="0" w:right="0" w:hanging="0"/>
        <w:jc w:val="left"/>
        <w:rPr/>
      </w:pPr>
      <w:r>
        <w:rPr/>
        <w:t>​</w:t>
      </w:r>
    </w:p>
    <w:tbl>
      <w:tblPr>
        <w:tblW w:w="8035" w:type="dxa"/>
        <w:jc w:val="left"/>
        <w:tblInd w:w="0" w:type="dxa"/>
        <w:tblLayout w:type="fixed"/>
        <w:tblCellMar>
          <w:top w:w="0" w:type="dxa"/>
          <w:left w:w="0" w:type="dxa"/>
          <w:bottom w:w="0" w:type="dxa"/>
          <w:right w:w="0" w:type="dxa"/>
        </w:tblCellMar>
      </w:tblPr>
      <w:tblGrid>
        <w:gridCol w:w="4711"/>
        <w:gridCol w:w="326"/>
        <w:gridCol w:w="239"/>
        <w:gridCol w:w="887"/>
        <w:gridCol w:w="326"/>
        <w:gridCol w:w="297"/>
        <w:gridCol w:w="1249"/>
      </w:tblGrid>
      <w:tr>
        <w:trPr/>
        <w:tc>
          <w:tcPr>
            <w:tcW w:w="4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991485" cy="175260"/>
                      <wp:effectExtent l="0" t="0" r="0" b="0"/>
                      <wp:wrapNone/>
                      <wp:docPr id="437" name="Frame437"/>
                      <a:graphic xmlns:a="http://schemas.openxmlformats.org/drawingml/2006/main">
                        <a:graphicData uri="http://schemas.microsoft.com/office/word/2010/wordprocessingShape">
                          <wps:wsp>
                            <wps:cNvSpPr txBox="1"/>
                            <wps:spPr>
                              <a:xfrm>
                                <a:off x="0" y="0"/>
                                <a:ext cx="2991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07010" cy="175260"/>
                      <wp:effectExtent l="0" t="0" r="0" b="0"/>
                      <wp:wrapNone/>
                      <wp:docPr id="438" name="Frame4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151765" cy="175260"/>
                      <wp:effectExtent l="0" t="0" r="0" b="0"/>
                      <wp:wrapNone/>
                      <wp:docPr id="439" name="Frame43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563245" cy="175260"/>
                      <wp:effectExtent l="0" t="0" r="0" b="0"/>
                      <wp:wrapNone/>
                      <wp:docPr id="440" name="Frame440"/>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07010" cy="175260"/>
                      <wp:effectExtent l="0" t="0" r="0" b="0"/>
                      <wp:wrapNone/>
                      <wp:docPr id="441" name="Frame4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188595" cy="175260"/>
                      <wp:effectExtent l="0" t="0" r="0" b="0"/>
                      <wp:wrapNone/>
                      <wp:docPr id="442" name="Frame442"/>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793115" cy="175260"/>
                      <wp:effectExtent l="0" t="0" r="0" b="0"/>
                      <wp:wrapNone/>
                      <wp:docPr id="443" name="Frame443"/>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99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47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4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103,299</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87,854</w:t>
            </w:r>
          </w:p>
        </w:tc>
      </w:tr>
      <w:tr>
        <w:trPr/>
        <w:tc>
          <w:tcPr>
            <w:tcW w:w="47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17,223</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17,105</w:t>
            </w:r>
          </w:p>
        </w:tc>
      </w:tr>
      <w:tr>
        <w:trPr/>
        <w:tc>
          <w:tcPr>
            <w:tcW w:w="4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Dividends declared and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13,350</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13,307</w:t>
            </w:r>
          </w:p>
        </w:tc>
      </w:tr>
      <w:tr>
        <w:trPr/>
        <w:tc>
          <w:tcPr>
            <w:tcW w:w="471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Operating lease liabilities</w:t>
            </w:r>
            <w:r>
              <w:rPr>
                <w:rFonts w:ascii="Times New Roman;Times;serif" w:hAnsi="Times New Roman;Times;serif"/>
                <w:b w:val="false"/>
                <w:i w:val="false"/>
                <w:caps w:val="false"/>
                <w:smallCaps w:val="false"/>
                <w:sz w:val="15"/>
              </w:rPr>
              <w:t>(1)</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7,566</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10,374</w:t>
            </w:r>
          </w:p>
        </w:tc>
      </w:tr>
      <w:tr>
        <w:trPr/>
        <w:tc>
          <w:tcPr>
            <w:tcW w:w="471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Accrued expenses</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10,736</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16,351</w:t>
            </w:r>
          </w:p>
        </w:tc>
      </w:tr>
      <w:tr>
        <w:trPr/>
        <w:tc>
          <w:tcPr>
            <w:tcW w:w="47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accrued expenses and other liabilities</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152,174</w:t>
            </w:r>
          </w:p>
        </w:tc>
        <w:tc>
          <w:tcPr>
            <w:tcW w:w="326" w:type="dxa"/>
            <w:tcBorders/>
            <w:vAlign w:val="center"/>
          </w:tcPr>
          <w:p>
            <w:pPr>
              <w:pStyle w:val="TableContents"/>
              <w:bidi w:val="0"/>
              <w:spacing w:before="0" w:after="1"/>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144,991</w:t>
            </w:r>
          </w:p>
        </w:tc>
      </w:tr>
    </w:tbl>
    <w:tbl>
      <w:tblPr>
        <w:tblW w:w="1682" w:type="dxa"/>
        <w:jc w:val="left"/>
        <w:tblInd w:w="0" w:type="dxa"/>
        <w:tblLayout w:type="fixed"/>
        <w:tblCellMar>
          <w:top w:w="0" w:type="dxa"/>
          <w:left w:w="0" w:type="dxa"/>
          <w:bottom w:w="0" w:type="dxa"/>
          <w:right w:w="0" w:type="dxa"/>
        </w:tblCellMar>
      </w:tblPr>
      <w:tblGrid>
        <w:gridCol w:w="331"/>
        <w:gridCol w:w="135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13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Refer to Note 11.</w:t>
            </w:r>
          </w:p>
        </w:tc>
      </w:tr>
    </w:tbl>
    <w:tbl>
      <w:tblPr>
        <w:tblW w:w="9737" w:type="dxa"/>
        <w:jc w:val="left"/>
        <w:tblInd w:w="0" w:type="dxa"/>
        <w:tblLayout w:type="fixed"/>
        <w:tblCellMar>
          <w:top w:w="0" w:type="dxa"/>
          <w:left w:w="0" w:type="dxa"/>
          <w:bottom w:w="0" w:type="dxa"/>
          <w:right w:w="0" w:type="dxa"/>
        </w:tblCellMar>
      </w:tblPr>
      <w:tblGrid>
        <w:gridCol w:w="331"/>
        <w:gridCol w:w="940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40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June 30, 2025 and December 31, 2024, accrued expenses includes accrued compensation, legal, audit and property expenses.</w:t>
            </w:r>
            <w:r>
              <w:rPr>
                <w:caps w:val="false"/>
                <w:smallCaps w:val="false"/>
              </w:rPr>
              <w:t xml:space="preserve">  </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578" w:name="Tc_jc_ajzmmPEmEDSvvDoHFDg_18_5"/>
      <w:bookmarkStart w:id="1579" w:name="Tc_AIIKO3n8MEWZ4URZwsoDOw_18_2"/>
      <w:bookmarkStart w:id="1580" w:name="Tc_MIBEwatVk0iNbO9QDJ2QfQ_18_0"/>
      <w:bookmarkStart w:id="1581" w:name="Tc_PwW-3dCu702u1aEADqm9nw_17_0"/>
      <w:bookmarkStart w:id="1582" w:name="Tc_8qt-IvdnbkegAqDM8oEYfA_16_0"/>
      <w:bookmarkStart w:id="1583" w:name="Tc_DX_Z_OdOD0Ga2JSzDmvxCA_15_0"/>
      <w:bookmarkStart w:id="1584" w:name="Tc_206X0sry-ka0oNKkk8T3sQ_14_10"/>
      <w:bookmarkStart w:id="1585" w:name="Tc_Vvr2OXzaCUuW1XcfN3VFOw_14_9"/>
      <w:bookmarkStart w:id="1586" w:name="Tc_nNLNMN30SUmuR9NCvKb-Gw_14_8"/>
      <w:bookmarkStart w:id="1587" w:name="Tc_7YTcDR_OnEKFJ3_RV7Z4Xw_14_0"/>
      <w:bookmarkStart w:id="1588" w:name="Tc_WigJWDj_tU6VsgYc585zKw_13_10"/>
      <w:bookmarkStart w:id="1589" w:name="Tc_uwkS6AJSCkGu9x9rZS1csw_13_9"/>
      <w:bookmarkStart w:id="1590" w:name="Tc_L4wUz_ujkUe_F0KrNsuk9w_13_8"/>
      <w:bookmarkStart w:id="1591" w:name="Tc_qIsyWzpnB0CiI3cUmodLJA_13_0"/>
      <w:bookmarkStart w:id="1592" w:name="Tc_YIrd9YBMoUiaxccdoZ7u2g_12_10"/>
      <w:bookmarkStart w:id="1593" w:name="Tc_Rcpk4LIrOUSE8aTdDGnb7A_12_9"/>
      <w:bookmarkStart w:id="1594" w:name="Tc_4MSNQKAQG0qNg3ZegwFazg_12_0"/>
      <w:bookmarkStart w:id="1595" w:name="Tc_AtlvoUbS40WY0p4s96DwGQ_11_10"/>
      <w:bookmarkStart w:id="1596" w:name="Tc_zJs9Q-w7WUaW8SM08c1THQ_11_9"/>
      <w:bookmarkStart w:id="1597" w:name="Tc_Jc-Nqq4ylUisX7Qg1LM_Qg_11_0"/>
      <w:bookmarkStart w:id="1598" w:name="Tc_t7IwNr6rt06bTfEfKlYjxw_10_10"/>
      <w:bookmarkStart w:id="1599" w:name="Tc_GbR8Ee0Rh0KgmpDrkwIvtg_10_9"/>
      <w:bookmarkStart w:id="1600" w:name="Tc_CimwuNW1H0KCCpwJVu_cVw_10_0"/>
      <w:bookmarkStart w:id="1601" w:name="Tc_IvnhJkmN80GG88Xj5isoQw_9_10"/>
      <w:bookmarkStart w:id="1602" w:name="Tc_NFBnJ6mkm0O-QBgK7S2cZQ_9_9"/>
      <w:bookmarkStart w:id="1603" w:name="Tc_Vr9RF9qB90CZTNEK5F7Cjw_9_0"/>
      <w:bookmarkStart w:id="1604" w:name="Tc_m4oCyF0CxkG1kUjSw78GtQ_8_10"/>
      <w:bookmarkStart w:id="1605" w:name="Tc_Od1tVYqrkEeEUqVUJ3aHdg_8_9"/>
      <w:bookmarkStart w:id="1606" w:name="Tc_RpRVPvUWIUi4xiIYVjLRPw_8_0"/>
      <w:bookmarkStart w:id="1607" w:name="Tc_eZN_dUPRNU2VJM8y95t5kw_7_10"/>
      <w:bookmarkStart w:id="1608" w:name="Tc_RfZ4hWTVFkSrx9HInV3gjw_7_9"/>
      <w:bookmarkStart w:id="1609" w:name="Tc_tKpJIFFXEU2oCUBWFT4Btg_7_0"/>
      <w:bookmarkStart w:id="1610" w:name="Tc_qY_byLzwJUumKXktNAzXdQ_6_0"/>
      <w:bookmarkStart w:id="1611" w:name="Tc_pBgWaxwBkkC72bsgP-Rt8g_5_0"/>
      <w:bookmarkStart w:id="1612" w:name="Tc_YtrkqWD_ikOEFPtqqxMUtQ_4_10"/>
      <w:bookmarkStart w:id="1613" w:name="Tc_0HlGPzQ-ukSaEQmTvruuKg_4_9"/>
      <w:bookmarkStart w:id="1614" w:name="Tc_FUfRF9UlSUuuP7Gpq3dZRw_4_5"/>
      <w:bookmarkStart w:id="1615" w:name="Tc_vz2AppTH4kyrsBL7voWmDA_4_2"/>
      <w:bookmarkStart w:id="1616" w:name="Tc_wW7mz3CaaEaz6Z-hanJ3kg_4_0"/>
      <w:bookmarkStart w:id="1617" w:name="Tc_vN43fnVBHU-ZrAV_H_dxGw_3_0"/>
      <w:bookmarkStart w:id="1618" w:name="Tc_zwh8Jxv0kEi879GHGlXaPA_2_10"/>
      <w:bookmarkStart w:id="1619" w:name="Tc_S3MdkphwrEWeM1pAVTA_ew_2_8"/>
      <w:bookmarkStart w:id="1620" w:name="Tc_TIbyBh--e0-NI6rDag6eOg_2_5"/>
      <w:bookmarkStart w:id="1621" w:name="Tc_WcWoF8_bWEqUgIB4sjCgGw_2_2"/>
      <w:bookmarkStart w:id="1622" w:name="Tc_hk19piF0PE2fpk8Zp8StOw_1_10"/>
      <w:bookmarkStart w:id="1623" w:name="Tc_uYccbirckk2x5tPcA8bw6w_1_8"/>
      <w:bookmarkStart w:id="1624" w:name="Tc_p30eJHVdWUiM-Fhh8NLotA_1_2"/>
      <w:bookmarkStart w:id="1625" w:name="_d5a696c1_6bce_4493_b43a_43918cc92f5f"/>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r>
        <w:rPr>
          <w:rFonts w:ascii="Times New Roman;Times;serif" w:hAnsi="Times New Roman;Times;serif"/>
          <w:b/>
          <w:sz w:val="20"/>
        </w:rPr>
        <w:t>Note 10—Debt Obligations, net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outstanding debt obligations consist of the following ($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209"/>
        <w:gridCol w:w="326"/>
        <w:gridCol w:w="215"/>
        <w:gridCol w:w="911"/>
        <w:gridCol w:w="326"/>
        <w:gridCol w:w="287"/>
        <w:gridCol w:w="1214"/>
        <w:gridCol w:w="326"/>
        <w:gridCol w:w="1074"/>
        <w:gridCol w:w="331"/>
        <w:gridCol w:w="1986"/>
      </w:tblGrid>
      <w:tr>
        <w:trPr/>
        <w:tc>
          <w:tcPr>
            <w:tcW w:w="3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037715" cy="175260"/>
                      <wp:effectExtent l="0" t="0" r="0" b="0"/>
                      <wp:wrapNone/>
                      <wp:docPr id="444" name="Frame444"/>
                      <a:graphic xmlns:a="http://schemas.openxmlformats.org/drawingml/2006/main">
                        <a:graphicData uri="http://schemas.microsoft.com/office/word/2010/wordprocessingShape">
                          <wps:wsp>
                            <wps:cNvSpPr txBox="1"/>
                            <wps:spPr>
                              <a:xfrm>
                                <a:off x="0" y="0"/>
                                <a:ext cx="2037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07010" cy="175260"/>
                      <wp:effectExtent l="0" t="0" r="0" b="0"/>
                      <wp:wrapNone/>
                      <wp:docPr id="445" name="Frame4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136525" cy="175260"/>
                      <wp:effectExtent l="0" t="0" r="0" b="0"/>
                      <wp:wrapNone/>
                      <wp:docPr id="446" name="Frame446"/>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578485" cy="175260"/>
                      <wp:effectExtent l="0" t="0" r="0" b="0"/>
                      <wp:wrapNone/>
                      <wp:docPr id="447" name="Frame447"/>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07010" cy="175260"/>
                      <wp:effectExtent l="0" t="0" r="0" b="0"/>
                      <wp:wrapNone/>
                      <wp:docPr id="448" name="Frame4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182245" cy="175260"/>
                      <wp:effectExtent l="0" t="0" r="0" b="0"/>
                      <wp:wrapNone/>
                      <wp:docPr id="449" name="Frame449"/>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770890" cy="175260"/>
                      <wp:effectExtent l="0" t="0" r="0" b="0"/>
                      <wp:wrapNone/>
                      <wp:docPr id="450" name="Frame450"/>
                      <a:graphic xmlns:a="http://schemas.openxmlformats.org/drawingml/2006/main">
                        <a:graphicData uri="http://schemas.microsoft.com/office/word/2010/wordprocessingShape">
                          <wps:wsp>
                            <wps:cNvSpPr txBox="1"/>
                            <wps:spPr>
                              <a:xfrm>
                                <a:off x="0" y="0"/>
                                <a:ext cx="770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07010" cy="175260"/>
                      <wp:effectExtent l="0" t="0" r="0" b="0"/>
                      <wp:wrapNone/>
                      <wp:docPr id="451" name="Frame4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81990" cy="175260"/>
                      <wp:effectExtent l="0" t="0" r="0" b="0"/>
                      <wp:wrapNone/>
                      <wp:docPr id="452" name="Frame452"/>
                      <a:graphic xmlns:a="http://schemas.openxmlformats.org/drawingml/2006/main">
                        <a:graphicData uri="http://schemas.microsoft.com/office/word/2010/wordprocessingShape">
                          <wps:wsp>
                            <wps:cNvSpPr txBox="1"/>
                            <wps:spPr>
                              <a:xfrm>
                                <a:off x="0" y="0"/>
                                <a:ext cx="681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10185" cy="175260"/>
                      <wp:effectExtent l="0" t="0" r="0" b="0"/>
                      <wp:wrapNone/>
                      <wp:docPr id="453" name="Frame453"/>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1261110" cy="175260"/>
                      <wp:effectExtent l="0" t="0" r="0" b="0"/>
                      <wp:wrapNone/>
                      <wp:docPr id="454" name="Frame454"/>
                      <a:graphic xmlns:a="http://schemas.openxmlformats.org/drawingml/2006/main">
                        <a:graphicData uri="http://schemas.microsoft.com/office/word/2010/wordprocessingShape">
                          <wps:wsp>
                            <wps:cNvSpPr txBox="1"/>
                            <wps:spPr>
                              <a:xfrm>
                                <a:off x="0" y="0"/>
                                <a:ext cx="1261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95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vAlign w:val="center"/>
          </w:tcPr>
          <w:p>
            <w:pPr>
              <w:pStyle w:val="TableContents"/>
              <w:bidi w:val="0"/>
              <w:spacing w:before="0" w:after="1"/>
              <w:ind w:left="0" w:right="0" w:hanging="0"/>
              <w:jc w:val="center"/>
              <w:rPr/>
            </w:pPr>
            <w:r>
              <w:rPr/>
              <w:t>    </w:t>
            </w:r>
          </w:p>
        </w:tc>
        <w:tc>
          <w:tcPr>
            <w:tcW w:w="107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31" w:type="dxa"/>
            <w:tcBorders/>
            <w:vAlign w:val="center"/>
          </w:tcPr>
          <w:p>
            <w:pPr>
              <w:pStyle w:val="TableContents"/>
              <w:bidi w:val="0"/>
              <w:spacing w:before="0" w:after="1"/>
              <w:ind w:left="0" w:right="0" w:hanging="0"/>
              <w:jc w:val="left"/>
              <w:rPr/>
            </w:pPr>
            <w:r>
              <w:rPr/>
              <w:t>    </w:t>
            </w:r>
          </w:p>
        </w:tc>
        <w:tc>
          <w:tcPr>
            <w:tcW w:w="19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Scheduled</w:t>
            </w:r>
          </w:p>
        </w:tc>
      </w:tr>
      <w:tr>
        <w:trPr/>
        <w:tc>
          <w:tcPr>
            <w:tcW w:w="32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26" w:type="dxa"/>
            <w:tcBorders/>
            <w:vAlign w:val="center"/>
          </w:tcPr>
          <w:p>
            <w:pPr>
              <w:pStyle w:val="TableContents"/>
              <w:bidi w:val="0"/>
              <w:spacing w:before="0" w:after="1"/>
              <w:ind w:left="0" w:right="0" w:hanging="0"/>
              <w:jc w:val="center"/>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326" w:type="dxa"/>
            <w:tcBorders/>
            <w:vAlign w:val="center"/>
          </w:tcPr>
          <w:p>
            <w:pPr>
              <w:pStyle w:val="TableContents"/>
              <w:bidi w:val="0"/>
              <w:spacing w:before="0" w:after="1"/>
              <w:ind w:left="0" w:right="0" w:hanging="0"/>
              <w:jc w:val="center"/>
              <w:rPr/>
            </w:pPr>
            <w:r>
              <w:rPr/>
              <w:t>    </w:t>
            </w:r>
          </w:p>
        </w:tc>
        <w:tc>
          <w:tcPr>
            <w:tcW w:w="1074"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Rate</w:t>
            </w:r>
            <w:r>
              <w:rPr>
                <w:rFonts w:ascii="Times New Roman;Times;serif" w:hAnsi="Times New Roman;Times;serif"/>
                <w:b/>
                <w:sz w:val="12"/>
              </w:rPr>
              <w:t>(1)</w:t>
            </w:r>
          </w:p>
        </w:tc>
        <w:tc>
          <w:tcPr>
            <w:tcW w:w="331" w:type="dxa"/>
            <w:tcBorders/>
            <w:vAlign w:val="center"/>
          </w:tcPr>
          <w:p>
            <w:pPr>
              <w:pStyle w:val="TableContents"/>
              <w:bidi w:val="0"/>
              <w:spacing w:before="0" w:after="1"/>
              <w:ind w:left="0" w:right="0" w:hanging="0"/>
              <w:jc w:val="left"/>
              <w:rPr/>
            </w:pPr>
            <w:r>
              <w:rPr/>
              <w:t>    </w:t>
            </w:r>
          </w:p>
        </w:tc>
        <w:tc>
          <w:tcPr>
            <w:tcW w:w="198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Maturity Date</w:t>
            </w:r>
            <w:r>
              <w:rPr>
                <w:rFonts w:ascii="Times New Roman;Times;serif" w:hAnsi="Times New Roman;Times;serif"/>
                <w:b/>
                <w:sz w:val="12"/>
              </w:rPr>
              <w:t>(2)</w:t>
            </w:r>
          </w:p>
        </w:tc>
      </w:tr>
      <w:tr>
        <w:trPr/>
        <w:tc>
          <w:tcPr>
            <w:tcW w:w="320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Secured credit financing:</w:t>
            </w:r>
          </w:p>
        </w:tc>
        <w:tc>
          <w:tcPr>
            <w:tcW w:w="326" w:type="dxa"/>
            <w:tcBorders/>
            <w:shd w:fill="CCEEFF" w:val="clear"/>
            <w:vAlign w:val="center"/>
          </w:tcPr>
          <w:p>
            <w:pPr>
              <w:pStyle w:val="TableContents"/>
              <w:bidi w:val="0"/>
              <w:spacing w:before="0" w:after="1"/>
              <w:ind w:left="0" w:right="0" w:hanging="0"/>
              <w:jc w:val="left"/>
              <w:rPr/>
            </w:pPr>
            <w:r>
              <w:rPr/>
              <w:t> </w:t>
            </w:r>
          </w:p>
        </w:tc>
        <w:tc>
          <w:tcPr>
            <w:tcW w:w="215" w:type="dxa"/>
            <w:tcBorders/>
            <w:shd w:fill="CCEEFF" w:val="clear"/>
            <w:vAlign w:val="center"/>
          </w:tcPr>
          <w:p>
            <w:pPr>
              <w:pStyle w:val="TableContents"/>
              <w:bidi w:val="0"/>
              <w:spacing w:before="0" w:after="1"/>
              <w:ind w:left="0" w:right="0" w:hanging="0"/>
              <w:jc w:val="left"/>
              <w:rPr/>
            </w:pPr>
            <w:r>
              <w:rPr/>
              <w:t>​</w:t>
            </w:r>
          </w:p>
        </w:tc>
        <w:tc>
          <w:tcPr>
            <w:tcW w:w="91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87" w:type="dxa"/>
            <w:tcBorders/>
            <w:shd w:fill="CCEEFF" w:val="clear"/>
            <w:vAlign w:val="center"/>
          </w:tcPr>
          <w:p>
            <w:pPr>
              <w:pStyle w:val="TableContents"/>
              <w:bidi w:val="0"/>
              <w:spacing w:before="0" w:after="1"/>
              <w:ind w:left="0" w:right="0" w:hanging="0"/>
              <w:jc w:val="left"/>
              <w:rPr/>
            </w:pPr>
            <w:r>
              <w:rPr/>
              <w:t>​</w:t>
            </w:r>
          </w:p>
        </w:tc>
        <w:tc>
          <w:tcPr>
            <w:tcW w:w="1214"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074" w:type="dxa"/>
            <w:tcBorders/>
            <w:shd w:fill="CCEEFF" w:val="clear"/>
            <w:vAlign w:val="center"/>
          </w:tcPr>
          <w:p>
            <w:pPr>
              <w:pStyle w:val="TableContents"/>
              <w:bidi w:val="0"/>
              <w:spacing w:before="0" w:after="1"/>
              <w:ind w:left="0" w:right="0" w:hanging="0"/>
              <w:jc w:val="right"/>
              <w:rPr/>
            </w:pPr>
            <w:r>
              <w:rPr/>
              <w:t>  </w:t>
            </w:r>
          </w:p>
        </w:tc>
        <w:tc>
          <w:tcPr>
            <w:tcW w:w="331" w:type="dxa"/>
            <w:tcBorders/>
            <w:shd w:fill="CCEEFF" w:val="clear"/>
            <w:vAlign w:val="center"/>
          </w:tcPr>
          <w:p>
            <w:pPr>
              <w:pStyle w:val="TableContents"/>
              <w:bidi w:val="0"/>
              <w:spacing w:before="0" w:after="1"/>
              <w:ind w:left="0" w:right="0" w:hanging="0"/>
              <w:jc w:val="left"/>
              <w:rPr/>
            </w:pPr>
            <w:r>
              <w:rPr/>
              <w:t> </w:t>
            </w:r>
          </w:p>
        </w:tc>
        <w:tc>
          <w:tcPr>
            <w:tcW w:w="1986" w:type="dxa"/>
            <w:tcBorders/>
            <w:shd w:fill="CCEEFF" w:val="clear"/>
            <w:vAlign w:val="center"/>
          </w:tcPr>
          <w:p>
            <w:pPr>
              <w:pStyle w:val="TableContents"/>
              <w:bidi w:val="0"/>
              <w:spacing w:before="0" w:after="1"/>
              <w:ind w:left="0" w:right="0" w:hanging="0"/>
              <w:jc w:val="right"/>
              <w:rPr/>
            </w:pPr>
            <w:r>
              <w:rPr/>
              <w:t>  </w:t>
            </w:r>
          </w:p>
        </w:tc>
      </w:tr>
      <w:tr>
        <w:trPr/>
        <w:tc>
          <w:tcPr>
            <w:tcW w:w="320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Mortgages</w:t>
            </w:r>
          </w:p>
        </w:tc>
        <w:tc>
          <w:tcPr>
            <w:tcW w:w="326"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1,498,113</w:t>
            </w:r>
          </w:p>
        </w:tc>
        <w:tc>
          <w:tcPr>
            <w:tcW w:w="326" w:type="dxa"/>
            <w:tcBorders/>
            <w:vAlign w:val="center"/>
          </w:tcPr>
          <w:p>
            <w:pPr>
              <w:pStyle w:val="TableContents"/>
              <w:bidi w:val="0"/>
              <w:spacing w:before="0" w:after="1"/>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2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1,498,113</w:t>
            </w:r>
          </w:p>
        </w:tc>
        <w:tc>
          <w:tcPr>
            <w:tcW w:w="326" w:type="dxa"/>
            <w:tcBorders/>
            <w:vAlign w:val="center"/>
          </w:tcPr>
          <w:p>
            <w:pPr>
              <w:pStyle w:val="TableContents"/>
              <w:bidi w:val="0"/>
              <w:spacing w:before="0" w:after="1"/>
              <w:ind w:left="0" w:right="0" w:hanging="0"/>
              <w:jc w:val="left"/>
              <w:rPr/>
            </w:pPr>
            <w:r>
              <w:rPr/>
              <w:t> </w:t>
            </w:r>
          </w:p>
        </w:tc>
        <w:tc>
          <w:tcPr>
            <w:tcW w:w="107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3.99</w:t>
            </w:r>
          </w:p>
        </w:tc>
        <w:tc>
          <w:tcPr>
            <w:tcW w:w="3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8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April 2027 to November 2069</w:t>
            </w:r>
          </w:p>
        </w:tc>
      </w:tr>
      <w:tr>
        <w:trPr/>
        <w:tc>
          <w:tcPr>
            <w:tcW w:w="3209"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Total secured credit financing</w:t>
            </w:r>
            <w:r>
              <w:rPr>
                <w:rFonts w:ascii="Times New Roman;Times;serif" w:hAnsi="Times New Roman;Times;serif"/>
                <w:sz w:val="12"/>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1,498,113</w:t>
            </w:r>
          </w:p>
        </w:tc>
        <w:tc>
          <w:tcPr>
            <w:tcW w:w="32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 </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1,498,113</w:t>
            </w:r>
          </w:p>
        </w:tc>
        <w:tc>
          <w:tcPr>
            <w:tcW w:w="326" w:type="dxa"/>
            <w:tcBorders/>
            <w:shd w:fill="CCEEFF" w:val="clear"/>
            <w:vAlign w:val="center"/>
          </w:tcPr>
          <w:p>
            <w:pPr>
              <w:pStyle w:val="TableContents"/>
              <w:bidi w:val="0"/>
              <w:spacing w:before="0" w:after="1"/>
              <w:ind w:left="0" w:right="0" w:hanging="0"/>
              <w:jc w:val="left"/>
              <w:rPr/>
            </w:pPr>
            <w:r>
              <w:rPr/>
              <w:t> </w:t>
            </w:r>
          </w:p>
        </w:tc>
        <w:tc>
          <w:tcPr>
            <w:tcW w:w="1074" w:type="dxa"/>
            <w:tcBorders/>
            <w:shd w:fill="CCEEFF" w:val="clear"/>
            <w:vAlign w:val="center"/>
          </w:tcPr>
          <w:p>
            <w:pPr>
              <w:pStyle w:val="TableContents"/>
              <w:bidi w:val="0"/>
              <w:spacing w:before="0" w:after="1"/>
              <w:ind w:left="0" w:right="0" w:hanging="0"/>
              <w:jc w:val="right"/>
              <w:rPr/>
            </w:pPr>
            <w:r>
              <w:rPr/>
              <w:t>  </w:t>
            </w:r>
          </w:p>
        </w:tc>
        <w:tc>
          <w:tcPr>
            <w:tcW w:w="331" w:type="dxa"/>
            <w:tcBorders/>
            <w:shd w:fill="CCEEFF" w:val="clear"/>
            <w:vAlign w:val="center"/>
          </w:tcPr>
          <w:p>
            <w:pPr>
              <w:pStyle w:val="TableContents"/>
              <w:bidi w:val="0"/>
              <w:spacing w:before="0" w:after="1"/>
              <w:ind w:left="0" w:right="0" w:hanging="0"/>
              <w:jc w:val="left"/>
              <w:rPr/>
            </w:pPr>
            <w:r>
              <w:rPr/>
              <w:t> </w:t>
            </w:r>
          </w:p>
        </w:tc>
        <w:tc>
          <w:tcPr>
            <w:tcW w:w="1986" w:type="dxa"/>
            <w:tcBorders/>
            <w:shd w:fill="CCEEFF" w:val="clear"/>
            <w:vAlign w:val="center"/>
          </w:tcPr>
          <w:p>
            <w:pPr>
              <w:pStyle w:val="TableContents"/>
              <w:bidi w:val="0"/>
              <w:spacing w:before="0" w:after="1"/>
              <w:ind w:left="0" w:right="0" w:hanging="0"/>
              <w:jc w:val="right"/>
              <w:rPr/>
            </w:pPr>
            <w:r>
              <w:rPr/>
              <w:t>  </w:t>
            </w:r>
          </w:p>
        </w:tc>
      </w:tr>
      <w:tr>
        <w:trPr/>
        <w:tc>
          <w:tcPr>
            <w:tcW w:w="320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Unsecured financing:</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9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74"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1986" w:type="dxa"/>
            <w:tcBorders/>
            <w:vAlign w:val="center"/>
          </w:tcPr>
          <w:p>
            <w:pPr>
              <w:pStyle w:val="TableContents"/>
              <w:bidi w:val="0"/>
              <w:spacing w:before="0" w:after="1"/>
              <w:ind w:left="0" w:right="0" w:hanging="0"/>
              <w:jc w:val="right"/>
              <w:rPr/>
            </w:pPr>
            <w:r>
              <w:rPr/>
              <w:t>​</w:t>
            </w:r>
          </w:p>
        </w:tc>
      </w:tr>
      <w:tr>
        <w:trPr/>
        <w:tc>
          <w:tcPr>
            <w:tcW w:w="320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2.80% senior notes</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400,000</w:t>
            </w:r>
          </w:p>
        </w:tc>
        <w:tc>
          <w:tcPr>
            <w:tcW w:w="32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400,000</w:t>
            </w:r>
          </w:p>
        </w:tc>
        <w:tc>
          <w:tcPr>
            <w:tcW w:w="326" w:type="dxa"/>
            <w:tcBorders/>
            <w:shd w:fill="CCEEFF" w:val="clear"/>
            <w:vAlign w:val="center"/>
          </w:tcPr>
          <w:p>
            <w:pPr>
              <w:pStyle w:val="TableContents"/>
              <w:bidi w:val="0"/>
              <w:spacing w:before="0" w:after="1"/>
              <w:ind w:left="0" w:right="0" w:hanging="0"/>
              <w:jc w:val="left"/>
              <w:rPr/>
            </w:pPr>
            <w:r>
              <w:rPr/>
              <w:t>​</w:t>
            </w:r>
          </w:p>
        </w:tc>
        <w:tc>
          <w:tcPr>
            <w:tcW w:w="107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2.80</w:t>
            </w:r>
          </w:p>
        </w:tc>
        <w:tc>
          <w:tcPr>
            <w:tcW w:w="3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98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June 2031</w:t>
            </w:r>
          </w:p>
        </w:tc>
      </w:tr>
      <w:tr>
        <w:trPr/>
        <w:tc>
          <w:tcPr>
            <w:tcW w:w="320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2.85% senior notes</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350,000</w:t>
            </w:r>
          </w:p>
        </w:tc>
        <w:tc>
          <w:tcPr>
            <w:tcW w:w="32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350,000</w:t>
            </w:r>
          </w:p>
        </w:tc>
        <w:tc>
          <w:tcPr>
            <w:tcW w:w="326" w:type="dxa"/>
            <w:tcBorders/>
            <w:vAlign w:val="center"/>
          </w:tcPr>
          <w:p>
            <w:pPr>
              <w:pStyle w:val="TableContents"/>
              <w:bidi w:val="0"/>
              <w:spacing w:before="0" w:after="1"/>
              <w:ind w:left="0" w:right="0" w:hanging="0"/>
              <w:jc w:val="left"/>
              <w:rPr/>
            </w:pPr>
            <w:r>
              <w:rPr/>
              <w:t>​</w:t>
            </w:r>
          </w:p>
        </w:tc>
        <w:tc>
          <w:tcPr>
            <w:tcW w:w="107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2.85</w:t>
            </w:r>
          </w:p>
        </w:tc>
        <w:tc>
          <w:tcPr>
            <w:tcW w:w="3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98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January 2032</w:t>
            </w:r>
          </w:p>
        </w:tc>
      </w:tr>
      <w:tr>
        <w:trPr/>
        <w:tc>
          <w:tcPr>
            <w:tcW w:w="320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6.10% senior notes</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300,000</w:t>
            </w:r>
          </w:p>
        </w:tc>
        <w:tc>
          <w:tcPr>
            <w:tcW w:w="32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300,000</w:t>
            </w:r>
          </w:p>
        </w:tc>
        <w:tc>
          <w:tcPr>
            <w:tcW w:w="326" w:type="dxa"/>
            <w:tcBorders/>
            <w:shd w:fill="CCEEFF" w:val="clear"/>
            <w:vAlign w:val="center"/>
          </w:tcPr>
          <w:p>
            <w:pPr>
              <w:pStyle w:val="TableContents"/>
              <w:bidi w:val="0"/>
              <w:spacing w:before="0" w:after="1"/>
              <w:ind w:left="0" w:right="0" w:hanging="0"/>
              <w:jc w:val="left"/>
              <w:rPr/>
            </w:pPr>
            <w:r>
              <w:rPr/>
              <w:t>​</w:t>
            </w:r>
          </w:p>
        </w:tc>
        <w:tc>
          <w:tcPr>
            <w:tcW w:w="107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6.10</w:t>
            </w:r>
          </w:p>
        </w:tc>
        <w:tc>
          <w:tcPr>
            <w:tcW w:w="3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98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April 2034</w:t>
            </w:r>
          </w:p>
        </w:tc>
      </w:tr>
      <w:tr>
        <w:trPr/>
        <w:tc>
          <w:tcPr>
            <w:tcW w:w="320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5.65% senior notes</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400,000</w:t>
            </w:r>
          </w:p>
        </w:tc>
        <w:tc>
          <w:tcPr>
            <w:tcW w:w="32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400,000</w:t>
            </w:r>
          </w:p>
        </w:tc>
        <w:tc>
          <w:tcPr>
            <w:tcW w:w="326" w:type="dxa"/>
            <w:tcBorders/>
            <w:vAlign w:val="center"/>
          </w:tcPr>
          <w:p>
            <w:pPr>
              <w:pStyle w:val="TableContents"/>
              <w:bidi w:val="0"/>
              <w:spacing w:before="0" w:after="1"/>
              <w:ind w:left="0" w:right="0" w:hanging="0"/>
              <w:jc w:val="left"/>
              <w:rPr/>
            </w:pPr>
            <w:r>
              <w:rPr/>
              <w:t>​</w:t>
            </w:r>
          </w:p>
        </w:tc>
        <w:tc>
          <w:tcPr>
            <w:tcW w:w="107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5.65</w:t>
            </w:r>
          </w:p>
        </w:tc>
        <w:tc>
          <w:tcPr>
            <w:tcW w:w="3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98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January 2035</w:t>
            </w:r>
          </w:p>
        </w:tc>
      </w:tr>
      <w:tr>
        <w:trPr/>
        <w:tc>
          <w:tcPr>
            <w:tcW w:w="320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3.98% senior notes</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475,000</w:t>
            </w:r>
          </w:p>
        </w:tc>
        <w:tc>
          <w:tcPr>
            <w:tcW w:w="32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475,000</w:t>
            </w:r>
          </w:p>
        </w:tc>
        <w:tc>
          <w:tcPr>
            <w:tcW w:w="326" w:type="dxa"/>
            <w:tcBorders/>
            <w:shd w:fill="CCEEFF" w:val="clear"/>
            <w:vAlign w:val="center"/>
          </w:tcPr>
          <w:p>
            <w:pPr>
              <w:pStyle w:val="TableContents"/>
              <w:bidi w:val="0"/>
              <w:spacing w:before="0" w:after="1"/>
              <w:ind w:left="0" w:right="0" w:hanging="0"/>
              <w:jc w:val="left"/>
              <w:rPr/>
            </w:pPr>
            <w:r>
              <w:rPr/>
              <w:t>​</w:t>
            </w:r>
          </w:p>
        </w:tc>
        <w:tc>
          <w:tcPr>
            <w:tcW w:w="107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3.98</w:t>
            </w:r>
          </w:p>
        </w:tc>
        <w:tc>
          <w:tcPr>
            <w:tcW w:w="3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98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February 2052</w:t>
            </w:r>
          </w:p>
        </w:tc>
      </w:tr>
      <w:tr>
        <w:trPr/>
        <w:tc>
          <w:tcPr>
            <w:tcW w:w="320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5.15% senior notes</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162,327</w:t>
            </w:r>
          </w:p>
        </w:tc>
        <w:tc>
          <w:tcPr>
            <w:tcW w:w="32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160,204</w:t>
            </w:r>
          </w:p>
        </w:tc>
        <w:tc>
          <w:tcPr>
            <w:tcW w:w="326" w:type="dxa"/>
            <w:tcBorders/>
            <w:vAlign w:val="center"/>
          </w:tcPr>
          <w:p>
            <w:pPr>
              <w:pStyle w:val="TableContents"/>
              <w:bidi w:val="0"/>
              <w:spacing w:before="0" w:after="1"/>
              <w:ind w:left="0" w:right="0" w:hanging="0"/>
              <w:jc w:val="left"/>
              <w:rPr/>
            </w:pPr>
            <w:r>
              <w:rPr/>
              <w:t>​</w:t>
            </w:r>
          </w:p>
        </w:tc>
        <w:tc>
          <w:tcPr>
            <w:tcW w:w="107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5.15</w:t>
            </w:r>
          </w:p>
        </w:tc>
        <w:tc>
          <w:tcPr>
            <w:tcW w:w="3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98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May 2052</w:t>
            </w:r>
          </w:p>
        </w:tc>
      </w:tr>
      <w:tr>
        <w:trPr/>
        <w:tc>
          <w:tcPr>
            <w:tcW w:w="320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2024 Unsecured Revolver</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812,000</w:t>
            </w:r>
          </w:p>
        </w:tc>
        <w:tc>
          <w:tcPr>
            <w:tcW w:w="32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689,000</w:t>
            </w:r>
          </w:p>
        </w:tc>
        <w:tc>
          <w:tcPr>
            <w:tcW w:w="326" w:type="dxa"/>
            <w:tcBorders/>
            <w:shd w:fill="CCEEFF" w:val="clear"/>
            <w:vAlign w:val="center"/>
          </w:tcPr>
          <w:p>
            <w:pPr>
              <w:pStyle w:val="TableContents"/>
              <w:bidi w:val="0"/>
              <w:spacing w:before="0" w:after="1"/>
              <w:ind w:left="0" w:right="0" w:hanging="0"/>
              <w:jc w:val="left"/>
              <w:rPr/>
            </w:pPr>
            <w:r>
              <w:rPr/>
              <w:t>​</w:t>
            </w:r>
          </w:p>
        </w:tc>
        <w:tc>
          <w:tcPr>
            <w:tcW w:w="107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xml:space="preserve">Adjusted SOFR </w:t>
              <w:br/>
              <w:t>plus 0.85</w:t>
            </w:r>
          </w:p>
        </w:tc>
        <w:tc>
          <w:tcPr>
            <w:tcW w:w="3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98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May 2029</w:t>
            </w:r>
          </w:p>
        </w:tc>
      </w:tr>
      <w:tr>
        <w:trPr/>
        <w:tc>
          <w:tcPr>
            <w:tcW w:w="320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Trust preferred securities</w:t>
            </w:r>
          </w:p>
        </w:tc>
        <w:tc>
          <w:tcPr>
            <w:tcW w:w="326"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100,000</w:t>
            </w:r>
          </w:p>
        </w:tc>
        <w:tc>
          <w:tcPr>
            <w:tcW w:w="326" w:type="dxa"/>
            <w:tcBorders/>
            <w:vAlign w:val="center"/>
          </w:tcPr>
          <w:p>
            <w:pPr>
              <w:pStyle w:val="TableContents"/>
              <w:bidi w:val="0"/>
              <w:spacing w:before="0" w:after="1"/>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100,000</w:t>
            </w:r>
          </w:p>
        </w:tc>
        <w:tc>
          <w:tcPr>
            <w:tcW w:w="326" w:type="dxa"/>
            <w:tcBorders/>
            <w:vAlign w:val="center"/>
          </w:tcPr>
          <w:p>
            <w:pPr>
              <w:pStyle w:val="TableContents"/>
              <w:bidi w:val="0"/>
              <w:spacing w:before="0" w:after="1"/>
              <w:ind w:left="0" w:right="0" w:hanging="0"/>
              <w:jc w:val="left"/>
              <w:rPr/>
            </w:pPr>
            <w:r>
              <w:rPr/>
              <w:t>​</w:t>
            </w:r>
          </w:p>
        </w:tc>
        <w:tc>
          <w:tcPr>
            <w:tcW w:w="107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xml:space="preserve">Adjusted SOFR </w:t>
              <w:br/>
              <w:t>plus 1.50</w:t>
            </w:r>
          </w:p>
        </w:tc>
        <w:tc>
          <w:tcPr>
            <w:tcW w:w="3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98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October 2035</w:t>
            </w:r>
          </w:p>
        </w:tc>
      </w:tr>
      <w:tr>
        <w:trPr/>
        <w:tc>
          <w:tcPr>
            <w:tcW w:w="320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unsecured financing</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2,999,327</w:t>
            </w:r>
          </w:p>
        </w:tc>
        <w:tc>
          <w:tcPr>
            <w:tcW w:w="326" w:type="dxa"/>
            <w:tcBorders/>
            <w:shd w:fill="CCEEFF" w:val="clear"/>
            <w:vAlign w:val="center"/>
          </w:tcPr>
          <w:p>
            <w:pPr>
              <w:pStyle w:val="TableContents"/>
              <w:bidi w:val="0"/>
              <w:spacing w:before="0" w:after="1"/>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2,874,204</w:t>
            </w:r>
          </w:p>
        </w:tc>
        <w:tc>
          <w:tcPr>
            <w:tcW w:w="326" w:type="dxa"/>
            <w:tcBorders/>
            <w:shd w:fill="CCEEFF" w:val="clear"/>
            <w:vAlign w:val="center"/>
          </w:tcPr>
          <w:p>
            <w:pPr>
              <w:pStyle w:val="TableContents"/>
              <w:bidi w:val="0"/>
              <w:spacing w:before="0" w:after="1"/>
              <w:ind w:left="0" w:right="0" w:hanging="0"/>
              <w:jc w:val="left"/>
              <w:rPr/>
            </w:pPr>
            <w:r>
              <w:rPr/>
              <w:t>​</w:t>
            </w:r>
          </w:p>
        </w:tc>
        <w:tc>
          <w:tcPr>
            <w:tcW w:w="1074" w:type="dxa"/>
            <w:tcBorders/>
            <w:shd w:fill="CCEEFF" w:val="clear"/>
            <w:vAlign w:val="center"/>
          </w:tcPr>
          <w:p>
            <w:pPr>
              <w:pStyle w:val="TableContents"/>
              <w:bidi w:val="0"/>
              <w:spacing w:before="0" w:after="1"/>
              <w:ind w:left="0" w:right="0" w:hanging="0"/>
              <w:jc w:val="center"/>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1986" w:type="dxa"/>
            <w:tcBorders/>
            <w:shd w:fill="CCEEFF" w:val="clear"/>
            <w:vAlign w:val="center"/>
          </w:tcPr>
          <w:p>
            <w:pPr>
              <w:pStyle w:val="TableContents"/>
              <w:bidi w:val="0"/>
              <w:spacing w:before="0" w:after="1"/>
              <w:ind w:left="0" w:right="0" w:hanging="0"/>
              <w:jc w:val="center"/>
              <w:rPr/>
            </w:pPr>
            <w:r>
              <w:rPr/>
              <w:t>​</w:t>
            </w:r>
          </w:p>
        </w:tc>
      </w:tr>
      <w:tr>
        <w:trPr/>
        <w:tc>
          <w:tcPr>
            <w:tcW w:w="3209"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debt obligations</w:t>
            </w:r>
          </w:p>
        </w:tc>
        <w:tc>
          <w:tcPr>
            <w:tcW w:w="326"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4,497,440</w:t>
            </w:r>
          </w:p>
        </w:tc>
        <w:tc>
          <w:tcPr>
            <w:tcW w:w="326" w:type="dxa"/>
            <w:tcBorders/>
            <w:vAlign w:val="center"/>
          </w:tcPr>
          <w:p>
            <w:pPr>
              <w:pStyle w:val="TableContents"/>
              <w:bidi w:val="0"/>
              <w:spacing w:before="0" w:after="1"/>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4,372,317</w:t>
            </w:r>
          </w:p>
        </w:tc>
        <w:tc>
          <w:tcPr>
            <w:tcW w:w="326" w:type="dxa"/>
            <w:tcBorders/>
            <w:vAlign w:val="center"/>
          </w:tcPr>
          <w:p>
            <w:pPr>
              <w:pStyle w:val="TableContents"/>
              <w:bidi w:val="0"/>
              <w:spacing w:before="0" w:after="1"/>
              <w:ind w:left="0" w:right="0" w:hanging="0"/>
              <w:jc w:val="left"/>
              <w:rPr/>
            </w:pPr>
            <w:r>
              <w:rPr/>
              <w:t> </w:t>
            </w:r>
          </w:p>
        </w:tc>
        <w:tc>
          <w:tcPr>
            <w:tcW w:w="1074" w:type="dxa"/>
            <w:tcBorders/>
            <w:vAlign w:val="center"/>
          </w:tcPr>
          <w:p>
            <w:pPr>
              <w:pStyle w:val="TableContents"/>
              <w:bidi w:val="0"/>
              <w:spacing w:before="0" w:after="1"/>
              <w:ind w:left="0" w:right="0" w:hanging="0"/>
              <w:jc w:val="right"/>
              <w:rPr/>
            </w:pPr>
            <w:r>
              <w:rPr/>
              <w:t>  </w:t>
            </w:r>
          </w:p>
        </w:tc>
        <w:tc>
          <w:tcPr>
            <w:tcW w:w="331" w:type="dxa"/>
            <w:tcBorders/>
            <w:vAlign w:val="center"/>
          </w:tcPr>
          <w:p>
            <w:pPr>
              <w:pStyle w:val="TableContents"/>
              <w:bidi w:val="0"/>
              <w:spacing w:before="0" w:after="1"/>
              <w:ind w:left="0" w:right="0" w:hanging="0"/>
              <w:jc w:val="left"/>
              <w:rPr/>
            </w:pPr>
            <w:r>
              <w:rPr/>
              <w:t> </w:t>
            </w:r>
          </w:p>
        </w:tc>
        <w:tc>
          <w:tcPr>
            <w:tcW w:w="1986" w:type="dxa"/>
            <w:tcBorders/>
            <w:vAlign w:val="center"/>
          </w:tcPr>
          <w:p>
            <w:pPr>
              <w:pStyle w:val="TableContents"/>
              <w:bidi w:val="0"/>
              <w:spacing w:before="0" w:after="1"/>
              <w:ind w:left="0" w:right="0" w:hanging="0"/>
              <w:jc w:val="right"/>
              <w:rPr/>
            </w:pPr>
            <w:r>
              <w:rPr/>
              <w:t>  </w:t>
            </w:r>
          </w:p>
        </w:tc>
      </w:tr>
      <w:tr>
        <w:trPr/>
        <w:tc>
          <w:tcPr>
            <w:tcW w:w="320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Debt premium, discount and deferred financing costs, net</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(53,028)</w:t>
            </w:r>
          </w:p>
        </w:tc>
        <w:tc>
          <w:tcPr>
            <w:tcW w:w="326" w:type="dxa"/>
            <w:tcBorders/>
            <w:shd w:fill="CCEEFF" w:val="clear"/>
            <w:vAlign w:val="center"/>
          </w:tcPr>
          <w:p>
            <w:pPr>
              <w:pStyle w:val="TableContents"/>
              <w:bidi w:val="0"/>
              <w:spacing w:before="0" w:after="1"/>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(54,878)</w:t>
            </w:r>
          </w:p>
        </w:tc>
        <w:tc>
          <w:tcPr>
            <w:tcW w:w="326" w:type="dxa"/>
            <w:tcBorders/>
            <w:shd w:fill="CCEEFF" w:val="clear"/>
            <w:vAlign w:val="center"/>
          </w:tcPr>
          <w:p>
            <w:pPr>
              <w:pStyle w:val="TableContents"/>
              <w:bidi w:val="0"/>
              <w:spacing w:before="0" w:after="1"/>
              <w:ind w:left="0" w:right="0" w:hanging="0"/>
              <w:jc w:val="left"/>
              <w:rPr/>
            </w:pPr>
            <w:r>
              <w:rPr/>
              <w:t> </w:t>
            </w:r>
          </w:p>
        </w:tc>
        <w:tc>
          <w:tcPr>
            <w:tcW w:w="1074" w:type="dxa"/>
            <w:tcBorders/>
            <w:shd w:fill="CCEEFF" w:val="clear"/>
            <w:vAlign w:val="center"/>
          </w:tcPr>
          <w:p>
            <w:pPr>
              <w:pStyle w:val="TableContents"/>
              <w:bidi w:val="0"/>
              <w:spacing w:before="0" w:after="1"/>
              <w:ind w:left="0" w:right="0" w:hanging="0"/>
              <w:jc w:val="right"/>
              <w:rPr/>
            </w:pPr>
            <w:r>
              <w:rPr/>
              <w:t>  </w:t>
            </w:r>
          </w:p>
        </w:tc>
        <w:tc>
          <w:tcPr>
            <w:tcW w:w="331" w:type="dxa"/>
            <w:tcBorders/>
            <w:shd w:fill="CCEEFF" w:val="clear"/>
            <w:vAlign w:val="center"/>
          </w:tcPr>
          <w:p>
            <w:pPr>
              <w:pStyle w:val="TableContents"/>
              <w:bidi w:val="0"/>
              <w:spacing w:before="0" w:after="1"/>
              <w:ind w:left="0" w:right="0" w:hanging="0"/>
              <w:jc w:val="left"/>
              <w:rPr/>
            </w:pPr>
            <w:r>
              <w:rPr/>
              <w:t> </w:t>
            </w:r>
          </w:p>
        </w:tc>
        <w:tc>
          <w:tcPr>
            <w:tcW w:w="1986" w:type="dxa"/>
            <w:tcBorders/>
            <w:shd w:fill="CCEEFF" w:val="clear"/>
            <w:vAlign w:val="center"/>
          </w:tcPr>
          <w:p>
            <w:pPr>
              <w:pStyle w:val="TableContents"/>
              <w:bidi w:val="0"/>
              <w:spacing w:before="0" w:after="1"/>
              <w:ind w:left="0" w:right="0" w:hanging="0"/>
              <w:jc w:val="right"/>
              <w:rPr/>
            </w:pPr>
            <w:r>
              <w:rPr/>
              <w:t>  </w:t>
            </w:r>
          </w:p>
        </w:tc>
      </w:tr>
      <w:tr>
        <w:trPr/>
        <w:tc>
          <w:tcPr>
            <w:tcW w:w="3209"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debt obligations, net</w:t>
            </w:r>
          </w:p>
        </w:tc>
        <w:tc>
          <w:tcPr>
            <w:tcW w:w="326" w:type="dxa"/>
            <w:tcBorders/>
            <w:vAlign w:val="center"/>
          </w:tcPr>
          <w:p>
            <w:pPr>
              <w:pStyle w:val="TableContents"/>
              <w:bidi w:val="0"/>
              <w:spacing w:before="0" w:after="1"/>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4,444,412</w:t>
            </w:r>
          </w:p>
        </w:tc>
        <w:tc>
          <w:tcPr>
            <w:tcW w:w="326" w:type="dxa"/>
            <w:tcBorders/>
            <w:vAlign w:val="center"/>
          </w:tcPr>
          <w:p>
            <w:pPr>
              <w:pStyle w:val="TableContents"/>
              <w:bidi w:val="0"/>
              <w:spacing w:before="0" w:after="1"/>
              <w:ind w:left="0" w:right="0" w:hanging="0"/>
              <w:jc w:val="left"/>
              <w:rPr/>
            </w:pPr>
            <w:r>
              <w:rPr/>
              <w:t>​</w:t>
            </w:r>
          </w:p>
        </w:tc>
        <w:tc>
          <w:tcPr>
            <w:tcW w:w="28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21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4,317,439</w:t>
            </w:r>
          </w:p>
        </w:tc>
        <w:tc>
          <w:tcPr>
            <w:tcW w:w="326" w:type="dxa"/>
            <w:tcBorders/>
            <w:vAlign w:val="center"/>
          </w:tcPr>
          <w:p>
            <w:pPr>
              <w:pStyle w:val="TableContents"/>
              <w:bidi w:val="0"/>
              <w:spacing w:before="0" w:after="1"/>
              <w:ind w:left="0" w:right="0" w:hanging="0"/>
              <w:jc w:val="left"/>
              <w:rPr/>
            </w:pPr>
            <w:r>
              <w:rPr/>
              <w:t> </w:t>
            </w:r>
          </w:p>
        </w:tc>
        <w:tc>
          <w:tcPr>
            <w:tcW w:w="1074" w:type="dxa"/>
            <w:tcBorders/>
            <w:vAlign w:val="center"/>
          </w:tcPr>
          <w:p>
            <w:pPr>
              <w:pStyle w:val="TableContents"/>
              <w:bidi w:val="0"/>
              <w:spacing w:before="0" w:after="1"/>
              <w:ind w:left="0" w:right="0" w:hanging="0"/>
              <w:jc w:val="right"/>
              <w:rPr/>
            </w:pPr>
            <w:r>
              <w:rPr/>
              <w:t>  </w:t>
            </w:r>
          </w:p>
        </w:tc>
        <w:tc>
          <w:tcPr>
            <w:tcW w:w="331" w:type="dxa"/>
            <w:tcBorders/>
            <w:vAlign w:val="center"/>
          </w:tcPr>
          <w:p>
            <w:pPr>
              <w:pStyle w:val="TableContents"/>
              <w:bidi w:val="0"/>
              <w:spacing w:before="0" w:after="1"/>
              <w:ind w:left="0" w:right="0" w:hanging="0"/>
              <w:jc w:val="left"/>
              <w:rPr/>
            </w:pPr>
            <w:r>
              <w:rPr/>
              <w:t> </w:t>
            </w:r>
          </w:p>
        </w:tc>
        <w:tc>
          <w:tcPr>
            <w:tcW w:w="1986" w:type="dxa"/>
            <w:tcBorders/>
            <w:vAlign w:val="center"/>
          </w:tcPr>
          <w:p>
            <w:pPr>
              <w:pStyle w:val="TableContents"/>
              <w:bidi w:val="0"/>
              <w:spacing w:before="0" w:after="1"/>
              <w:ind w:left="0" w:right="0" w:hanging="0"/>
              <w:jc w:val="right"/>
              <w:rPr/>
            </w:pPr>
            <w:r>
              <w:rPr/>
              <w:t>  </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For mortgages, represents the weighted average stated interest rate over the term of the debt from funding through maturity based on the contractual payments owed excluding the effect of debt premium, discount and deferred financing costs. As of June 30, 2025, the weighted average cash interest rate for the Company’s consolidated mortgage debt, based on interest rates in effect at that date, was 3.43%. The difference between the weighted average interest rate and the weighted average cash interest rate is recorded to interest payable within “Accounts payable, accrued expenses, and other liabilities” on the Company’s consolidated balance sheets. As of June 30, 2025, the Company’s combined weighted average stated interest rate and combined weighted average cash interest rate of the Company’s consolidated mortgage debt, the mortgage debt of the Company’s unconsolidated ventures (applying the Company’s percentage interest in the ventures - refer to Note 8), unsecured senior notes and trust preferred securities were 4.20%</w:t>
            </w:r>
            <w:r>
              <w:rPr>
                <w:caps w:val="false"/>
                <w:smallCaps w:val="false"/>
              </w:rPr>
              <w:t xml:space="preserve"> </w:t>
            </w:r>
            <w:r>
              <w:rPr>
                <w:rFonts w:ascii="Times New Roman;Times;serif" w:hAnsi="Times New Roman;Times;serif"/>
                <w:b w:val="false"/>
                <w:i w:val="false"/>
                <w:caps w:val="false"/>
                <w:smallCaps w:val="false"/>
                <w:sz w:val="16"/>
              </w:rPr>
              <w:t xml:space="preserve">and 3.83%, respectively. </w:t>
            </w:r>
          </w:p>
        </w:tc>
      </w:tr>
    </w:tbl>
    <w:tbl>
      <w:tblPr>
        <w:tblW w:w="4772" w:type="dxa"/>
        <w:jc w:val="left"/>
        <w:tblInd w:w="0" w:type="dxa"/>
        <w:tblLayout w:type="fixed"/>
        <w:tblCellMar>
          <w:top w:w="0" w:type="dxa"/>
          <w:left w:w="0" w:type="dxa"/>
          <w:bottom w:w="0" w:type="dxa"/>
          <w:right w:w="0" w:type="dxa"/>
        </w:tblCellMar>
      </w:tblPr>
      <w:tblGrid>
        <w:gridCol w:w="331"/>
        <w:gridCol w:w="444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44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Represents the extended maturity date for all debt obligations.</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88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June 30, 2025, $2.1</w:t>
            </w:r>
            <w:r>
              <w:rPr>
                <w:caps w:val="false"/>
                <w:smallCaps w:val="false"/>
              </w:rPr>
              <w:t> </w:t>
            </w:r>
            <w:r>
              <w:rPr>
                <w:rFonts w:ascii="Times New Roman;Times;serif" w:hAnsi="Times New Roman;Times;serif"/>
                <w:b w:val="false"/>
                <w:i w:val="false"/>
                <w:caps w:val="false"/>
                <w:smallCaps w:val="false"/>
                <w:sz w:val="16"/>
              </w:rPr>
              <w:t>billion of real estate, at cost, net investment in sales-type leases and Ground Lease receivables served as collateral for the Company’s debt obligations.</w:t>
            </w:r>
          </w:p>
        </w:tc>
      </w:tr>
    </w:tbl>
    <w:p>
      <w:pPr>
        <w:pStyle w:val="TextBody"/>
        <w:bidi w:val="0"/>
        <w:spacing w:before="0" w:after="0"/>
        <w:ind w:left="36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Mortgages</w:t>
      </w:r>
      <w:r>
        <w:rPr>
          <w:rFonts w:ascii="Times New Roman;Times;serif" w:hAnsi="Times New Roman;Times;serif"/>
          <w:sz w:val="20"/>
        </w:rPr>
        <w:t>—Mortgages consist of asset specific non-recourse borrowings that are secured by the Company’s real estate and Ground Leases. As of June 30, 2025, the Company’s mortgages are full term interest only, bear interest at a weighted average interest rate of 3.99% and have maturities between April 2027 and November 2069.</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Unsecured Notes</w:t>
      </w:r>
      <w:r>
        <w:rPr>
          <w:rFonts w:ascii="Times New Roman;Times;serif" w:hAnsi="Times New Roman;Times;serif"/>
          <w:sz w:val="20"/>
        </w:rPr>
        <w:t>—In May 2021, Portfolio Holdings, then known as Safehold Operating Partnership LP, (as issuer) and the Company (as guarantor), issued $400.0 million aggregate principal amount of 2.80% senior notes due June 2031 (the “2.80% Notes”). The 2.80% Notes were issued at 99.127% of par. The Company may redeem the 2.80% Notes in whole at any time or in part from time to time prior to March 15, 2031, at the Company’s option and sole discretion, at a redemption price equal to the greater of: (i) 100% of the principal amount of the 2.80% Notes being redeemed; and (ii) a make-whole premium calculated in accordance with the indenture, plus, in each case, accrued and unpaid interest thereon to, but not including, the applicable redemption date. If the 2.80% Notes are redeemed on or after March 15, 2031, the redemption price will be equal to 100% of the principal amount of the 2.80% Notes being redeemed, plus accrued and unpaid interest thereon to, but not including, the applicable redemption date.</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November 2021, Portfolio Holdings, then known as Safehold Operating Partnership LP, (as issuer) and the Company (as guarantor), issued $350.0 million aggregate principal amount of 2.85% senior notes due January 2032 (the “2.85% Notes”). The 2.85% Notes were issued at 99.123% of par. The Company may redeem the 2.85% Notes in whole at any time or in part from time to time prior to October 15, 2031, at the Company’s option and sole discretion, at a redemption price equal to the greater of: (i) 100% of the principal amount of the 2.85% Notes being redeemed; and (ii) a make-whole premium calculated in accordance with the indenture, plus, in each case, accrued and unpaid interest thereon to, but not including, the applicable redemption date. If the 2.85% Notes are redeemed on or after October 15, 2031, the redemption price will be equal to 100% of the principal amount of the 2.85% Notes being redeemed, plus accrued and unpaid interest thereon to, but not including, the applicable redemption date.</w:t>
      </w:r>
    </w:p>
    <w:p>
      <w:pPr>
        <w:pStyle w:val="TextBody"/>
        <w:bidi w:val="0"/>
        <w:spacing w:before="0" w:after="0"/>
        <w:ind w:left="0" w:right="0" w:firstLine="81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January 2022, Portfolio Holdings, then known as Safehold Operating Partnership LP, (as issuer) and the Company (as guarantor), issued $475.0 million aggregate principal amount of privately-placed 3.98% senior notes due February 2052 (the “3.98% Notes”). </w:t>
      </w:r>
      <w:r>
        <w:rPr>
          <w:rFonts w:ascii="Times New Roman;Times;serif" w:hAnsi="Times New Roman;Times;serif"/>
          <w:sz w:val="20"/>
          <w:shd w:fill="FFFFFF" w:val="clear"/>
        </w:rPr>
        <w:t>Safehold Operating Partnership LP elected to draw these funds in March 2022.</w:t>
      </w:r>
      <w:r>
        <w:rPr>
          <w:rFonts w:ascii="Times New Roman;Times;serif" w:hAnsi="Times New Roman;Times;serif"/>
          <w:sz w:val="20"/>
        </w:rPr>
        <w:t xml:space="preserve"> The Company may, at its option, prepay at any time all, or from time to time any part of, the 3.98% Notes, in an amount not less than 5% of the aggregate principal amount of the 3.98% Notes then outstanding in the case of a partial prepayment, at 100% of the principal amount so prepaid, and the applicable make-whole amount calculated in accordance with the indenture, for such tranche determined for the prepayment date with respect to such principal amount; provided, that, so long as no default or event of default shall then exist, at any time on or after November 15, 2051, the Company may, at its option, prepay all or any part of the 3.98% Notes at 100% of the principal amount so prepaid, together with, in each case, accrued interest to the prepayment date, without any make-whole amount.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May 2022, Portfolio Holdings, then known as Safehold Operating Partnership LP, (as issuer) and the Company (as guarantor), issued $150.0 million aggregate principal amount of privately-placed 5.15% senior notes due May 2052 (the “5.15% Notes”). The structure of the 5.15% Notes features a stairstep coupon rate in which the Company will pay cash interest at a rate of 2.50% in years 1 through 10, 3.75% in years 11 through 20, and 5.15% in years 21 through 30. The difference between the 5.15% stated rate and the cash interest rate will accrue in each semi-annual payment period and be paid in kind by adding such accrued interest to the outstanding principal balance, to be repaid at maturity in May 2052. The Company may, at its option, prepay at any time all, or from time to time any part of, the 5.15% Notes, in an amount not less than 5% of the aggregate principal amount of the 5.15% Notes then outstanding in the case of a partial prepayment, at 100% of the principal amount so prepaid, and the applicable make-whole amount calculated in accordance with the indenture; provided, that, so long as no default or event of default shall then exist, at any time on or after February 13, 2052, the Company may, at its option, prepay all or any part of the 5.15% Notes at 100% of the principal amount so prepaid, together with, in each case, accrued interest to the prepayment date, without any make-whole amount. </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February 2024, Portfolio Holdings (as issuer) and the Company (as guarantor) issued $300.0 million aggregate principal amount of 6.10% senior notes due April 2034 (the “6.10% Notes”). The 6.10% Notes were issued at 98.957% of the principal amount. The Company may redeem the 6.10% Notes in whole at any time or in part from time to time prior to January 1, 2034, at the Company’s option and sole discretion, at a redemption price equal to the greater of: (i) 100% of the principal amount of the 6.10% Notes being redeemed; and (ii) a make-whole premium calculated in accordance with the indenture, plus, in each case, accrued and unpaid interest thereon to, but not including, the applicable redemption date. If the 6.10% Notes are redeemed on or after January 1, 2034, the redemption price will be equal to 100% of the principal amount of the 6.10% Notes being redeemed, plus accrued and unpaid interest thereon to, but not including, the applicable redemption date.</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In November 2024, Portfolio Holdings (as issuer) and the Company (as guarantor) issued $</w:t>
      </w:r>
      <w:r>
        <w:rPr>
          <w:rFonts w:ascii="Times New Roman;Times;serif" w:hAnsi="Times New Roman;Times;serif"/>
          <w:sz w:val="20"/>
        </w:rPr>
        <w:t>400.0</w:t>
      </w:r>
      <w:r>
        <w:rPr>
          <w:rFonts w:ascii="Times New Roman;Times;serif" w:hAnsi="Times New Roman;Times;serif"/>
          <w:sz w:val="20"/>
          <w:shd w:fill="FFFFFF" w:val="clear"/>
        </w:rPr>
        <w:t> million aggregate principal amount of </w:t>
      </w:r>
      <w:r>
        <w:rPr>
          <w:rFonts w:ascii="Times New Roman;Times;serif" w:hAnsi="Times New Roman;Times;serif"/>
          <w:sz w:val="20"/>
        </w:rPr>
        <w:t>5.65%</w:t>
      </w:r>
      <w:r>
        <w:rPr>
          <w:rFonts w:ascii="Times New Roman;Times;serif" w:hAnsi="Times New Roman;Times;serif"/>
          <w:sz w:val="20"/>
          <w:shd w:fill="FFFFFF" w:val="clear"/>
        </w:rPr>
        <w:t xml:space="preserve"> senior notes due January 2035 (the “</w:t>
      </w:r>
      <w:r>
        <w:rPr>
          <w:rFonts w:ascii="Times New Roman;Times;serif" w:hAnsi="Times New Roman;Times;serif"/>
          <w:sz w:val="20"/>
        </w:rPr>
        <w:t>5.65%</w:t>
      </w:r>
      <w:r>
        <w:rPr>
          <w:rFonts w:ascii="Times New Roman;Times;serif" w:hAnsi="Times New Roman;Times;serif"/>
          <w:sz w:val="20"/>
          <w:shd w:fill="FFFFFF" w:val="clear"/>
        </w:rPr>
        <w:t xml:space="preserve"> Notes”). The </w:t>
      </w:r>
      <w:r>
        <w:rPr>
          <w:rFonts w:ascii="Times New Roman;Times;serif" w:hAnsi="Times New Roman;Times;serif"/>
          <w:sz w:val="20"/>
        </w:rPr>
        <w:t>5.65%</w:t>
      </w:r>
      <w:r>
        <w:rPr>
          <w:rFonts w:ascii="Times New Roman;Times;serif" w:hAnsi="Times New Roman;Times;serif"/>
          <w:sz w:val="20"/>
          <w:shd w:fill="FFFFFF" w:val="clear"/>
        </w:rPr>
        <w:t xml:space="preserve"> Notes were issued at </w:t>
      </w:r>
      <w:r>
        <w:rPr>
          <w:rFonts w:ascii="Times New Roman;Times;serif" w:hAnsi="Times New Roman;Times;serif"/>
          <w:sz w:val="20"/>
        </w:rPr>
        <w:t>98.812%</w:t>
      </w:r>
      <w:r>
        <w:rPr>
          <w:rFonts w:ascii="Times New Roman;Times;serif" w:hAnsi="Times New Roman;Times;serif"/>
          <w:sz w:val="20"/>
          <w:shd w:fill="FFFFFF" w:val="clear"/>
        </w:rPr>
        <w:t xml:space="preserve"> of the principal amount. The Company may redeem the </w:t>
      </w:r>
      <w:r>
        <w:rPr>
          <w:rFonts w:ascii="Times New Roman;Times;serif" w:hAnsi="Times New Roman;Times;serif"/>
          <w:sz w:val="20"/>
        </w:rPr>
        <w:t>5.65%</w:t>
      </w:r>
      <w:r>
        <w:rPr>
          <w:rFonts w:ascii="Times New Roman;Times;serif" w:hAnsi="Times New Roman;Times;serif"/>
          <w:sz w:val="20"/>
          <w:shd w:fill="FFFFFF" w:val="clear"/>
        </w:rPr>
        <w:t xml:space="preserve"> Notes in whole at any time or in part from time to time prior to October 15, 2034, at the Company’s option and sole discretion, at a redemption price equal to the greater of: (i) </w:t>
      </w:r>
      <w:r>
        <w:rPr>
          <w:rFonts w:ascii="Times New Roman;Times;serif" w:hAnsi="Times New Roman;Times;serif"/>
          <w:sz w:val="20"/>
        </w:rPr>
        <w:t>100%</w:t>
      </w:r>
      <w:r>
        <w:rPr>
          <w:rFonts w:ascii="Times New Roman;Times;serif" w:hAnsi="Times New Roman;Times;serif"/>
          <w:sz w:val="20"/>
          <w:shd w:fill="FFFFFF" w:val="clear"/>
        </w:rPr>
        <w:t xml:space="preserve"> of the principal amount of the </w:t>
      </w:r>
      <w:r>
        <w:rPr>
          <w:rFonts w:ascii="Times New Roman;Times;serif" w:hAnsi="Times New Roman;Times;serif"/>
          <w:sz w:val="20"/>
        </w:rPr>
        <w:t>5.65%</w:t>
      </w:r>
      <w:r>
        <w:rPr>
          <w:rFonts w:ascii="Times New Roman;Times;serif" w:hAnsi="Times New Roman;Times;serif"/>
          <w:sz w:val="20"/>
          <w:shd w:fill="FFFFFF" w:val="clear"/>
        </w:rPr>
        <w:t xml:space="preserve"> Notes being redeemed; and (ii) a make-whole premium calculated in accordance with the indenture, plus, in each case, accrued and unpaid interest thereon to, but not including, the applicable redemption date. If the </w:t>
      </w:r>
      <w:r>
        <w:rPr>
          <w:rFonts w:ascii="Times New Roman;Times;serif" w:hAnsi="Times New Roman;Times;serif"/>
          <w:sz w:val="20"/>
        </w:rPr>
        <w:t>5.65%</w:t>
      </w:r>
      <w:r>
        <w:rPr>
          <w:rFonts w:ascii="Times New Roman;Times;serif" w:hAnsi="Times New Roman;Times;serif"/>
          <w:sz w:val="20"/>
          <w:shd w:fill="FFFFFF" w:val="clear"/>
        </w:rPr>
        <w:t xml:space="preserve"> Notes are redeemed on or after October 15, 2034, the redemption price will be equal to </w:t>
      </w:r>
      <w:r>
        <w:rPr>
          <w:rFonts w:ascii="Times New Roman;Times;serif" w:hAnsi="Times New Roman;Times;serif"/>
          <w:sz w:val="20"/>
        </w:rPr>
        <w:t>100%</w:t>
      </w:r>
      <w:r>
        <w:rPr>
          <w:rFonts w:ascii="Times New Roman;Times;serif" w:hAnsi="Times New Roman;Times;serif"/>
          <w:sz w:val="20"/>
          <w:shd w:fill="FFFFFF" w:val="clear"/>
        </w:rPr>
        <w:t xml:space="preserve"> of the principal amount of the </w:t>
      </w:r>
      <w:r>
        <w:rPr>
          <w:rFonts w:ascii="Times New Roman;Times;serif" w:hAnsi="Times New Roman;Times;serif"/>
          <w:sz w:val="20"/>
        </w:rPr>
        <w:t>5.65%</w:t>
      </w:r>
      <w:r>
        <w:rPr>
          <w:rFonts w:ascii="Times New Roman;Times;serif" w:hAnsi="Times New Roman;Times;serif"/>
          <w:sz w:val="20"/>
          <w:shd w:fill="FFFFFF" w:val="clear"/>
        </w:rPr>
        <w:t xml:space="preserve"> Notes being redeemed, plus accrued and unpaid interest thereon to, but not including, the applicable redemption date.</w:t>
      </w:r>
    </w:p>
    <w:p>
      <w:pPr>
        <w:pStyle w:val="TextBody"/>
        <w:bidi w:val="0"/>
        <w:spacing w:before="0" w:after="0"/>
        <w:ind w:left="0" w:right="0" w:firstLine="72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2024 Unsecured Revolver</w:t>
      </w:r>
      <w:r>
        <w:rPr>
          <w:rFonts w:ascii="Times New Roman;Times;serif" w:hAnsi="Times New Roman;Times;serif"/>
          <w:sz w:val="20"/>
        </w:rPr>
        <w:t xml:space="preserve">—In April 2024, the Company entered into a $2.0 billion unsecured revolving credit facility (the “2024 Unsecured Revolver”), which replaced the Company’s 2021 Unsecured Revolver (see below) and 2023 Unsecured Revolver (see below), each of which were terminated. At the time of termination, $916 million was drawn on the 2021 Unsecured Revolver, all of which rolled over into the 2024 Unsecured Revolver. The 2024 Unsecured Revolver has a borrowing rate of Adjusted </w:t>
      </w:r>
      <w:r>
        <w:rPr>
          <w:rFonts w:ascii="Times New Roman;Times;serif" w:hAnsi="Times New Roman;Times;serif"/>
          <w:b w:val="false"/>
          <w:i w:val="false"/>
          <w:caps w:val="false"/>
          <w:smallCaps w:val="false"/>
          <w:sz w:val="20"/>
          <w:shd w:fill="FFFFFF" w:val="clear"/>
        </w:rPr>
        <w:t>SOFR</w:t>
      </w:r>
      <w:r>
        <w:rPr>
          <w:rFonts w:ascii="Times New Roman;Times;serif" w:hAnsi="Times New Roman;Times;serif"/>
          <w:sz w:val="20"/>
        </w:rPr>
        <w:t>, as defined in the applicable agreement, plus 0.85%, subject to the Company’s credit ratings, with an extended maturity date of May 1, 2029, which includes two six-month extension options. The Company also pays a facility fee of 0.10%, subject to the Company’s credit ratings. As of June 30, 2025, there was $1.2 billion of undrawn capacity on the 2024 Unsecured Revolver.</w:t>
      </w:r>
    </w:p>
    <w:p>
      <w:pPr>
        <w:pStyle w:val="TextBody"/>
        <w:shd w:fill="FFFFFF" w:val="clear"/>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2021 Unsecured Revolver—In March 2021, Portfolio Holdings, then known as Safehold Operating Partnership LP, (as borrower) and the Company (as guarantor), entered into an unsecured revolving credit facility with an initial maximum aggregate principal amount of up to $1.0 billion (the “2021 Unsecured Revolver”), which amount was increased to $1.35 billion in December 2021. The 2021 Unsecured Revolver had an initial maturity of March 2024 with two </w:t>
      </w:r>
      <w:r>
        <w:rPr>
          <w:rFonts w:ascii="Times New Roman;Times;serif" w:hAnsi="Times New Roman;Times;serif"/>
          <w:b w:val="false"/>
          <w:i w:val="false"/>
          <w:caps w:val="false"/>
          <w:smallCaps w:val="false"/>
          <w:sz w:val="20"/>
        </w:rPr>
        <w:t>12-month</w:t>
      </w:r>
      <w:r>
        <w:rPr>
          <w:rFonts w:ascii="Times New Roman;Times;serif" w:hAnsi="Times New Roman;Times;serif"/>
          <w:sz w:val="20"/>
        </w:rPr>
        <w:t xml:space="preserve"> extension options exercisable by the Company, subject to certain conditions, and accrued interest at an annual rate of applicable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plus 0.90%, subject to the Company’s credit ratings</w:t>
      </w:r>
      <w:r>
        <w:rPr>
          <w:rFonts w:ascii="Times New Roman;Times;serif" w:hAnsi="Times New Roman;Times;serif"/>
          <w:sz w:val="20"/>
          <w:shd w:fill="FFFFFF" w:val="clear"/>
        </w:rPr>
        <w:t>.</w:t>
      </w:r>
      <w:r>
        <w:rPr>
          <w:rFonts w:ascii="Times New Roman;Times;serif" w:hAnsi="Times New Roman;Times;serif"/>
          <w:sz w:val="20"/>
        </w:rPr>
        <w:t xml:space="preserve"> </w:t>
      </w:r>
      <w:r>
        <w:rPr>
          <w:rFonts w:ascii="Times New Roman;Times;serif" w:hAnsi="Times New Roman;Times;serif"/>
          <w:sz w:val="20"/>
          <w:shd w:fill="FFFFFF" w:val="clear"/>
        </w:rPr>
        <w:t>In March 2024, the Company exercised one of its options to extend the maturity to March 2025. </w:t>
      </w:r>
      <w:r>
        <w:rPr>
          <w:rFonts w:ascii="Times New Roman;Times;serif" w:hAnsi="Times New Roman;Times;serif"/>
          <w:sz w:val="20"/>
        </w:rPr>
        <w:t>The 2024 Unsecured Revolver replaced the 2021 Unsecured Revolver.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2023 Unsecured Revolver—</w:t>
      </w:r>
      <w:r>
        <w:rPr>
          <w:rFonts w:ascii="Times New Roman;Times;serif" w:hAnsi="Times New Roman;Times;serif"/>
          <w:sz w:val="20"/>
          <w:shd w:fill="FFFFFF" w:val="clear"/>
        </w:rPr>
        <w:t xml:space="preserve">In January 2023, Portfolio Holdings, then known as Safehold Operating Partnership LP (as borrower) and the Company (as guarantor) entered into a $500 million unsecured revolving credit facility (the “2023 Unsecured Revolver”). The 2023 Unsecured Revolver accrued interest at a rate of Adjusted </w:t>
      </w:r>
      <w:r>
        <w:rPr>
          <w:rFonts w:ascii="Times New Roman;Times;serif" w:hAnsi="Times New Roman;Times;serif"/>
          <w:b w:val="false"/>
          <w:i w:val="false"/>
          <w:caps w:val="false"/>
          <w:smallCaps w:val="false"/>
          <w:sz w:val="20"/>
          <w:shd w:fill="FFFFFF" w:val="clear"/>
        </w:rPr>
        <w:t>SOFR</w:t>
      </w:r>
      <w:r>
        <w:rPr>
          <w:rFonts w:ascii="Times New Roman;Times;serif" w:hAnsi="Times New Roman;Times;serif"/>
          <w:sz w:val="20"/>
          <w:shd w:fill="FFFFFF" w:val="clear"/>
        </w:rPr>
        <w:t xml:space="preserve">, as defined in the applicable agreement, plus 0.90%, </w:t>
      </w:r>
      <w:r>
        <w:rPr>
          <w:rFonts w:ascii="Times New Roman;Times;serif" w:hAnsi="Times New Roman;Times;serif"/>
          <w:sz w:val="20"/>
        </w:rPr>
        <w:t>subject to the Company’s credit ratings. The 2024 Unsecured Revolver replaced the 2023 Unsecured Revolver.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Trust Preferred Securities</w:t>
      </w:r>
      <w:r>
        <w:rPr>
          <w:rFonts w:ascii="Times New Roman;Times;serif" w:hAnsi="Times New Roman;Times;serif"/>
          <w:sz w:val="20"/>
        </w:rPr>
        <w:t xml:space="preserve">—The Company assumed trust preferred securities from iStar in connection with the Merger. The trust preferred securities bear interest at </w:t>
      </w:r>
      <w:r>
        <w:rPr>
          <w:rFonts w:ascii="Times New Roman;Times;serif" w:hAnsi="Times New Roman;Times;serif"/>
          <w:sz w:val="20"/>
          <w:shd w:fill="FFFFFF" w:val="clear"/>
        </w:rPr>
        <w:t xml:space="preserve">three-month Adjusted Term </w:t>
      </w:r>
      <w:r>
        <w:rPr>
          <w:rFonts w:ascii="Times New Roman;Times;serif" w:hAnsi="Times New Roman;Times;serif"/>
          <w:b w:val="false"/>
          <w:i w:val="false"/>
          <w:caps w:val="false"/>
          <w:smallCaps w:val="false"/>
          <w:sz w:val="20"/>
          <w:shd w:fill="FFFFFF" w:val="clear"/>
        </w:rPr>
        <w:t>SOFR</w:t>
      </w:r>
      <w:r>
        <w:rPr>
          <w:rFonts w:ascii="Times New Roman;Times;serif" w:hAnsi="Times New Roman;Times;serif"/>
          <w:sz w:val="20"/>
          <w:shd w:fill="FFFFFF" w:val="clear"/>
        </w:rPr>
        <w:t xml:space="preserve"> plus 1.50% and mature in October 2035.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Commercial Paper Program</w:t>
      </w:r>
      <w:r>
        <w:rPr>
          <w:rFonts w:ascii="Times New Roman;Times;serif" w:hAnsi="Times New Roman;Times;serif"/>
          <w:sz w:val="20"/>
        </w:rPr>
        <w:t>— In June 2024, Portfolio Holdings, as issuer, entered into a new U.S. commercial paper program (the “Commercial Paper Program”) on a private placement basis, pursuant to which the Company may issue up to $750.0 million of short-term, unsecured commercial paper notes outstanding at any time, which are guaranteed by the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Commercial Paper Program, the Company may issue the commercial paper notes from time to time and will use the proceeds for general corporate purposes. The Commercial Paper Program is backed by the Company’s 2024 Unsecured Revolver. The commercial paper notes will be sold under customary terms in the commercial paper market and will rank pari passu with all of Portfolio Holding’s other unsecured senior indebtedness. The interest rates will vary based on the ratings assigned to the commercial paper notes by credit rating agencies and market conditions at the time of issuance. As of June 30, 2025, the Company had no outstanding balance under the Commercial Paper Program. Borrowings reduce amounts otherwise available under the 2024 Unsecured Revolver.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documents governing the Commercial Paper Program contain customary representations, warranties, covenants, defaults and indemnification provisions, and provide the terms under which the Notes will be sold pursuant to an exemption from the federal and state securities laws.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Debt Covenants</w:t>
      </w:r>
      <w:r>
        <w:rPr>
          <w:rFonts w:ascii="Times New Roman;Times;serif" w:hAnsi="Times New Roman;Times;serif"/>
          <w:sz w:val="20"/>
        </w:rPr>
        <w:t>—The Company is subject to financial covenants under the 2024 Unsecured Revolver, including maintaining: (i) a ratio of total unencumbered assets to total unsecured debt of at least 1.33x; and (ii) a consolidated fixed charge coverage ratio of at least 1.15x, as such terms are defined in the documents governing the 2024 Unsecured Revolver, as applicable. In addition, the 2024 Unsecured Revolver contains customary affirmative and negative covenants. Among other things, these covenants may restrict the Company or certain of its subsidiaries’ ability to incur additional debt or liens, engage in certain mergers, consolidations and other fundamental changes, make other investments or pay dividends. The Company’s 2.80% Notes, 2.85% Notes, 3.98% Notes, 5.15% Notes, 6.10% Notes and 5.65% Notes are subject to a financial covenant requiring a ratio of unencumbered assets to unsecured debt of at least 1.25x and contain customary affirmative and negative covenants. The Company’s 6.10% Notes and 5.65% Notes are also subject to a financial covenant limiting the incurrence of any secured debt that would cause the Company’s secured debt to total assets ratio to exceed 50%. The Company’s 3.98% Notes and 5.15% Notes contain a provision whereby they will be deemed to include additional financial covenants and negative covenants to the extent such covenants are incorporated into Portfolio Holdings’ and/or the Company’s existing or future material credit facilities, including the 2024 Unsecured Revolver, and to the extent such covenants are more favorable to the lenders under such material credit facilities than the covenants contained in the 3.98% Notes and 5.15% Notes. The Company’s mortgages contain no significant maintenance or ongoing financial covenants. As of June 30, 2025, the Company was in compliance with all of its financial covenants.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1626" w:name="Tc_v_2kLKqvzkKVE9OTp8GKjw_10_8"/>
      <w:bookmarkStart w:id="1627" w:name="Tc_xw_P7iQO_EG4Cz1xiCAvPw_10_5"/>
      <w:bookmarkStart w:id="1628" w:name="Tc_Lleb0Dr0LkOEBvl2-KglgQ_10_2"/>
      <w:bookmarkStart w:id="1629" w:name="Tc_mFhE9n4aBk65rtTIbYR5Qw_10_0"/>
      <w:bookmarkStart w:id="1630" w:name="Tc_ea3uvflC3EyBiha8fIYaOw_9_0"/>
      <w:bookmarkStart w:id="1631" w:name="Tc_2c2ZgS_8GUmm6YY0bUuDHg_8_0"/>
      <w:bookmarkStart w:id="1632" w:name="Tc_LNTBHvcljkuYdiLlfDPUdg_7_0"/>
      <w:bookmarkStart w:id="1633" w:name="Tc__EE0220rjEWHbUIpldri0Q_6_3"/>
      <w:bookmarkStart w:id="1634" w:name="Tc_bRQgFj2RVkGz4I8qjs_qEA_6_0"/>
      <w:bookmarkStart w:id="1635" w:name="Tc_puVPHQIpf0SqR8J1Mz_0Xw_5_6"/>
      <w:bookmarkStart w:id="1636" w:name="Tc_WhhwjCqMEkeIqTKF38vJyw_5_0"/>
      <w:bookmarkStart w:id="1637" w:name="Tc_t2GrmQz-Kk-TrP3LWCKOQA_4_6"/>
      <w:bookmarkStart w:id="1638" w:name="Tc_j_A0zZTLfEuSBwwO5_Y_1w_4_0"/>
      <w:bookmarkStart w:id="1639" w:name="Tc_bVikU7YBME2wukRMFC7DAg_3_9"/>
      <w:bookmarkStart w:id="1640" w:name="Tc_Q5cNURd_h0KBry8C4wDFnw_3_6"/>
      <w:bookmarkStart w:id="1641" w:name="Tc_sQ8-NhscNU2bQ-Kx1N8Saw_3_3"/>
      <w:bookmarkStart w:id="1642" w:name="Tc_xD1QXxXvzkmJhirgLMPe-g_3_0"/>
      <w:bookmarkStart w:id="1643" w:name="Tc_gV2TDDYOI0WtABLN1pPL2w_2_9"/>
      <w:bookmarkStart w:id="1644" w:name="Tc_8cDyfzxn80OAOhW_qylEPg_2_8"/>
      <w:bookmarkStart w:id="1645" w:name="Tc_L1_omLRQlESP6YqEaJffiw_2_6"/>
      <w:bookmarkStart w:id="1646" w:name="Tc_O5yC9BONuE6F-FzVZ5slCA_2_5"/>
      <w:bookmarkStart w:id="1647" w:name="Tc_YCIFS5BgmUyG8LsdqHbbnw_2_3"/>
      <w:bookmarkStart w:id="1648" w:name="Tc_bpHEBH2j1kK__qf6pI5_rw_2_2"/>
      <w:bookmarkStart w:id="1649" w:name="Tc_J5asNnk-aEqMXxg0UC7GJg_2_0"/>
      <w:bookmarkStart w:id="1650" w:name="Tc_GczcrUa5GkaQRYUkMTa1Xw_1_8"/>
      <w:bookmarkStart w:id="1651" w:name="Tc_l1ju-92XgESNoq6lrg8yDA_1_5"/>
      <w:bookmarkStart w:id="1652" w:name="Tc_8YlC9ybKm0235rfpNAKZ8A_1_2"/>
      <w:bookmarkStart w:id="1653" w:name="_1aa257d0_8562_4855_ace7_a294842f270b"/>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r>
        <w:rPr>
          <w:rFonts w:ascii="Times New Roman;Times;serif" w:hAnsi="Times New Roman;Times;serif"/>
          <w:b/>
          <w:sz w:val="20"/>
        </w:rPr>
        <w:t>Future Scheduled Maturities</w:t>
      </w:r>
      <w:r>
        <w:rPr>
          <w:rFonts w:ascii="Times New Roman;Times;serif" w:hAnsi="Times New Roman;Times;serif"/>
          <w:sz w:val="20"/>
        </w:rPr>
        <w:t xml:space="preserve">—As of June 30, 2025, future scheduled maturities of outstanding debt obligations, assuming all extensions that can be exercised at the Company’s option, are as follows ($ in thousands): </w:t>
      </w:r>
    </w:p>
    <w:p>
      <w:pPr>
        <w:pStyle w:val="TextBody"/>
        <w:bidi w:val="0"/>
        <w:spacing w:before="0" w:after="0"/>
        <w:ind w:left="0" w:right="0" w:hanging="0"/>
        <w:jc w:val="left"/>
        <w:rPr/>
      </w:pPr>
      <w:r>
        <w:rPr/>
        <w:t>​</w:t>
      </w:r>
    </w:p>
    <w:tbl>
      <w:tblPr>
        <w:tblW w:w="9250" w:type="dxa"/>
        <w:jc w:val="left"/>
        <w:tblInd w:w="0" w:type="dxa"/>
        <w:tblLayout w:type="fixed"/>
        <w:tblCellMar>
          <w:top w:w="0" w:type="dxa"/>
          <w:left w:w="0" w:type="dxa"/>
          <w:bottom w:w="0" w:type="dxa"/>
          <w:right w:w="0" w:type="dxa"/>
        </w:tblCellMar>
      </w:tblPr>
      <w:tblGrid>
        <w:gridCol w:w="4741"/>
        <w:gridCol w:w="326"/>
        <w:gridCol w:w="211"/>
        <w:gridCol w:w="931"/>
        <w:gridCol w:w="326"/>
        <w:gridCol w:w="211"/>
        <w:gridCol w:w="931"/>
        <w:gridCol w:w="326"/>
        <w:gridCol w:w="211"/>
        <w:gridCol w:w="1036"/>
      </w:tblGrid>
      <w:tr>
        <w:trPr/>
        <w:tc>
          <w:tcPr>
            <w:tcW w:w="4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3010535" cy="175260"/>
                      <wp:effectExtent l="0" t="0" r="0" b="0"/>
                      <wp:wrapNone/>
                      <wp:docPr id="455" name="Frame455"/>
                      <a:graphic xmlns:a="http://schemas.openxmlformats.org/drawingml/2006/main">
                        <a:graphicData uri="http://schemas.microsoft.com/office/word/2010/wordprocessingShape">
                          <wps:wsp>
                            <wps:cNvSpPr txBox="1"/>
                            <wps:spPr>
                              <a:xfrm>
                                <a:off x="0" y="0"/>
                                <a:ext cx="3010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07010" cy="175260"/>
                      <wp:effectExtent l="0" t="0" r="0" b="0"/>
                      <wp:wrapNone/>
                      <wp:docPr id="456" name="Frame4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133985" cy="175260"/>
                      <wp:effectExtent l="0" t="0" r="0" b="0"/>
                      <wp:wrapNone/>
                      <wp:docPr id="457" name="Frame4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591185" cy="175260"/>
                      <wp:effectExtent l="0" t="0" r="0" b="0"/>
                      <wp:wrapNone/>
                      <wp:docPr id="458" name="Frame45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07010" cy="175260"/>
                      <wp:effectExtent l="0" t="0" r="0" b="0"/>
                      <wp:wrapNone/>
                      <wp:docPr id="459" name="Frame4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133985" cy="175260"/>
                      <wp:effectExtent l="0" t="0" r="0" b="0"/>
                      <wp:wrapNone/>
                      <wp:docPr id="460" name="Frame4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591185" cy="175260"/>
                      <wp:effectExtent l="0" t="0" r="0" b="0"/>
                      <wp:wrapNone/>
                      <wp:docPr id="461" name="Frame46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07010" cy="175260"/>
                      <wp:effectExtent l="0" t="0" r="0" b="0"/>
                      <wp:wrapNone/>
                      <wp:docPr id="462" name="Frame4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133985" cy="175260"/>
                      <wp:effectExtent l="0" t="0" r="0" b="0"/>
                      <wp:wrapNone/>
                      <wp:docPr id="463" name="Frame4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657860" cy="175260"/>
                      <wp:effectExtent l="0" t="0" r="0" b="0"/>
                      <wp:wrapNone/>
                      <wp:docPr id="464" name="Frame46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20"/>
              </w:rPr>
            </w:pPr>
            <w:r>
              <w:rPr>
                <w:rFonts w:ascii="Times New Roman;Times;serif" w:hAnsi="Times New Roman;Times;serif"/>
                <w:b/>
                <w:sz w:val="20"/>
              </w:rPr>
              <w:t>Secured</w:t>
            </w:r>
            <w:r>
              <w:rPr>
                <w:rFonts w:ascii="Times New Roman;Times;serif" w:hAnsi="Times New Roman;Times;serif"/>
                <w:b/>
                <w:sz w:val="15"/>
              </w:rPr>
              <w:t>(1)</w:t>
            </w:r>
          </w:p>
        </w:tc>
        <w:tc>
          <w:tcPr>
            <w:tcW w:w="326" w:type="dxa"/>
            <w:tcBorders/>
            <w:vAlign w:val="center"/>
          </w:tcPr>
          <w:p>
            <w:pPr>
              <w:pStyle w:val="TableContents"/>
              <w:bidi w:val="0"/>
              <w:spacing w:before="0" w:after="1"/>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Unsecured</w:t>
            </w:r>
          </w:p>
        </w:tc>
        <w:tc>
          <w:tcPr>
            <w:tcW w:w="326"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4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 (remaining six months)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pPr>
            <w:r>
              <w:rPr/>
              <w:t>—</w:t>
            </w:r>
          </w:p>
        </w:tc>
      </w:tr>
      <w:tr>
        <w:trPr/>
        <w:tc>
          <w:tcPr>
            <w:tcW w:w="4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r>
      <w:tr>
        <w:trPr/>
        <w:tc>
          <w:tcPr>
            <w:tcW w:w="4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237,000</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237,000</w:t>
            </w:r>
          </w:p>
        </w:tc>
      </w:tr>
      <w:tr>
        <w:trPr/>
        <w:tc>
          <w:tcPr>
            <w:tcW w:w="4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79,193</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79,193</w:t>
            </w:r>
          </w:p>
        </w:tc>
      </w:tr>
      <w:tr>
        <w:trPr/>
        <w:tc>
          <w:tcPr>
            <w:tcW w:w="4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812,000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812,000</w:t>
            </w:r>
          </w:p>
        </w:tc>
      </w:tr>
      <w:tr>
        <w:trPr/>
        <w:tc>
          <w:tcPr>
            <w:tcW w:w="4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1,181,920</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2,187,327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3,369,247</w:t>
            </w:r>
          </w:p>
        </w:tc>
      </w:tr>
      <w:tr>
        <w:trPr/>
        <w:tc>
          <w:tcPr>
            <w:tcW w:w="4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principal maturities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1,498,113</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2,999,327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4,497,440</w:t>
            </w:r>
          </w:p>
        </w:tc>
      </w:tr>
      <w:tr>
        <w:trPr/>
        <w:tc>
          <w:tcPr>
            <w:tcW w:w="4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Debt premium, discount and deferred financing costs,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(25,856)</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(27,172)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(53,028)</w:t>
            </w:r>
          </w:p>
        </w:tc>
      </w:tr>
      <w:tr>
        <w:trPr/>
        <w:tc>
          <w:tcPr>
            <w:tcW w:w="4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 obligations,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1,472,257</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2,972,155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4,444,412</w:t>
            </w:r>
          </w:p>
        </w:tc>
      </w:tr>
    </w:tbl>
    <w:tbl>
      <w:tblPr>
        <w:tblW w:w="7832" w:type="dxa"/>
        <w:jc w:val="left"/>
        <w:tblInd w:w="0" w:type="dxa"/>
        <w:tblLayout w:type="fixed"/>
        <w:tblCellMar>
          <w:top w:w="0" w:type="dxa"/>
          <w:left w:w="0" w:type="dxa"/>
          <w:bottom w:w="0" w:type="dxa"/>
          <w:right w:w="0" w:type="dxa"/>
        </w:tblCellMar>
      </w:tblPr>
      <w:tblGrid>
        <w:gridCol w:w="331"/>
        <w:gridCol w:w="750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750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June 30, 2025, the Company’s weighted average maturity for its secured mortgages was 26.0</w:t>
            </w:r>
            <w:r>
              <w:rPr>
                <w:caps w:val="false"/>
                <w:smallCaps w:val="false"/>
              </w:rPr>
              <w:t> </w:t>
            </w:r>
            <w:r>
              <w:rPr>
                <w:rFonts w:ascii="Times New Roman;Times;serif" w:hAnsi="Times New Roman;Times;serif"/>
                <w:b w:val="false"/>
                <w:i w:val="false"/>
                <w:caps w:val="false"/>
                <w:smallCaps w:val="false"/>
                <w:sz w:val="16"/>
              </w:rPr>
              <w:t>years.</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654" w:name="Tc_-tz6ArfhP0a7QsFpb784bQ_9_2"/>
      <w:bookmarkStart w:id="1655" w:name="Tc_54qxJ6Wng0qsxYDyK6l1tQ_9_0"/>
      <w:bookmarkStart w:id="1656" w:name="Tc_Z7JN5oARsEeb4654VAGugw_8_0"/>
      <w:bookmarkStart w:id="1657" w:name="Tc_Aspc1Ml2yk6BeyhCHeTi-w_7_0"/>
      <w:bookmarkStart w:id="1658" w:name="Tc_8jWbHjZZ_0yJdsycQurB-g_6_0"/>
      <w:bookmarkStart w:id="1659" w:name="Tc_g7OXLqE5kkeRazZ3pcoNrQ_5_0"/>
      <w:bookmarkStart w:id="1660" w:name="Tc_nnjsFtcYg02ffy6X7kEOqA_4_0"/>
      <w:bookmarkStart w:id="1661" w:name="Tc_BZWOQfQZVk-aa7u59g81hQ_3_0"/>
      <w:bookmarkStart w:id="1662" w:name="Tc_fTof2py9K0uxXKYmYgQcgw_2_0"/>
      <w:bookmarkStart w:id="1663" w:name="Tc__WpAGSmtnUSJtv9wDPtmRg_1_2"/>
      <w:bookmarkStart w:id="1664" w:name="Tc_K3TDRa2yekujU6YN2ama-g_1_0"/>
      <w:bookmarkStart w:id="1665" w:name="_d2d4aa27_7e36_4f02_af54_6d9c4db8d9ca"/>
      <w:bookmarkEnd w:id="1654"/>
      <w:bookmarkEnd w:id="1655"/>
      <w:bookmarkEnd w:id="1656"/>
      <w:bookmarkEnd w:id="1657"/>
      <w:bookmarkEnd w:id="1658"/>
      <w:bookmarkEnd w:id="1659"/>
      <w:bookmarkEnd w:id="1660"/>
      <w:bookmarkEnd w:id="1661"/>
      <w:bookmarkEnd w:id="1662"/>
      <w:bookmarkEnd w:id="1663"/>
      <w:bookmarkEnd w:id="1664"/>
      <w:bookmarkEnd w:id="1665"/>
      <w:r>
        <w:rPr>
          <w:rFonts w:ascii="Times New Roman;Times;serif" w:hAnsi="Times New Roman;Times;serif"/>
          <w:b/>
          <w:sz w:val="20"/>
        </w:rPr>
        <w:t>Note 11—Commitments and Contingencies</w:t>
      </w:r>
    </w:p>
    <w:p>
      <w:pPr>
        <w:pStyle w:val="TextBody"/>
        <w:bidi w:val="0"/>
        <w:spacing w:lineRule="auto" w:line="240" w:before="0" w:after="120"/>
        <w:ind w:left="0" w:right="0" w:firstLine="720"/>
        <w:jc w:val="both"/>
        <w:rPr>
          <w:rFonts w:ascii="Times New Roman;Times;serif" w:hAnsi="Times New Roman;Times;serif"/>
          <w:sz w:val="20"/>
        </w:rPr>
      </w:pPr>
      <w:r>
        <w:rPr>
          <w:rFonts w:ascii="Times New Roman;Times;serif" w:hAnsi="Times New Roman;Times;serif"/>
          <w:b/>
          <w:sz w:val="20"/>
        </w:rPr>
        <w:t>Lease Commitments</w:t>
      </w:r>
      <w:r>
        <w:rPr>
          <w:rFonts w:ascii="Times New Roman;Times;serif" w:hAnsi="Times New Roman;Times;serif"/>
          <w:sz w:val="20"/>
        </w:rPr>
        <w:t>—Future minimum lease obligations under non-cancelable operating leases as of June 30, 2025 are as follows ($ in thousands):</w:t>
      </w:r>
      <w:r>
        <w:rPr>
          <w:rFonts w:ascii="Times New Roman;Times;serif" w:hAnsi="Times New Roman;Times;serif"/>
          <w:sz w:val="15"/>
        </w:rPr>
        <w:t xml:space="preserve">(1) </w:t>
      </w:r>
    </w:p>
    <w:tbl>
      <w:tblPr>
        <w:tblW w:w="3817" w:type="dxa"/>
        <w:jc w:val="left"/>
        <w:tblInd w:w="0" w:type="dxa"/>
        <w:tblLayout w:type="fixed"/>
        <w:tblCellMar>
          <w:top w:w="0" w:type="dxa"/>
          <w:left w:w="0" w:type="dxa"/>
          <w:bottom w:w="0" w:type="dxa"/>
          <w:right w:w="0" w:type="dxa"/>
        </w:tblCellMar>
      </w:tblPr>
      <w:tblGrid>
        <w:gridCol w:w="2761"/>
        <w:gridCol w:w="109"/>
        <w:gridCol w:w="211"/>
        <w:gridCol w:w="736"/>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1753235" cy="175260"/>
                      <wp:effectExtent l="0" t="0" r="0" b="0"/>
                      <wp:wrapNone/>
                      <wp:docPr id="465" name="Frame465"/>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69215" cy="175260"/>
                      <wp:effectExtent l="0" t="0" r="0" b="0"/>
                      <wp:wrapNone/>
                      <wp:docPr id="466" name="Frame4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133985" cy="175260"/>
                      <wp:effectExtent l="0" t="0" r="0" b="0"/>
                      <wp:wrapNone/>
                      <wp:docPr id="467" name="Frame4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467360" cy="175260"/>
                      <wp:effectExtent l="0" t="0" r="0" b="0"/>
                      <wp:wrapNone/>
                      <wp:docPr id="468" name="Frame46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 (remaining six months)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3,104</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7,649</w:t>
            </w:r>
          </w:p>
        </w:tc>
      </w:tr>
      <w:tr>
        <w:trPr/>
        <w:tc>
          <w:tcPr>
            <w:tcW w:w="276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Total undiscounted cash flows</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12,925</w:t>
            </w:r>
          </w:p>
        </w:tc>
      </w:tr>
      <w:tr>
        <w:trPr/>
        <w:tc>
          <w:tcPr>
            <w:tcW w:w="276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Present value discount</w:t>
            </w:r>
            <w:r>
              <w:rPr>
                <w:rFonts w:ascii="Times New Roman;Times;serif" w:hAnsi="Times New Roman;Times;serif"/>
                <w:sz w:val="15"/>
              </w:rPr>
              <w:t>(2)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(5,359)</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7,566</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1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Includes cash flows that relate to a property that is majority-owned by a third party and is ground leased to the Company. The Company is obligated to pay the owner of the property $0.5</w:t>
            </w:r>
            <w:r>
              <w:rPr>
                <w:caps w:val="false"/>
                <w:smallCaps w:val="false"/>
              </w:rPr>
              <w:t> </w:t>
            </w:r>
            <w:r>
              <w:rPr>
                <w:rFonts w:ascii="Times New Roman;Times;serif" w:hAnsi="Times New Roman;Times;serif"/>
                <w:b w:val="false"/>
                <w:i w:val="false"/>
                <w:caps w:val="false"/>
                <w:smallCaps w:val="false"/>
                <w:sz w:val="16"/>
              </w:rPr>
              <w:t>million, subject to adjustment for changes in the CPI, per year through 2044; however, the Company’s Ground Lease tenant at the property pays this expense directly under the terms of a master lease.</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2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lease liability equals the present value of the minimum rental payments due under the lease discounted at the rate implicit in the lease or the Company’s incremental secured borrowing rate for similar collateral. For operating leases, lease liabilities were discounted at the Company’s weighted average incremental secured borrowing rate for similar collateral estimated to be 5.6%</w:t>
            </w:r>
            <w:r>
              <w:rPr>
                <w:caps w:val="false"/>
                <w:smallCaps w:val="false"/>
              </w:rPr>
              <w:t xml:space="preserve"> </w:t>
            </w:r>
            <w:r>
              <w:rPr>
                <w:rFonts w:ascii="Times New Roman;Times;serif" w:hAnsi="Times New Roman;Times;serif"/>
                <w:b w:val="false"/>
                <w:i w:val="false"/>
                <w:caps w:val="false"/>
                <w:smallCaps w:val="false"/>
                <w:sz w:val="16"/>
              </w:rPr>
              <w:t>and the weighted average remaining lease term is 12.9</w:t>
            </w:r>
            <w:r>
              <w:rPr>
                <w:caps w:val="false"/>
                <w:smallCaps w:val="false"/>
              </w:rPr>
              <w:t> </w:t>
            </w:r>
            <w:r>
              <w:rPr>
                <w:rFonts w:ascii="Times New Roman;Times;serif" w:hAnsi="Times New Roman;Times;serif"/>
                <w:b w:val="false"/>
                <w:i w:val="false"/>
                <w:caps w:val="false"/>
                <w:smallCaps w:val="false"/>
                <w:sz w:val="16"/>
              </w:rPr>
              <w:t>years. During the three months ended June 30, 2025 and 2024, the Company made payments of $1.4</w:t>
            </w:r>
            <w:r>
              <w:rPr>
                <w:caps w:val="false"/>
                <w:smallCaps w:val="false"/>
              </w:rPr>
              <w:t xml:space="preserve"> </w:t>
            </w:r>
            <w:r>
              <w:rPr>
                <w:rFonts w:ascii="Times New Roman;Times;serif" w:hAnsi="Times New Roman;Times;serif"/>
                <w:b w:val="false"/>
                <w:i w:val="false"/>
                <w:caps w:val="false"/>
                <w:smallCaps w:val="false"/>
                <w:sz w:val="16"/>
              </w:rPr>
              <w:t>million and $1.4</w:t>
            </w:r>
            <w:r>
              <w:rPr>
                <w:caps w:val="false"/>
                <w:smallCaps w:val="false"/>
              </w:rPr>
              <w:t xml:space="preserve"> </w:t>
            </w:r>
            <w:r>
              <w:rPr>
                <w:rFonts w:ascii="Times New Roman;Times;serif" w:hAnsi="Times New Roman;Times;serif"/>
                <w:b w:val="false"/>
                <w:i w:val="false"/>
                <w:caps w:val="false"/>
                <w:smallCaps w:val="false"/>
                <w:sz w:val="16"/>
              </w:rPr>
              <w:t>million, respectively, related to its operating leases. During the six months ended June 30, 2025 and 2024, the Company made payments of $2.8</w:t>
            </w:r>
            <w:r>
              <w:rPr>
                <w:caps w:val="false"/>
                <w:smallCaps w:val="false"/>
              </w:rPr>
              <w:t xml:space="preserve"> </w:t>
            </w:r>
            <w:r>
              <w:rPr>
                <w:rFonts w:ascii="Times New Roman;Times;serif" w:hAnsi="Times New Roman;Times;serif"/>
                <w:b w:val="false"/>
                <w:i w:val="false"/>
                <w:caps w:val="false"/>
                <w:smallCaps w:val="false"/>
                <w:sz w:val="16"/>
              </w:rPr>
              <w:t>million and $2.8</w:t>
            </w:r>
            <w:r>
              <w:rPr>
                <w:caps w:val="false"/>
                <w:smallCaps w:val="false"/>
              </w:rPr>
              <w:t xml:space="preserve"> </w:t>
            </w:r>
            <w:r>
              <w:rPr>
                <w:rFonts w:ascii="Times New Roman;Times;serif" w:hAnsi="Times New Roman;Times;serif"/>
                <w:b w:val="false"/>
                <w:i w:val="false"/>
                <w:caps w:val="false"/>
                <w:smallCaps w:val="false"/>
                <w:sz w:val="16"/>
              </w:rPr>
              <w:t>million, respectively, related to its operating leases.</w:t>
            </w:r>
          </w:p>
        </w:tc>
      </w:tr>
    </w:tbl>
    <w:p>
      <w:pPr>
        <w:pStyle w:val="TextBody"/>
        <w:bidi w:val="0"/>
        <w:spacing w:before="0" w:after="0"/>
        <w:ind w:left="54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Unfunded Commitments</w:t>
      </w:r>
      <w:r>
        <w:rPr>
          <w:rFonts w:ascii="Times New Roman;Times;serif" w:hAnsi="Times New Roman;Times;serif"/>
          <w:sz w:val="20"/>
        </w:rPr>
        <w:t>—The Company has unfunded commitments to certain of its Ground Lease tenants related to leasehold improvement allowances that it expects to fund upon the completion of certain conditions. As of June 30, 2025, the Company had $90.5 million of such commitments, excluding commitments to be funded by noncontrolling interests.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also has an unfunded forward commitment of $35.0 million related to an agreement that it entered into for the addition to an existing Ground Lease if certain conditions are met (refer to Note 15). </w:t>
      </w:r>
      <w:r>
        <w:rPr>
          <w:rFonts w:ascii="Times New Roman;Times;serif" w:hAnsi="Times New Roman;Times;serif"/>
          <w:sz w:val="20"/>
          <w:shd w:fill="FFFFFF" w:val="clear"/>
        </w:rPr>
        <w:t xml:space="preserve">There can be no assurance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shd w:fill="FFFFFF" w:val="clear"/>
        </w:rPr>
        <w:t>that the conditions for closing this transaction will be satisfied and that the Company will fund the addition to the Ground Lease</w:t>
      </w:r>
      <w:r>
        <w:rPr>
          <w:rFonts w:ascii="Times New Roman;Times;serif" w:hAnsi="Times New Roman;Times;serif"/>
          <w:sz w:val="20"/>
        </w:rPr>
        <w:t xml:space="preserv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Other Commitments</w:t>
      </w:r>
      <w:r>
        <w:rPr>
          <w:rFonts w:ascii="Times New Roman;Times;serif" w:hAnsi="Times New Roman;Times;serif"/>
          <w:sz w:val="20"/>
        </w:rPr>
        <w:t>—</w:t>
      </w:r>
      <w:r>
        <w:rPr>
          <w:rFonts w:ascii="Times New Roman;Times;serif" w:hAnsi="Times New Roman;Times;serif"/>
          <w:sz w:val="20"/>
          <w:shd w:fill="FFFFFF" w:val="clear"/>
        </w:rPr>
        <w:t>The Company funds construction and development loans and build-outs of space in real estate assets over a period of time, both individually and through the Leasehold Loan Fund, if and when the borrowers and tenants meet established milestones and other performance criteria. We refer to these arrangements as performance-based commitments. As of June 30, 2025, the Company had $195.9 million of such commitments.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Legal Proceedings</w:t>
      </w:r>
      <w:r>
        <w:rPr>
          <w:rFonts w:ascii="Times New Roman;Times;serif" w:hAnsi="Times New Roman;Times;serif"/>
          <w:sz w:val="20"/>
        </w:rPr>
        <w:t>—The Company evaluates developments in legal proceedings that could require a liability to be accrued and/or disclosed. Based on its current knowledge, and after consultation with legal counsel, the Company believes it is not a party to, nor are any of its properties the subject of, any pending legal proceeding that would have a material adverse effect on the Company’s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12—Risk Management and Derivatives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normal course of its ongoing business operations, the Company encounters credit risk. Credit risk is the risk of default on the Company’s leases that result from a tenant’s inability or unwillingness to make contractually required payments.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Risk concentrations</w:t>
      </w:r>
      <w:r>
        <w:rPr>
          <w:rFonts w:ascii="Times New Roman;Times;serif" w:hAnsi="Times New Roman;Times;serif"/>
          <w:sz w:val="20"/>
        </w:rPr>
        <w:t>—Concentrations of credit risks arise when the Company has multiple leases with a particular tenant or credit party, or a number of the Company’s tenants are engaged in similar business activities, or activities in the same geographic region, or have similar economic features, such that their ability to meet contractual obligations, including those to the Company, could be similarly affected by changes in economic conditions.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Although the Company’s Ground Leases are geographically diverse and the tenants operate in a variety of industries and property types, to the extent the Company has a significant concentration of interest income from sales-type leases or operating lease income from any tenant, the inability of that tenant to make its payment could have a material adverse effect on the Company. The Company did not have a significant concentration of interest income from sales-type leases or operating lease income from any tenant for the periods presented.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Derivative instruments and hedging activity</w:t>
      </w:r>
      <w:r>
        <w:rPr>
          <w:rFonts w:ascii="Times New Roman;Times;serif" w:hAnsi="Times New Roman;Times;serif"/>
          <w:sz w:val="20"/>
        </w:rPr>
        <w:t>—The Company’s use of derivative financial instruments has been associated with debt issuances and primarily limited to the utilization of interest rate swaps, interest rate caps and treasury locks to manage interest rate risk exposure. The Company does not enter into derivatives for trading purposes.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recognizes derivatives, if any, as either assets or liabilities on the Company’s consolidated balance sheets at fair value. Interest rate hedge assets are recorded in “Deferred expenses and other assets, net” and interest rate hedge liabilities are recorded in “Accounts payable, accrued expenses and other liabilities” on the Company’s consolidated balance sheets. If certain conditions are met, a derivative may be specifically designated as a hedge of the exposure to changes in the fair value of a recognized asset or liability, a hedge of a forecasted transaction or the variability of cash flows to be received or paid related to a recognized asset or liability.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For the Company’s derivatives designated and qualifying as cash flow hedges, changes in the fair value of the derivatives are reported as a component of accumulated other comprehensive income (loss) and subsequently reclassified into interest expense in the same periods during which the hedged transaction affects earnings. Amounts reported in accumulated other comprehensive income (loss) related to derivatives will be reclassified to interest expense as interest payments are made on the Company’s debt. If an interest rate hedge is terminated prior to maturity it could result in a net derivative instrument gain or loss that continues to be reported in accumulated other comprehensive (loss) and is reclassified into earnings over the period of the original forecasted hedged transaction. However, if it is probable that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bookmarkStart w:id="1666" w:name="Tc_DJPrCdd7I0OoP_tqWnJVeg_6_5"/>
      <w:bookmarkStart w:id="1667" w:name="Tc_4Q2di4zXuUugLO6jPnlnrw_6_2"/>
      <w:bookmarkStart w:id="1668" w:name="Tc_cNGX7tRGJEGi3Wh4PtHVjg_6_0"/>
      <w:bookmarkStart w:id="1669" w:name="Tc_aSwds1sejECtXHSe7WmANw_5_8"/>
      <w:bookmarkStart w:id="1670" w:name="Tc_tCI69TF61UGONhYy62A2Xw_5_5"/>
      <w:bookmarkStart w:id="1671" w:name="Tc_5v4xBsNFtkGdEc08lGib9A_5_2"/>
      <w:bookmarkStart w:id="1672" w:name="Tc_yi3f0K44T0-J41yyYgyPug_5_0"/>
      <w:bookmarkStart w:id="1673" w:name="Tc_B9DtsGH0T0qRNuRCj3E8CQ_4_0"/>
      <w:bookmarkStart w:id="1674" w:name="Tc_tYe9WLiZdUS673x1MhRpUg_3_8"/>
      <w:bookmarkStart w:id="1675" w:name="Tc_cpR2jbA12E2_tGcNLEHLqg_3_5"/>
      <w:bookmarkStart w:id="1676" w:name="Tc_415-afDMPUOb4DIh93hAvg_3_2"/>
      <w:bookmarkStart w:id="1677" w:name="Tc_8Ykwtymjm0ONCnDWOWwLvA_3_0"/>
      <w:bookmarkStart w:id="1678" w:name="Tc_KALau_PlnUa_q5zxeVM1Bg_2_8"/>
      <w:bookmarkStart w:id="1679" w:name="Tc_GvuRR5vfE0qjWg7jTyoq9w_2_5"/>
      <w:bookmarkStart w:id="1680" w:name="Tc_7NGgbxEtnUCAzQ6E6pgjEw_2_2"/>
      <w:bookmarkStart w:id="1681" w:name="Tc_o52ehpCwx0Oc_G6glZjSQA_1_5"/>
      <w:bookmarkStart w:id="1682" w:name="Tc_39D3jY00vkWYzOn-gwSp-w_1_2"/>
      <w:bookmarkStart w:id="1683" w:name="_876cdd55_f44e_44a1_8352_fad806464e94"/>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r>
        <w:rPr>
          <w:rFonts w:ascii="Times New Roman;Times;serif" w:hAnsi="Times New Roman;Times;serif"/>
          <w:sz w:val="20"/>
        </w:rPr>
        <w:t>original forecasted hedged transaction will not occur by the end of the original specified time period, the derivative instrument gain or loss reported in accumulated other comprehensive income (loss) will be reclassified into earnings immediately. If a derivative includes an other-than-insignificant financing element at inception, when the Company is deemed to be the lender all cash inflows and outflows of the derivative are considered cash flows from investing activities in the Company’s consolidated statements of cash flows and when the Company is deemed to be the borrower all cash inflows and outflows of the derivative are considered cash flows from financing activities in the Company’s consolidated statements of cash flows.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Company’s derivatives not designated as hedges, the changes in the fair value of the derivatives are reported in “Interest expense” in the Company’s consolidated statements of operations. Derivatives not designated as hedges are not speculative and are used to manage the Company’s exposure to interest rate movements and other identified risks but do not meet the strict hedge accounting requirements.</w:t>
      </w:r>
    </w:p>
    <w:p>
      <w:pPr>
        <w:pStyle w:val="TextBody"/>
        <w:bidi w:val="0"/>
        <w:spacing w:before="0" w:after="240"/>
        <w:ind w:left="0" w:right="0" w:firstLine="720"/>
        <w:jc w:val="both"/>
        <w:rPr/>
      </w:pPr>
      <w:r>
        <w:rPr/>
        <w:t>​</w:t>
      </w:r>
    </w:p>
    <w:p>
      <w:pPr>
        <w:pStyle w:val="TextBody"/>
        <w:bidi w:val="0"/>
        <w:spacing w:lineRule="auto" w:line="240" w:before="0" w:after="0"/>
        <w:ind w:left="0" w:right="0" w:firstLine="720"/>
        <w:jc w:val="both"/>
        <w:rPr>
          <w:rFonts w:ascii="Times New Roman;Times;serif" w:hAnsi="Times New Roman;Times;serif"/>
          <w:sz w:val="14"/>
        </w:rPr>
      </w:pPr>
      <w:r>
        <w:rPr>
          <w:rFonts w:ascii="Times New Roman;Times;serif" w:hAnsi="Times New Roman;Times;serif"/>
          <w:sz w:val="20"/>
        </w:rPr>
        <w:t>The table below presents the Company’s derivatives as well as their classification on the consolidated balance sheets as of June 30, 2025 and December 31, 2024 ($ in thousands):</w:t>
      </w:r>
      <w:r>
        <w:rPr>
          <w:rFonts w:ascii="Times New Roman;Times;serif" w:hAnsi="Times New Roman;Times;serif"/>
          <w:sz w:val="11"/>
        </w:rPr>
        <w:t>(1)(2)(3)  </w:t>
      </w:r>
    </w:p>
    <w:p>
      <w:pPr>
        <w:pStyle w:val="TextBody"/>
        <w:bidi w:val="0"/>
        <w:spacing w:before="0" w:after="240"/>
        <w:ind w:left="0" w:right="0" w:firstLine="720"/>
        <w:jc w:val="both"/>
        <w:rPr/>
      </w:pPr>
      <w:r>
        <w:rPr/>
        <w:t>​</w:t>
      </w:r>
    </w:p>
    <w:tbl>
      <w:tblPr>
        <w:tblW w:w="8482" w:type="dxa"/>
        <w:jc w:val="left"/>
        <w:tblInd w:w="0" w:type="dxa"/>
        <w:tblLayout w:type="fixed"/>
        <w:tblCellMar>
          <w:top w:w="0" w:type="dxa"/>
          <w:left w:w="0" w:type="dxa"/>
          <w:bottom w:w="0" w:type="dxa"/>
          <w:right w:w="0" w:type="dxa"/>
        </w:tblCellMar>
      </w:tblPr>
      <w:tblGrid>
        <w:gridCol w:w="1591"/>
        <w:gridCol w:w="326"/>
        <w:gridCol w:w="267"/>
        <w:gridCol w:w="859"/>
        <w:gridCol w:w="326"/>
        <w:gridCol w:w="357"/>
        <w:gridCol w:w="1144"/>
        <w:gridCol w:w="326"/>
        <w:gridCol w:w="3286"/>
      </w:tblGrid>
      <w:tr>
        <w:trPr/>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1010285" cy="175260"/>
                      <wp:effectExtent l="0" t="0" r="0" b="0"/>
                      <wp:wrapNone/>
                      <wp:docPr id="469" name="Frame469"/>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07010" cy="175260"/>
                      <wp:effectExtent l="0" t="0" r="0" b="0"/>
                      <wp:wrapNone/>
                      <wp:docPr id="470" name="Frame4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169545" cy="175260"/>
                      <wp:effectExtent l="0" t="0" r="0" b="0"/>
                      <wp:wrapNone/>
                      <wp:docPr id="471" name="Frame471"/>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545465" cy="175260"/>
                      <wp:effectExtent l="0" t="0" r="0" b="0"/>
                      <wp:wrapNone/>
                      <wp:docPr id="472" name="Frame472"/>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07010" cy="175260"/>
                      <wp:effectExtent l="0" t="0" r="0" b="0"/>
                      <wp:wrapNone/>
                      <wp:docPr id="473" name="Frame4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226695" cy="175260"/>
                      <wp:effectExtent l="0" t="0" r="0" b="0"/>
                      <wp:wrapNone/>
                      <wp:docPr id="474" name="Frame474"/>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726440" cy="175260"/>
                      <wp:effectExtent l="0" t="0" r="0" b="0"/>
                      <wp:wrapNone/>
                      <wp:docPr id="475" name="Frame475"/>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07010" cy="175260"/>
                      <wp:effectExtent l="0" t="0" r="0" b="0"/>
                      <wp:wrapNone/>
                      <wp:docPr id="476" name="Frame4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086610" cy="175260"/>
                      <wp:effectExtent l="0" t="0" r="0" b="0"/>
                      <wp:wrapNone/>
                      <wp:docPr id="477" name="Frame477"/>
                      <a:graphic xmlns:a="http://schemas.openxmlformats.org/drawingml/2006/main">
                        <a:graphicData uri="http://schemas.microsoft.com/office/word/2010/wordprocessingShape">
                          <wps:wsp>
                            <wps:cNvSpPr txBox="1"/>
                            <wps:spPr>
                              <a:xfrm>
                                <a:off x="0" y="0"/>
                                <a:ext cx="2086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26" w:type="dxa"/>
            <w:tcBorders/>
            <w:vAlign w:val="center"/>
          </w:tcPr>
          <w:p>
            <w:pPr>
              <w:pStyle w:val="TableContents"/>
              <w:bidi w:val="0"/>
              <w:spacing w:before="0" w:after="1"/>
              <w:ind w:left="0" w:right="0" w:hanging="0"/>
              <w:jc w:val="center"/>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326" w:type="dxa"/>
            <w:tcBorders/>
            <w:vAlign w:val="center"/>
          </w:tcPr>
          <w:p>
            <w:pPr>
              <w:pStyle w:val="TableContents"/>
              <w:bidi w:val="0"/>
              <w:spacing w:before="0" w:after="1"/>
              <w:ind w:left="0" w:right="0" w:hanging="0"/>
              <w:jc w:val="center"/>
              <w:rPr/>
            </w:pPr>
            <w:r>
              <w:rPr/>
              <w:t>    </w:t>
            </w:r>
          </w:p>
        </w:tc>
        <w:tc>
          <w:tcPr>
            <w:tcW w:w="3286" w:type="dxa"/>
            <w:tcBorders/>
            <w:vAlign w:val="center"/>
          </w:tcPr>
          <w:p>
            <w:pPr>
              <w:pStyle w:val="TableContents"/>
              <w:bidi w:val="0"/>
              <w:spacing w:before="0" w:after="1"/>
              <w:ind w:left="0" w:right="0" w:hanging="0"/>
              <w:jc w:val="center"/>
              <w:rPr/>
            </w:pPr>
            <w:r>
              <w:rPr/>
              <w:t>​</w:t>
            </w:r>
          </w:p>
        </w:tc>
      </w:tr>
      <w:tr>
        <w:trPr/>
        <w:tc>
          <w:tcPr>
            <w:tcW w:w="15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326" w:type="dxa"/>
            <w:tcBorders/>
            <w:vAlign w:val="center"/>
          </w:tcPr>
          <w:p>
            <w:pPr>
              <w:pStyle w:val="TableContents"/>
              <w:bidi w:val="0"/>
              <w:spacing w:before="0" w:after="1"/>
              <w:ind w:left="0" w:right="0" w:hanging="0"/>
              <w:jc w:val="center"/>
              <w:rPr/>
            </w:pPr>
            <w:r>
              <w:rPr/>
              <w:t>​</w:t>
            </w:r>
          </w:p>
        </w:tc>
        <w:tc>
          <w:tcPr>
            <w:tcW w:w="15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326" w:type="dxa"/>
            <w:tcBorders/>
            <w:vAlign w:val="center"/>
          </w:tcPr>
          <w:p>
            <w:pPr>
              <w:pStyle w:val="TableContents"/>
              <w:bidi w:val="0"/>
              <w:spacing w:before="0" w:after="1"/>
              <w:ind w:left="0" w:right="0" w:hanging="0"/>
              <w:jc w:val="center"/>
              <w:rPr/>
            </w:pPr>
            <w:r>
              <w:rPr/>
              <w:t>​</w:t>
            </w:r>
          </w:p>
        </w:tc>
        <w:tc>
          <w:tcPr>
            <w:tcW w:w="328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Balance Sheet</w:t>
            </w:r>
            <w:r>
              <w:rPr>
                <w:rFonts w:ascii="Times New Roman;Times;serif" w:hAnsi="Times New Roman;Times;serif"/>
                <w:sz w:val="16"/>
              </w:rPr>
              <w:t> </w:t>
            </w:r>
          </w:p>
        </w:tc>
      </w:tr>
      <w:tr>
        <w:trPr/>
        <w:tc>
          <w:tcPr>
            <w:tcW w:w="15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Derivative Type</w:t>
            </w:r>
          </w:p>
        </w:tc>
        <w:tc>
          <w:tcPr>
            <w:tcW w:w="326" w:type="dxa"/>
            <w:tcBorders/>
            <w:vAlign w:val="center"/>
          </w:tcPr>
          <w:p>
            <w:pPr>
              <w:pStyle w:val="TableContents"/>
              <w:bidi w:val="0"/>
              <w:spacing w:before="0" w:after="1"/>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1"/>
              <w:ind w:left="0" w:right="0" w:hanging="0"/>
              <w:jc w:val="left"/>
              <w:rPr/>
            </w:pPr>
            <w:r>
              <w:rPr/>
              <w:t>​</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1"/>
              <w:ind w:left="0" w:right="0" w:hanging="0"/>
              <w:jc w:val="center"/>
              <w:rPr/>
            </w:pPr>
            <w:r>
              <w:rPr/>
              <w:t>    </w:t>
            </w:r>
          </w:p>
        </w:tc>
        <w:tc>
          <w:tcPr>
            <w:tcW w:w="32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Location</w:t>
            </w:r>
          </w:p>
        </w:tc>
      </w:tr>
      <w:tr>
        <w:trPr/>
        <w:tc>
          <w:tcPr>
            <w:tcW w:w="15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1"/>
              <w:ind w:left="0" w:right="0" w:hanging="0"/>
              <w:jc w:val="left"/>
              <w:rPr/>
            </w:pPr>
            <w:r>
              <w:rPr/>
              <w:t> </w:t>
            </w:r>
          </w:p>
        </w:tc>
        <w:tc>
          <w:tcPr>
            <w:tcW w:w="267"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357" w:type="dxa"/>
            <w:tcBorders/>
            <w:shd w:fill="CCEEFF" w:val="clear"/>
            <w:vAlign w:val="center"/>
          </w:tcPr>
          <w:p>
            <w:pPr>
              <w:pStyle w:val="TableContents"/>
              <w:bidi w:val="0"/>
              <w:spacing w:before="0" w:after="1"/>
              <w:ind w:left="0" w:right="0" w:hanging="0"/>
              <w:jc w:val="left"/>
              <w:rPr/>
            </w:pPr>
            <w:r>
              <w:rPr/>
              <w:t>​</w:t>
            </w:r>
          </w:p>
        </w:tc>
        <w:tc>
          <w:tcPr>
            <w:tcW w:w="1144"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3286" w:type="dxa"/>
            <w:tcBorders/>
            <w:shd w:fill="CCEEFF" w:val="clear"/>
            <w:vAlign w:val="center"/>
          </w:tcPr>
          <w:p>
            <w:pPr>
              <w:pStyle w:val="TableContents"/>
              <w:bidi w:val="0"/>
              <w:spacing w:before="0" w:after="1"/>
              <w:ind w:left="0" w:right="0" w:hanging="0"/>
              <w:jc w:val="right"/>
              <w:rPr/>
            </w:pPr>
            <w:r>
              <w:rPr/>
              <w:t>  </w:t>
            </w:r>
          </w:p>
        </w:tc>
      </w:tr>
      <w:tr>
        <w:trPr/>
        <w:tc>
          <w:tcPr>
            <w:tcW w:w="1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32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22,748</w:t>
            </w:r>
          </w:p>
        </w:tc>
        <w:tc>
          <w:tcPr>
            <w:tcW w:w="326" w:type="dxa"/>
            <w:tcBorders/>
            <w:vAlign w:val="center"/>
          </w:tcPr>
          <w:p>
            <w:pPr>
              <w:pStyle w:val="TableContents"/>
              <w:bidi w:val="0"/>
              <w:spacing w:before="0" w:after="1"/>
              <w:ind w:left="0" w:right="0" w:hanging="0"/>
              <w:jc w:val="left"/>
              <w:rPr/>
            </w:pPr>
            <w:r>
              <w:rPr/>
              <w:t>​</w:t>
            </w:r>
          </w:p>
        </w:tc>
        <w:tc>
          <w:tcPr>
            <w:tcW w:w="35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45,439</w:t>
            </w:r>
          </w:p>
        </w:tc>
        <w:tc>
          <w:tcPr>
            <w:tcW w:w="326" w:type="dxa"/>
            <w:tcBorders/>
            <w:vAlign w:val="center"/>
          </w:tcPr>
          <w:p>
            <w:pPr>
              <w:pStyle w:val="TableContents"/>
              <w:bidi w:val="0"/>
              <w:spacing w:before="0" w:after="1"/>
              <w:ind w:left="0" w:right="0" w:hanging="0"/>
              <w:jc w:val="left"/>
              <w:rPr/>
            </w:pPr>
            <w:r>
              <w:rPr/>
              <w:t> </w:t>
            </w:r>
          </w:p>
        </w:tc>
        <w:tc>
          <w:tcPr>
            <w:tcW w:w="3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expenses and other assets, net</w:t>
            </w:r>
          </w:p>
        </w:tc>
      </w:tr>
      <w:tr>
        <w:trPr/>
        <w:tc>
          <w:tcPr>
            <w:tcW w:w="1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22,748</w:t>
            </w:r>
          </w:p>
        </w:tc>
        <w:tc>
          <w:tcPr>
            <w:tcW w:w="326" w:type="dxa"/>
            <w:tcBorders/>
            <w:shd w:fill="CCEEFF" w:val="clear"/>
            <w:vAlign w:val="center"/>
          </w:tcPr>
          <w:p>
            <w:pPr>
              <w:pStyle w:val="TableContents"/>
              <w:bidi w:val="0"/>
              <w:spacing w:before="0" w:after="1"/>
              <w:ind w:left="0" w:right="0" w:hanging="0"/>
              <w:jc w:val="left"/>
              <w:rPr/>
            </w:pPr>
            <w:r>
              <w:rPr/>
              <w:t>​</w:t>
            </w:r>
          </w:p>
        </w:tc>
        <w:tc>
          <w:tcPr>
            <w:tcW w:w="35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45,439</w:t>
            </w:r>
          </w:p>
        </w:tc>
        <w:tc>
          <w:tcPr>
            <w:tcW w:w="326" w:type="dxa"/>
            <w:tcBorders/>
            <w:shd w:fill="CCEEFF" w:val="clear"/>
            <w:vAlign w:val="center"/>
          </w:tcPr>
          <w:p>
            <w:pPr>
              <w:pStyle w:val="TableContents"/>
              <w:bidi w:val="0"/>
              <w:spacing w:before="0" w:after="1"/>
              <w:ind w:left="0" w:right="0" w:hanging="0"/>
              <w:jc w:val="left"/>
              <w:rPr/>
            </w:pPr>
            <w:r>
              <w:rPr/>
              <w:t>​</w:t>
            </w:r>
          </w:p>
        </w:tc>
        <w:tc>
          <w:tcPr>
            <w:tcW w:w="3286" w:type="dxa"/>
            <w:tcBorders/>
            <w:shd w:fill="CCEEFF" w:val="clear"/>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1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June 30, 2025, the Company has two</w:t>
            </w:r>
            <w:r>
              <w:rPr>
                <w:caps w:val="false"/>
                <w:smallCaps w:val="false"/>
              </w:rPr>
              <w:t xml:space="preserve"> </w:t>
            </w:r>
            <w:r>
              <w:rPr>
                <w:rFonts w:ascii="Times New Roman;Times;serif" w:hAnsi="Times New Roman;Times;serif"/>
                <w:b w:val="false"/>
                <w:i w:val="false"/>
                <w:caps w:val="false"/>
                <w:smallCaps w:val="false"/>
                <w:sz w:val="16"/>
              </w:rPr>
              <w:t>interest rate swap derivatives outstanding that mature in April 2028 and have an aggregate $500.0</w:t>
            </w:r>
            <w:r>
              <w:rPr>
                <w:caps w:val="false"/>
                <w:smallCaps w:val="false"/>
              </w:rPr>
              <w:t xml:space="preserve"> </w:t>
            </w:r>
            <w:r>
              <w:rPr>
                <w:rFonts w:ascii="Times New Roman;Times;serif" w:hAnsi="Times New Roman;Times;serif"/>
                <w:b w:val="false"/>
                <w:i w:val="false"/>
                <w:caps w:val="false"/>
                <w:smallCaps w:val="false"/>
                <w:sz w:val="16"/>
              </w:rPr>
              <w:t>million notional amount, which hedge in-place floating-rate debt. The Company also has a</w:t>
            </w:r>
            <w:r>
              <w:rPr>
                <w:caps w:val="false"/>
                <w:smallCaps w:val="false"/>
              </w:rPr>
              <w:t xml:space="preserve"> </w:t>
            </w:r>
            <w:r>
              <w:rPr>
                <w:rFonts w:ascii="Times New Roman;Times;serif" w:hAnsi="Times New Roman;Times;serif"/>
                <w:b w:val="false"/>
                <w:i w:val="false"/>
                <w:caps w:val="false"/>
                <w:smallCaps w:val="false"/>
                <w:sz w:val="16"/>
              </w:rPr>
              <w:t>designated derivative outstanding with a $150.0</w:t>
            </w:r>
            <w:r>
              <w:rPr>
                <w:caps w:val="false"/>
                <w:smallCaps w:val="false"/>
              </w:rPr>
              <w:t xml:space="preserve"> </w:t>
            </w:r>
            <w:r>
              <w:rPr>
                <w:rFonts w:ascii="Times New Roman;Times;serif" w:hAnsi="Times New Roman;Times;serif"/>
                <w:b w:val="false"/>
                <w:i w:val="false"/>
                <w:caps w:val="false"/>
                <w:smallCaps w:val="false"/>
                <w:sz w:val="16"/>
              </w:rPr>
              <w:t xml:space="preserve">million notional amount that matures in December 2025 that protects the Company against interest rate volatility with respect to future long-term debt with a tenor of approximately 30 years. </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9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Over the next 12 months, the Company expects that $0.6</w:t>
            </w:r>
            <w:r>
              <w:rPr>
                <w:caps w:val="false"/>
                <w:smallCaps w:val="false"/>
              </w:rPr>
              <w:t xml:space="preserve"> </w:t>
            </w:r>
            <w:r>
              <w:rPr>
                <w:rFonts w:ascii="Times New Roman;Times;serif" w:hAnsi="Times New Roman;Times;serif"/>
                <w:b w:val="false"/>
                <w:i w:val="false"/>
                <w:caps w:val="false"/>
                <w:smallCaps w:val="false"/>
                <w:sz w:val="16"/>
              </w:rPr>
              <w:t xml:space="preserve">million related to cash flow hedges will be reclassified from “Accumulated other comprehensive income (loss)” as an increase to interest expense. </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9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fair value of the Company’s derivatives is estimated using valuation techniques utilized by a third-party specialist using observable inputs such as interest rates and contractual cash flow and are classified as Level 2 within the fair value hierarchy.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bookmarkStart w:id="1684" w:name="Tc_yVYfsibQ8UC5ZPZkRUe6Pg_15_7"/>
      <w:bookmarkStart w:id="1685" w:name="Tc_f8xL5Tr6ikOw2-d-MFRMqA_15_4"/>
      <w:bookmarkStart w:id="1686" w:name="Tc_747xQeRanUSlcfIvfojMkQ_15_2"/>
      <w:bookmarkStart w:id="1687" w:name="Tc_E7Wgp8QjhkeQpaJTeD4Gvg_15_0"/>
      <w:bookmarkStart w:id="1688" w:name="Tc_X-7P6u5UiEm7TDWbTusJJQ_14_0"/>
      <w:bookmarkStart w:id="1689" w:name="Tc_3TnuUv4qt0GMO74x7J6vmw_13_7"/>
      <w:bookmarkStart w:id="1690" w:name="Tc_w5JkVmQlr0aAWzEw4qwp1A_13_4"/>
      <w:bookmarkStart w:id="1691" w:name="Tc_E4eAHpqhC0G8cTfCOdosrg_13_2"/>
      <w:bookmarkStart w:id="1692" w:name="Tc_Hfq6iuFLqkq5qSOmfZuegA_13_0"/>
      <w:bookmarkStart w:id="1693" w:name="Tc_zZ_SOJI4CES6Zfg3SfEgNQ_12_0"/>
      <w:bookmarkStart w:id="1694" w:name="Tc_cCEev3tvd0m5M2q9sO8aFA_11_7"/>
      <w:bookmarkStart w:id="1695" w:name="Tc_BMWS1QNBgEW2Slqhg4Cr5g_11_4"/>
      <w:bookmarkStart w:id="1696" w:name="Tc_2fV_wNKa4EW2lFIHTT10gw_11_2"/>
      <w:bookmarkStart w:id="1697" w:name="Tc_nrTFar65h0yKPxY9ocNvwA_11_0"/>
      <w:bookmarkStart w:id="1698" w:name="Tc_pVCdl_A9Z0m9V_YQfW5VMQ_10_0"/>
      <w:bookmarkStart w:id="1699" w:name="Tc_4kym25tW1kKVr_TJz581Wg_9_7"/>
      <w:bookmarkStart w:id="1700" w:name="Tc_gOxTALKRkkGm8bCX1jh4cQ_9_4"/>
      <w:bookmarkStart w:id="1701" w:name="Tc_WF-6nBC51EWBXDjp7teEWA_9_2"/>
      <w:bookmarkStart w:id="1702" w:name="Tc_1ZUaMgKGTEmQfkrA2-CcBg_9_0"/>
      <w:bookmarkStart w:id="1703" w:name="Tc_vfck5F5cl0qkEd3YBOedsQ_8_0"/>
      <w:bookmarkStart w:id="1704" w:name="Tc_lVjhd-7pGkOqjB0DDmNSHA_7_7"/>
      <w:bookmarkStart w:id="1705" w:name="Tc_ihQ-g6sOgEKCY5JVpT-bhw_7_4"/>
      <w:bookmarkStart w:id="1706" w:name="Tc_ZTmZDF37a064RPIsri16WQ_7_2"/>
      <w:bookmarkStart w:id="1707" w:name="Tc_YZzufWtk0E6mUP2SIJBrNg_7_0"/>
      <w:bookmarkStart w:id="1708" w:name="Tc_KHmnruDZIUSNq3y-VHs0gg_6_7"/>
      <w:bookmarkStart w:id="1709" w:name="Tc_lfpOaSE5sUCfr8p5S25FPw_6_4"/>
      <w:bookmarkStart w:id="1710" w:name="Tc_BvM0vHv6hECL4TyojuGYsA_6_2"/>
      <w:bookmarkStart w:id="1711" w:name="Tc_YdlDAwLB2UidUhdwQsGZQg_5_7"/>
      <w:bookmarkStart w:id="1712" w:name="Tc_jefkpvwHR02iDVUtvcV7jg_5_4"/>
      <w:bookmarkStart w:id="1713" w:name="Tc_TziEE8znQkS8IHHsPDk6wQ_5_2"/>
      <w:bookmarkStart w:id="1714" w:name="Tc_MnqSUeAPz0C2EAjLRXRQVA_4_7"/>
      <w:bookmarkStart w:id="1715" w:name="Tc_GAWwKUsHgUq_z7Fj01MwzQ_4_4"/>
      <w:bookmarkStart w:id="1716" w:name="Tc__diQmjCHmkmhP2xXILsNxA_3_7"/>
      <w:bookmarkStart w:id="1717" w:name="Tc_K5vYq5ePQUChQo_-iClKqA_3_4"/>
      <w:bookmarkStart w:id="1718" w:name="Tc_KDCDyrInt0OJ_mzwe4v1Gw_2_7"/>
      <w:bookmarkStart w:id="1719" w:name="Tc_G0TOA-95Hk6AylNPbLKVXw_2_4"/>
      <w:bookmarkStart w:id="1720" w:name="Tc_IifzxXRzdU2jg9JKphPw1Q_1_7"/>
      <w:bookmarkStart w:id="1721" w:name="_2611f7ae_e847_40d4_8a53_744a42b3ca1d"/>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r>
        <w:rPr>
          <w:rFonts w:ascii="Times New Roman;Times;serif" w:hAnsi="Times New Roman;Times;serif"/>
          <w:i/>
          <w:sz w:val="20"/>
        </w:rPr>
        <w:t>Credit Risk-Related Contingent Features</w:t>
      </w:r>
      <w:r>
        <w:rPr>
          <w:rFonts w:ascii="Times New Roman;Times;serif" w:hAnsi="Times New Roman;Times;serif"/>
          <w:sz w:val="20"/>
        </w:rPr>
        <w:t xml:space="preserve">—The Company reports derivative instruments, if any, on a gross basis in its consolidated financial statements. The Company has agreements with each of its derivative counterparties that contain a provision whereby if the Company either defaults or is capable of being declared in default on any of its indebtedness, then the Company could also be declared in default on its derivative obligations. </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 xml:space="preserve">The table below presents the effect of the Company’s derivative financial instruments in the consolidated statements of operations and the consolidated statements of comprehensive income (loss) for the three and six months ended June 30, 2025 and 2024 ($ in thousands): </w:t>
      </w:r>
    </w:p>
    <w:tbl>
      <w:tblPr>
        <w:tblW w:w="9170" w:type="dxa"/>
        <w:jc w:val="left"/>
        <w:tblInd w:w="0" w:type="dxa"/>
        <w:tblLayout w:type="fixed"/>
        <w:tblCellMar>
          <w:top w:w="0" w:type="dxa"/>
          <w:left w:w="0" w:type="dxa"/>
          <w:bottom w:w="0" w:type="dxa"/>
          <w:right w:w="0" w:type="dxa"/>
        </w:tblCellMar>
      </w:tblPr>
      <w:tblGrid>
        <w:gridCol w:w="3631"/>
        <w:gridCol w:w="146"/>
        <w:gridCol w:w="1831"/>
        <w:gridCol w:w="326"/>
        <w:gridCol w:w="329"/>
        <w:gridCol w:w="1081"/>
        <w:gridCol w:w="326"/>
        <w:gridCol w:w="352"/>
        <w:gridCol w:w="1148"/>
      </w:tblGrid>
      <w:tr>
        <w:trPr/>
        <w:tc>
          <w:tcPr>
            <w:tcW w:w="36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92710" cy="175260"/>
                      <wp:effectExtent l="0" t="0" r="0" b="0"/>
                      <wp:wrapNone/>
                      <wp:docPr id="478" name="Frame47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1162685" cy="175260"/>
                      <wp:effectExtent l="0" t="0" r="0" b="0"/>
                      <wp:wrapNone/>
                      <wp:docPr id="479" name="Frame479"/>
                      <a:graphic xmlns:a="http://schemas.openxmlformats.org/drawingml/2006/main">
                        <a:graphicData uri="http://schemas.microsoft.com/office/word/2010/wordprocessingShape">
                          <wps:wsp>
                            <wps:cNvSpPr txBox="1"/>
                            <wps:spPr>
                              <a:xfrm>
                                <a:off x="0" y="0"/>
                                <a:ext cx="1162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07010" cy="175260"/>
                      <wp:effectExtent l="0" t="0" r="0" b="0"/>
                      <wp:wrapNone/>
                      <wp:docPr id="480" name="Frame4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08915" cy="175260"/>
                      <wp:effectExtent l="0" t="0" r="0" b="0"/>
                      <wp:wrapNone/>
                      <wp:docPr id="481" name="Frame481"/>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686435" cy="175260"/>
                      <wp:effectExtent l="0" t="0" r="0" b="0"/>
                      <wp:wrapNone/>
                      <wp:docPr id="482" name="Frame482"/>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07010" cy="175260"/>
                      <wp:effectExtent l="0" t="0" r="0" b="0"/>
                      <wp:wrapNone/>
                      <wp:docPr id="483" name="Frame4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23520" cy="175260"/>
                      <wp:effectExtent l="0" t="0" r="0" b="0"/>
                      <wp:wrapNone/>
                      <wp:docPr id="484" name="Frame484"/>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728980" cy="175260"/>
                      <wp:effectExtent l="0" t="0" r="0" b="0"/>
                      <wp:wrapNone/>
                      <wp:docPr id="485" name="Frame485"/>
                      <a:graphic xmlns:a="http://schemas.openxmlformats.org/drawingml/2006/main">
                        <a:graphicData uri="http://schemas.microsoft.com/office/word/2010/wordprocessingShape">
                          <wps:wsp>
                            <wps:cNvSpPr txBox="1"/>
                            <wps:spPr>
                              <a:xfrm>
                                <a:off x="0" y="0"/>
                                <a:ext cx="728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3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8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329"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of Gain</w:t>
            </w:r>
          </w:p>
        </w:tc>
      </w:tr>
      <w:tr>
        <w:trPr/>
        <w:tc>
          <w:tcPr>
            <w:tcW w:w="36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8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4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of Gain</w:t>
            </w:r>
          </w:p>
        </w:tc>
        <w:tc>
          <w:tcPr>
            <w:tcW w:w="326" w:type="dxa"/>
            <w:tcBorders/>
            <w:vAlign w:val="center"/>
          </w:tcPr>
          <w:p>
            <w:pPr>
              <w:pStyle w:val="TableContents"/>
              <w:bidi w:val="0"/>
              <w:spacing w:before="0" w:after="0"/>
              <w:ind w:left="0" w:right="0" w:hanging="0"/>
              <w:jc w:val="center"/>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 Reclassified</w:t>
            </w:r>
          </w:p>
        </w:tc>
      </w:tr>
      <w:tr>
        <w:trPr/>
        <w:tc>
          <w:tcPr>
            <w:tcW w:w="36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8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4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 Recognized</w:t>
            </w:r>
          </w:p>
        </w:tc>
        <w:tc>
          <w:tcPr>
            <w:tcW w:w="326" w:type="dxa"/>
            <w:tcBorders/>
            <w:vAlign w:val="center"/>
          </w:tcPr>
          <w:p>
            <w:pPr>
              <w:pStyle w:val="TableContents"/>
              <w:bidi w:val="0"/>
              <w:spacing w:before="0" w:after="0"/>
              <w:ind w:left="0" w:right="0" w:hanging="0"/>
              <w:jc w:val="center"/>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from Accumulated</w:t>
            </w:r>
          </w:p>
        </w:tc>
      </w:tr>
      <w:tr>
        <w:trPr/>
        <w:tc>
          <w:tcPr>
            <w:tcW w:w="36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8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4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Accumulated</w:t>
            </w:r>
          </w:p>
        </w:tc>
        <w:tc>
          <w:tcPr>
            <w:tcW w:w="326" w:type="dxa"/>
            <w:tcBorders/>
            <w:vAlign w:val="center"/>
          </w:tcPr>
          <w:p>
            <w:pPr>
              <w:pStyle w:val="TableContents"/>
              <w:bidi w:val="0"/>
              <w:spacing w:before="0" w:after="0"/>
              <w:ind w:left="0" w:right="0" w:hanging="0"/>
              <w:jc w:val="center"/>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r>
      <w:tr>
        <w:trPr/>
        <w:tc>
          <w:tcPr>
            <w:tcW w:w="36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8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Location of Gain (Loss)</w:t>
            </w:r>
          </w:p>
        </w:tc>
        <w:tc>
          <w:tcPr>
            <w:tcW w:w="326" w:type="dxa"/>
            <w:tcBorders/>
            <w:vAlign w:val="center"/>
          </w:tcPr>
          <w:p>
            <w:pPr>
              <w:pStyle w:val="TableContents"/>
              <w:bidi w:val="0"/>
              <w:spacing w:before="0" w:after="0"/>
              <w:ind w:left="0" w:right="0" w:hanging="0"/>
              <w:jc w:val="center"/>
              <w:rPr/>
            </w:pPr>
            <w:r>
              <w:rPr/>
              <w:t>​</w:t>
            </w:r>
          </w:p>
        </w:tc>
        <w:tc>
          <w:tcPr>
            <w:tcW w:w="14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center"/>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r>
      <w:tr>
        <w:trPr/>
        <w:tc>
          <w:tcPr>
            <w:tcW w:w="36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8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When Recognized in</w:t>
            </w:r>
          </w:p>
        </w:tc>
        <w:tc>
          <w:tcPr>
            <w:tcW w:w="326" w:type="dxa"/>
            <w:tcBorders/>
            <w:vAlign w:val="center"/>
          </w:tcPr>
          <w:p>
            <w:pPr>
              <w:pStyle w:val="TableContents"/>
              <w:bidi w:val="0"/>
              <w:spacing w:before="0" w:after="0"/>
              <w:ind w:left="0" w:right="0" w:hanging="0"/>
              <w:jc w:val="center"/>
              <w:rPr/>
            </w:pPr>
            <w:r>
              <w:rPr/>
              <w:t>​</w:t>
            </w:r>
          </w:p>
        </w:tc>
        <w:tc>
          <w:tcPr>
            <w:tcW w:w="14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center"/>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into</w:t>
            </w:r>
          </w:p>
        </w:tc>
      </w:tr>
      <w:tr>
        <w:trPr/>
        <w:tc>
          <w:tcPr>
            <w:tcW w:w="36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Derivatives Designated in Hedging Relationships</w:t>
            </w:r>
          </w:p>
        </w:tc>
        <w:tc>
          <w:tcPr>
            <w:tcW w:w="146" w:type="dxa"/>
            <w:tcBorders/>
            <w:vAlign w:val="center"/>
          </w:tcPr>
          <w:p>
            <w:pPr>
              <w:pStyle w:val="TableContents"/>
              <w:bidi w:val="0"/>
              <w:spacing w:before="0" w:after="0"/>
              <w:ind w:left="0" w:right="0" w:hanging="0"/>
              <w:jc w:val="center"/>
              <w:rPr/>
            </w:pPr>
            <w:r>
              <w:rPr/>
              <w:t>​</w:t>
            </w:r>
          </w:p>
        </w:tc>
        <w:tc>
          <w:tcPr>
            <w:tcW w:w="18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26" w:type="dxa"/>
            <w:tcBorders/>
            <w:vAlign w:val="center"/>
          </w:tcPr>
          <w:p>
            <w:pPr>
              <w:pStyle w:val="TableContents"/>
              <w:bidi w:val="0"/>
              <w:spacing w:before="0" w:after="0"/>
              <w:ind w:left="0" w:right="0" w:hanging="0"/>
              <w:jc w:val="center"/>
              <w:rPr/>
            </w:pPr>
            <w:r>
              <w:rPr/>
              <w:t>    </w:t>
            </w:r>
          </w:p>
        </w:tc>
        <w:tc>
          <w:tcPr>
            <w:tcW w:w="14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26" w:type="dxa"/>
            <w:tcBorders/>
            <w:vAlign w:val="center"/>
          </w:tcPr>
          <w:p>
            <w:pPr>
              <w:pStyle w:val="TableContents"/>
              <w:bidi w:val="0"/>
              <w:spacing w:before="0" w:after="0"/>
              <w:ind w:left="0" w:right="0" w:hanging="0"/>
              <w:jc w:val="center"/>
              <w:rPr/>
            </w:pPr>
            <w:r>
              <w:rPr/>
              <w:t>    </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For the Three Months Ended June 30, 2025</w:t>
            </w:r>
          </w:p>
        </w:tc>
        <w:tc>
          <w:tcPr>
            <w:tcW w:w="146" w:type="dxa"/>
            <w:tcBorders/>
            <w:shd w:fill="CCEEFF" w:val="clear"/>
            <w:vAlign w:val="center"/>
          </w:tcPr>
          <w:p>
            <w:pPr>
              <w:pStyle w:val="TableContents"/>
              <w:bidi w:val="0"/>
              <w:spacing w:before="0" w:after="0"/>
              <w:ind w:left="0" w:right="0" w:hanging="0"/>
              <w:jc w:val="left"/>
              <w:rPr/>
            </w:pPr>
            <w:r>
              <w:rPr/>
              <w:t> </w:t>
            </w:r>
          </w:p>
        </w:tc>
        <w:tc>
          <w:tcPr>
            <w:tcW w:w="18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29"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52" w:type="dxa"/>
            <w:tcBorders/>
            <w:shd w:fill="CCEEFF" w:val="clear"/>
            <w:vAlign w:val="center"/>
          </w:tcPr>
          <w:p>
            <w:pPr>
              <w:pStyle w:val="TableContents"/>
              <w:bidi w:val="0"/>
              <w:spacing w:before="0" w:after="0"/>
              <w:ind w:left="0" w:right="0" w:hanging="0"/>
              <w:jc w:val="left"/>
              <w:rPr/>
            </w:pPr>
            <w:r>
              <w:rPr/>
              <w:t>​</w:t>
            </w:r>
          </w:p>
        </w:tc>
        <w:tc>
          <w:tcPr>
            <w:tcW w:w="1148" w:type="dxa"/>
            <w:tcBorders/>
            <w:shd w:fill="CCEEFF" w:val="clear"/>
            <w:vAlign w:val="center"/>
          </w:tcPr>
          <w:p>
            <w:pPr>
              <w:pStyle w:val="TableContents"/>
              <w:bidi w:val="0"/>
              <w:spacing w:before="0" w:after="0"/>
              <w:ind w:left="0" w:right="0" w:hanging="0"/>
              <w:jc w:val="right"/>
              <w:rPr/>
            </w:pPr>
            <w:r>
              <w:rPr/>
              <w:t>  </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rate swaps</w:t>
            </w:r>
          </w:p>
        </w:tc>
        <w:tc>
          <w:tcPr>
            <w:tcW w:w="146" w:type="dxa"/>
            <w:tcBorders/>
            <w:vAlign w:val="center"/>
          </w:tcPr>
          <w:p>
            <w:pPr>
              <w:pStyle w:val="TableContents"/>
              <w:bidi w:val="0"/>
              <w:spacing w:before="0" w:after="0"/>
              <w:ind w:left="0" w:right="0" w:hanging="0"/>
              <w:jc w:val="left"/>
              <w:rPr/>
            </w:pPr>
            <w:r>
              <w:rPr/>
              <w:t> </w:t>
            </w:r>
          </w:p>
        </w:tc>
        <w:tc>
          <w:tcPr>
            <w:tcW w:w="1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6,900</w:t>
            </w:r>
          </w:p>
        </w:tc>
        <w:tc>
          <w:tcPr>
            <w:tcW w:w="32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For the Three Months Ended June 30, 2024</w:t>
            </w:r>
          </w:p>
        </w:tc>
        <w:tc>
          <w:tcPr>
            <w:tcW w:w="146" w:type="dxa"/>
            <w:tcBorders/>
            <w:shd w:fill="CCEEFF" w:val="clear"/>
            <w:vAlign w:val="center"/>
          </w:tcPr>
          <w:p>
            <w:pPr>
              <w:pStyle w:val="TableContents"/>
              <w:bidi w:val="0"/>
              <w:spacing w:before="0" w:after="0"/>
              <w:ind w:left="0" w:right="0" w:hanging="0"/>
              <w:jc w:val="left"/>
              <w:rPr/>
            </w:pPr>
            <w:r>
              <w:rPr/>
              <w:t>​</w:t>
            </w:r>
          </w:p>
        </w:tc>
        <w:tc>
          <w:tcPr>
            <w:tcW w:w="18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29" w:type="dxa"/>
            <w:tcBorders/>
            <w:shd w:fill="CCEEFF" w:val="clear"/>
            <w:vAlign w:val="center"/>
          </w:tcPr>
          <w:p>
            <w:pPr>
              <w:pStyle w:val="TableContents"/>
              <w:bidi w:val="0"/>
              <w:spacing w:before="0" w:after="0"/>
              <w:ind w:left="0" w:right="0" w:hanging="0"/>
              <w:jc w:val="right"/>
              <w:rPr/>
            </w:pPr>
            <w:r>
              <w:rPr/>
              <w:t>​</w:t>
            </w:r>
          </w:p>
        </w:tc>
        <w:tc>
          <w:tcPr>
            <w:tcW w:w="10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52" w:type="dxa"/>
            <w:tcBorders/>
            <w:shd w:fill="CCEEFF" w:val="clear"/>
            <w:vAlign w:val="center"/>
          </w:tcPr>
          <w:p>
            <w:pPr>
              <w:pStyle w:val="TableContents"/>
              <w:bidi w:val="0"/>
              <w:spacing w:before="0" w:after="0"/>
              <w:ind w:left="0" w:right="0" w:hanging="0"/>
              <w:jc w:val="right"/>
              <w:rPr/>
            </w:pPr>
            <w:r>
              <w:rPr/>
              <w:t>​</w:t>
            </w:r>
          </w:p>
        </w:tc>
        <w:tc>
          <w:tcPr>
            <w:tcW w:w="1148" w:type="dxa"/>
            <w:tcBorders/>
            <w:shd w:fill="CCEEFF" w:val="clear"/>
            <w:vAlign w:val="center"/>
          </w:tcPr>
          <w:p>
            <w:pPr>
              <w:pStyle w:val="TableContents"/>
              <w:bidi w:val="0"/>
              <w:spacing w:before="0" w:after="0"/>
              <w:ind w:left="0" w:right="0" w:hanging="0"/>
              <w:jc w:val="right"/>
              <w:rPr/>
            </w:pPr>
            <w:r>
              <w:rPr/>
              <w:t>  </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rate swaps</w:t>
            </w:r>
          </w:p>
        </w:tc>
        <w:tc>
          <w:tcPr>
            <w:tcW w:w="146" w:type="dxa"/>
            <w:tcBorders/>
            <w:vAlign w:val="center"/>
          </w:tcPr>
          <w:p>
            <w:pPr>
              <w:pStyle w:val="TableContents"/>
              <w:bidi w:val="0"/>
              <w:spacing w:before="0" w:after="0"/>
              <w:ind w:left="0" w:right="0" w:hanging="0"/>
              <w:jc w:val="left"/>
              <w:rPr/>
            </w:pPr>
            <w:r>
              <w:rPr/>
              <w:t> </w:t>
            </w:r>
          </w:p>
        </w:tc>
        <w:tc>
          <w:tcPr>
            <w:tcW w:w="1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13,469</w:t>
            </w:r>
          </w:p>
        </w:tc>
        <w:tc>
          <w:tcPr>
            <w:tcW w:w="32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1,688</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For the Six Months Ended June 30, 2025</w:t>
            </w:r>
          </w:p>
        </w:tc>
        <w:tc>
          <w:tcPr>
            <w:tcW w:w="146" w:type="dxa"/>
            <w:tcBorders/>
            <w:shd w:fill="CCEEFF" w:val="clear"/>
            <w:vAlign w:val="center"/>
          </w:tcPr>
          <w:p>
            <w:pPr>
              <w:pStyle w:val="TableContents"/>
              <w:bidi w:val="0"/>
              <w:spacing w:before="0" w:after="0"/>
              <w:ind w:left="0" w:right="0" w:hanging="0"/>
              <w:jc w:val="left"/>
              <w:rPr/>
            </w:pPr>
            <w:r>
              <w:rPr/>
              <w:t>​</w:t>
            </w:r>
          </w:p>
        </w:tc>
        <w:tc>
          <w:tcPr>
            <w:tcW w:w="18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29"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52" w:type="dxa"/>
            <w:tcBorders/>
            <w:shd w:fill="CCEEFF" w:val="clear"/>
            <w:vAlign w:val="center"/>
          </w:tcPr>
          <w:p>
            <w:pPr>
              <w:pStyle w:val="TableContents"/>
              <w:bidi w:val="0"/>
              <w:spacing w:before="0" w:after="0"/>
              <w:ind w:left="0" w:right="0" w:hanging="0"/>
              <w:jc w:val="left"/>
              <w:rPr/>
            </w:pPr>
            <w:r>
              <w:rPr/>
              <w:t>​</w:t>
            </w:r>
          </w:p>
        </w:tc>
        <w:tc>
          <w:tcPr>
            <w:tcW w:w="1148" w:type="dxa"/>
            <w:tcBorders/>
            <w:shd w:fill="CCEEFF" w:val="clear"/>
            <w:vAlign w:val="center"/>
          </w:tcPr>
          <w:p>
            <w:pPr>
              <w:pStyle w:val="TableContents"/>
              <w:bidi w:val="0"/>
              <w:spacing w:before="0" w:after="0"/>
              <w:ind w:left="0" w:right="0" w:hanging="0"/>
              <w:jc w:val="right"/>
              <w:rPr/>
            </w:pPr>
            <w:r>
              <w:rPr/>
              <w:t>  </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rate swaps</w:t>
            </w:r>
          </w:p>
        </w:tc>
        <w:tc>
          <w:tcPr>
            <w:tcW w:w="146" w:type="dxa"/>
            <w:tcBorders/>
            <w:vAlign w:val="center"/>
          </w:tcPr>
          <w:p>
            <w:pPr>
              <w:pStyle w:val="TableContents"/>
              <w:bidi w:val="0"/>
              <w:spacing w:before="0" w:after="0"/>
              <w:ind w:left="0" w:right="0" w:hanging="0"/>
              <w:jc w:val="left"/>
              <w:rPr/>
            </w:pPr>
            <w:r>
              <w:rPr/>
              <w:t> </w:t>
            </w:r>
          </w:p>
        </w:tc>
        <w:tc>
          <w:tcPr>
            <w:tcW w:w="1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(6,213)</w:t>
            </w:r>
          </w:p>
        </w:tc>
        <w:tc>
          <w:tcPr>
            <w:tcW w:w="32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For the Six Months Ended June 30, 2024</w:t>
            </w:r>
          </w:p>
        </w:tc>
        <w:tc>
          <w:tcPr>
            <w:tcW w:w="146" w:type="dxa"/>
            <w:tcBorders/>
            <w:shd w:fill="CCEEFF" w:val="clear"/>
            <w:vAlign w:val="center"/>
          </w:tcPr>
          <w:p>
            <w:pPr>
              <w:pStyle w:val="TableContents"/>
              <w:bidi w:val="0"/>
              <w:spacing w:before="0" w:after="0"/>
              <w:ind w:left="0" w:right="0" w:hanging="0"/>
              <w:jc w:val="left"/>
              <w:rPr/>
            </w:pPr>
            <w:r>
              <w:rPr/>
              <w:t>​</w:t>
            </w:r>
          </w:p>
        </w:tc>
        <w:tc>
          <w:tcPr>
            <w:tcW w:w="18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29" w:type="dxa"/>
            <w:tcBorders/>
            <w:shd w:fill="CCEEFF" w:val="clear"/>
            <w:vAlign w:val="center"/>
          </w:tcPr>
          <w:p>
            <w:pPr>
              <w:pStyle w:val="TableContents"/>
              <w:bidi w:val="0"/>
              <w:spacing w:before="0" w:after="0"/>
              <w:ind w:left="0" w:right="0" w:hanging="0"/>
              <w:jc w:val="right"/>
              <w:rPr/>
            </w:pPr>
            <w:r>
              <w:rPr/>
              <w:t>​</w:t>
            </w:r>
          </w:p>
        </w:tc>
        <w:tc>
          <w:tcPr>
            <w:tcW w:w="10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52" w:type="dxa"/>
            <w:tcBorders/>
            <w:shd w:fill="CCEEFF" w:val="clear"/>
            <w:vAlign w:val="center"/>
          </w:tcPr>
          <w:p>
            <w:pPr>
              <w:pStyle w:val="TableContents"/>
              <w:bidi w:val="0"/>
              <w:spacing w:before="0" w:after="0"/>
              <w:ind w:left="0" w:right="0" w:hanging="0"/>
              <w:jc w:val="right"/>
              <w:rPr/>
            </w:pPr>
            <w:r>
              <w:rPr/>
              <w:t>​</w:t>
            </w:r>
          </w:p>
        </w:tc>
        <w:tc>
          <w:tcPr>
            <w:tcW w:w="1148" w:type="dxa"/>
            <w:tcBorders/>
            <w:shd w:fill="CCEEFF" w:val="clear"/>
            <w:vAlign w:val="center"/>
          </w:tcPr>
          <w:p>
            <w:pPr>
              <w:pStyle w:val="TableContents"/>
              <w:bidi w:val="0"/>
              <w:spacing w:before="0" w:after="0"/>
              <w:ind w:left="0" w:right="0" w:hanging="0"/>
              <w:jc w:val="right"/>
              <w:rPr/>
            </w:pPr>
            <w:r>
              <w:rPr/>
              <w:t>  </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rate swaps</w:t>
            </w:r>
          </w:p>
        </w:tc>
        <w:tc>
          <w:tcPr>
            <w:tcW w:w="146" w:type="dxa"/>
            <w:tcBorders/>
            <w:vAlign w:val="center"/>
          </w:tcPr>
          <w:p>
            <w:pPr>
              <w:pStyle w:val="TableContents"/>
              <w:bidi w:val="0"/>
              <w:spacing w:before="0" w:after="0"/>
              <w:ind w:left="0" w:right="0" w:hanging="0"/>
              <w:jc w:val="left"/>
              <w:rPr/>
            </w:pPr>
            <w:r>
              <w:rPr/>
              <w:t> </w:t>
            </w:r>
          </w:p>
        </w:tc>
        <w:tc>
          <w:tcPr>
            <w:tcW w:w="1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42,878</w:t>
            </w:r>
          </w:p>
        </w:tc>
        <w:tc>
          <w:tcPr>
            <w:tcW w:w="32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8"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3,302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13—Equity</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Common Stock</w:t>
      </w:r>
      <w:r>
        <w:rPr>
          <w:rFonts w:ascii="Times New Roman;Times;serif" w:hAnsi="Times New Roman;Times;serif"/>
          <w:sz w:val="20"/>
        </w:rPr>
        <w:t>—As of June 30, 2025, the Company has one class of common stock outstanding.</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April 2023, the Company and Portfolio Holdings entered into an ATM Equity Offering Sales Agreement (the “Primary Sales Agreement”) with the sales agents named therein pursuant to which the Company may sell, from time to time, shares of its common stock having an aggregate gross sales price of up to $300.0 million (the “Primary Shares”) through or to the sales agents. The Company may sell the Primary Shares in amounts and at times to be determined by the Company from time to time but has no obligation to sell any of the Primary Shares. Actual sales, if any, will depend on a variety of factors to be determined by the Company from time to time, including, among other things, market conditions, the trading price of the Company’s common stock, capital needs and determinations by the Company of the appropriate sources of its funding. Through June 30, 2025, the Company has not sold any shares of its common stock through the Primary Sales Agreement.</w:t>
      </w:r>
    </w:p>
    <w:p>
      <w:pPr>
        <w:pStyle w:val="TextBody"/>
        <w:shd w:fill="FFFFFF" w:val="clear"/>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February 4, 2025, the Company’s board of directors authorized the repurchase of up to $50.0 million of the Company’s common stock. The Company has </w:t>
      </w:r>
      <w:r>
        <w:rPr>
          <w:rFonts w:ascii="Times New Roman;Times;serif" w:hAnsi="Times New Roman;Times;serif"/>
          <w:sz w:val="20"/>
          <w:shd w:fill="FFFFFF" w:val="clear"/>
        </w:rPr>
        <w:t xml:space="preserve">no obligation to repurchase additional shares, and the timing, actual number and value of the shares that are repurchased, if any, will be at the discretion of management and will depend on a number of factors, including market conditions, the cost of repurchasing shares, the availability of alternative investment opportunities, liquidity, and other factors deemed appropriate. Repurchases may be suspended, terminated or modified at any time for any reason. </w:t>
      </w:r>
      <w:r>
        <w:rPr>
          <w:rFonts w:ascii="Times New Roman;Times;serif" w:hAnsi="Times New Roman;Times;serif"/>
          <w:sz w:val="20"/>
        </w:rPr>
        <w:t xml:space="preserve">The share repurchase program does not have an expiration date. </w:t>
      </w:r>
      <w:r>
        <w:rPr>
          <w:rFonts w:ascii="Times New Roman;Times;serif" w:hAnsi="Times New Roman;Times;serif"/>
          <w:sz w:val="20"/>
          <w:shd w:fill="FFFFFF" w:val="clear"/>
        </w:rPr>
        <w:t>Any repurchased shares will be returned to the status of authorized but unissued shares of common stock. As of June 30, 2025, the Company had not repurchased any of its outstanding common stock.</w:t>
      </w:r>
    </w:p>
    <w:p>
      <w:pPr>
        <w:pStyle w:val="TextBody"/>
        <w:shd w:fill="FFFFFF" w:val="clear"/>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Equity Plans</w:t>
      </w:r>
      <w:r>
        <w:rPr>
          <w:rFonts w:ascii="Times New Roman;Times;serif" w:hAnsi="Times New Roman;Times;serif"/>
          <w:sz w:val="20"/>
        </w:rPr>
        <w:t>—</w:t>
      </w:r>
      <w:r>
        <w:rPr>
          <w:rFonts w:ascii="Times New Roman;Times;serif" w:hAnsi="Times New Roman;Times;serif"/>
          <w:sz w:val="20"/>
          <w:shd w:fill="FFFFFF" w:val="clear"/>
        </w:rPr>
        <w:t xml:space="preserve">The Company has a Long-Term Incentive Program (the “LTIP”), originally adopted by iStar’s board of directors and approved by iStar’s stockholders in 2021, designed to provide incentive compensation for officers,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key employees, directors and advisors of the Company. The LTIP provides for awards of stock options, shares of restricted stock, phantom shares, restricted stock units, dividend equivalent rights and other share-based performance awards. All awards under the LTIP are made at the discretion of the Company’s Board of Directors. </w:t>
      </w:r>
      <w:r>
        <w:rPr>
          <w:rFonts w:ascii="Times New Roman;Times;serif" w:hAnsi="Times New Roman;Times;serif"/>
          <w:sz w:val="20"/>
        </w:rPr>
        <w:t>Grants under the LTIP are recognized as compensation costs ratably over the applicable vesting period and recorded in “General and administrative” in the Company’s consolidated statements of operations. In May 2025, the Company issued an aggregate 39,911 shares of its common stock with a grant date fair value of $15.34 per share to its directors that vest after one year in consideration for their annual service as directors. As of June 30, 2025, an aggregate of 766,184 shares of the Company’s common stock remains available for issuance under the LTIP. As of June 30, 2025, there was $6.2 million of total unrecognized compensation cost related to all unvested restricted stock units that is expected to be recognized over a weighted average remaining vesting/service period of 1.6 years</w:t>
      </w:r>
      <w:r>
        <w:rPr>
          <w:rFonts w:ascii="Times New Roman;Times;serif" w:hAnsi="Times New Roman;Times;serif"/>
          <w:sz w:val="20"/>
          <w:shd w:fill="FFFFFF" w:val="clea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shd w:fill="FFFFFF" w:val="clear"/>
        </w:rPr>
        <w:t>Caret Performance Incentive Plan</w:t>
      </w:r>
      <w:r>
        <w:rPr>
          <w:rFonts w:ascii="Times New Roman;Times;serif" w:hAnsi="Times New Roman;Times;serif"/>
          <w:sz w:val="20"/>
        </w:rPr>
        <w:t>—</w:t>
      </w:r>
      <w:r>
        <w:rPr>
          <w:rFonts w:ascii="Times New Roman;Times;serif" w:hAnsi="Times New Roman;Times;serif"/>
          <w:sz w:val="20"/>
          <w:shd w:fill="FFFFFF" w:val="clear"/>
        </w:rPr>
        <w:t>The Company has a Caret performance incentive plan pursuant to which Caret units of Portfolio Holdings are reserved for grants of performance-based awards to participants, including certain officers, key employees, directors and service providers (the “Caret Performance Incentive Plan”). As of June 30, 2025, all outstanding Caret units awarded under the Caret Performance Incentive Plan are fully vested except for</w:t>
      </w:r>
      <w:r>
        <w:rPr>
          <w:rFonts w:ascii="Times New Roman;Times;serif" w:hAnsi="Times New Roman;Times;serif"/>
          <w:sz w:val="20"/>
        </w:rPr>
        <w:t xml:space="preserve"> grants awarded in connection with the Merger to executive officers and other employees, which are subject to cliff vesting </w:t>
      </w:r>
      <w:r>
        <w:rPr>
          <w:rFonts w:ascii="Times New Roman;Times;serif" w:hAnsi="Times New Roman;Times;serif"/>
          <w:sz w:val="20"/>
          <w:shd w:fill="FFFFFF" w:val="clear"/>
        </w:rPr>
        <w:t>on March 31, 2027 if the Company’s common stock has traded at an average per share price of $60.00 or more for at least 30 consecutive trading days since the grant date, and certain awards granted to a former employee that vest in December 2025, subject to certain conditions. As of June 30, 2025, there was $2.5 million of total unrecognized compensation cost related to all unvested Caret units that is expected to be recognized over a remaining vesting/service period of 1.75 years.</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As of June 30, 2025, Caret Performance Incentive Plan participants held 1,371,129 Caret units, representing 14.4% of the outstanding Caret units and 11.4% of the authorized Caret units, and 128,871 Caret units remain available for issuance under the Caret Performance Incentive Plan.</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During the three months ended June 30, 2025 and 2024, the Company recognized $0.3 million and ($0.3) million, respectively, of expense from Caret units, which is recorded in “General and administrative” in the Company’s consolidated statements of operations and “Noncontrolling interests” on the Company’s consolidated balance sheets. During the six months ended June 30, 2025 and 2024, the Company recognized $0.7 million and $0.2 million, respectively, of expense from Caret units, which is recorded in “General and administrative” in the Company’s consolidated statements of operations and “Noncontrolling interests” on the Company’s consolidated balance sheets.  </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401(K) Plan</w:t>
      </w:r>
      <w:r>
        <w:rPr>
          <w:rFonts w:ascii="Times New Roman;Times;serif" w:hAnsi="Times New Roman;Times;serif"/>
          <w:sz w:val="20"/>
        </w:rPr>
        <w:t>—The Company has a savings and retirement plan (the "401(k) Plan"), which is a voluntary, defined contribution plan. All employees are eligible to participate in the 401(k) Plan following completion of three months of continuous service with the Company. Each participant may contribute on a pretax basis up to the maximum percentage of compensation and dollar amount permissible under Section 402(g) of the Internal Revenue Code not to exceed the limits of Code Sections 401(k), 404 and 415. At the discretion of the Company’s Board of Directors, the Company may make matching contributions on the participant’s behalf of up to 50% of the participant’s contributions, up to a maximum of 10% of the participants’ compensation. The Company made gross contributions of $0.5 million and $0.5 million, respectively, for the six months ended June 30, 2025 and 2024.</w:t>
      </w:r>
    </w:p>
    <w:p>
      <w:pPr>
        <w:pStyle w:val="TextBody"/>
        <w:shd w:fill="FFFFFF" w:val="clear"/>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Accumulated Other Comprehensive Income (Loss)</w:t>
      </w:r>
      <w:r>
        <w:rPr>
          <w:rFonts w:ascii="Times New Roman;Times;serif" w:hAnsi="Times New Roman;Times;serif"/>
          <w:sz w:val="20"/>
        </w:rPr>
        <w:t>—Accumulated other comprehensive income (loss) consists of net unrealized gains (losses) on the Company’s derivative transactions.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Noncontrolling Interests</w:t>
      </w:r>
      <w:r>
        <w:rPr>
          <w:rFonts w:ascii="Times New Roman;Times;serif" w:hAnsi="Times New Roman;Times;serif"/>
          <w:sz w:val="20"/>
        </w:rPr>
        <w:t>—Noncontrolling interests includes unrelated third-party equity interests in ventures that are consolidated in the Company’s consolidated financial statements and Caret units that have been sold to third-parties or have been granted to employees or former employees. See also “</w:t>
      </w:r>
      <w:r>
        <w:rPr>
          <w:rFonts w:ascii="Times New Roman;Times;serif" w:hAnsi="Times New Roman;Times;serif"/>
          <w:i/>
          <w:sz w:val="20"/>
        </w:rPr>
        <w:t xml:space="preserve">Redeemable Noncontrolling Interests” </w:t>
      </w:r>
      <w:r>
        <w:rPr>
          <w:rFonts w:ascii="Times New Roman;Times;serif" w:hAnsi="Times New Roman;Times;serif"/>
          <w:sz w:val="20"/>
        </w:rPr>
        <w:t>in Note 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Dividends</w:t>
      </w:r>
      <w:r>
        <w:rPr>
          <w:rFonts w:ascii="Times New Roman;Times;serif" w:hAnsi="Times New Roman;Times;serif"/>
          <w:sz w:val="20"/>
        </w:rPr>
        <w:t>—The Company (then known as iStar) elected to be taxed as a REIT beginning with its taxable year ended December 31, 1998. To qualify as a REIT, the Company must annually distribute, at a minimum, an amount equal to 90% of its taxable income, excluding net capital gains, and must distribute 100% of its taxable income (including net capital gains) to eliminate corporate federal income taxes payable by the REIT.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 During the six months ended June 30, 2025 and 2024, the Company declared cash dividends on its common stock of $25.6 million, or $0.354 per share, and $25.4 million, or $0.354 per share, respectively.</w:t>
      </w:r>
    </w:p>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722" w:name="Tc_cDJFUZu3TkOZkoKGtRQ4jQ_16_11"/>
      <w:bookmarkStart w:id="1723" w:name="Tc_HLDW0y1WiEuK5Ac45Jqv9A_16_8"/>
      <w:bookmarkStart w:id="1724" w:name="Tc_m88lvJoW3E6SwgStB3J6YA_16_5"/>
      <w:bookmarkStart w:id="1725" w:name="Tc_MP6J_8sxI0eVAUUi6LkcxA_16_2"/>
      <w:bookmarkStart w:id="1726" w:name="Tc_hpAOBZI0dUWasygtkV923A_16_0"/>
      <w:bookmarkStart w:id="1727" w:name="Tc_v9Ut7XSG-E2uAz-doPd5Fg_15_11"/>
      <w:bookmarkStart w:id="1728" w:name="Tc_QXsNYwB7fkaYv4_Ta9rmpQ_15_8"/>
      <w:bookmarkStart w:id="1729" w:name="Tc_GI_6FqUt6kWXVwcSMq8o7g_15_5"/>
      <w:bookmarkStart w:id="1730" w:name="Tc_6zpuiYdhlUO1ZaBNQp5ZgQ_15_2"/>
      <w:bookmarkStart w:id="1731" w:name="Tc_S1vHPCdy_UWY6mPyEMBiCA_15_0"/>
      <w:bookmarkStart w:id="1732" w:name="Tc__ePOZzsMZk-gnm3XXUqhhQ_14_0"/>
      <w:bookmarkStart w:id="1733" w:name="Tc_QgwVOlQbc0GCKT0288SQqA_12_0"/>
      <w:bookmarkStart w:id="1734" w:name="Tc_xJ8YebFltEqbeJYrOMTHYA_11_0"/>
      <w:bookmarkStart w:id="1735" w:name="Tc_aBWKJGvCp0eLpHxLdnvy-Q_10_0"/>
      <w:bookmarkStart w:id="1736" w:name="Tc_qs6Ct9Er7EKiVWtGWGtF2w_9_0"/>
      <w:bookmarkStart w:id="1737" w:name="Tc_D87vaggE2UC6-_RouJNH8A_7_11"/>
      <w:bookmarkStart w:id="1738" w:name="Tc_19MHzyMTTUS4bbOYJNpwLA_7_8"/>
      <w:bookmarkStart w:id="1739" w:name="Tc_4WxpTlbM-0aV4ic9ZEZM3Q_7_5"/>
      <w:bookmarkStart w:id="1740" w:name="Tc_Il-KEWiQekuhhFxAxTv1oA_7_2"/>
      <w:bookmarkStart w:id="1741" w:name="Tc_t_DwvDRdtUuE_d8ZXpsMpA_7_0"/>
      <w:bookmarkStart w:id="1742" w:name="Tc_y3r9wtvMDEmFFq3ej_Og5A_6_11"/>
      <w:bookmarkStart w:id="1743" w:name="Tc_wBl6chfHl0WtHJMbMJQaWQ_6_8"/>
      <w:bookmarkStart w:id="1744" w:name="Tc_U-cqEvtC3USJ4G37AMIDOg_6_5"/>
      <w:bookmarkStart w:id="1745" w:name="Tc_U051xRE7LUuvvIdrTF4L0w_6_2"/>
      <w:bookmarkStart w:id="1746" w:name="Tc_aaoL-x_nlUaqQBqrx4iqVw_6_0"/>
      <w:bookmarkStart w:id="1747" w:name="Tc_Z6yrynwW-0i374K9S2v52A_5_0"/>
      <w:bookmarkStart w:id="1748" w:name="Tc_xmeFk9M6pEmn7b3CO7WUng_4_0"/>
      <w:bookmarkStart w:id="1749" w:name="Tc__dN_x_jWKkyp6a2fTrVtng_3_11"/>
      <w:bookmarkStart w:id="1750" w:name="Tc_otAaVfzbA0qL9a1eTIBMSQ_3_8"/>
      <w:bookmarkStart w:id="1751" w:name="Tc_RPIfXVJnM0OYE9pPr_VqVA_3_5"/>
      <w:bookmarkStart w:id="1752" w:name="Tc_cAgb2exOYke36LrAXixxkg_3_2"/>
      <w:bookmarkStart w:id="1753" w:name="Tc_q7STAVYE5EyQVdPA08TJsA_2_8"/>
      <w:bookmarkStart w:id="1754" w:name="Tc_t_iNeM14602tH-MaoXPo4w_2_2"/>
      <w:bookmarkStart w:id="1755" w:name="Tc_ilMrshgJQUiuV-QmWWZflg_1_8"/>
      <w:bookmarkStart w:id="1756" w:name="Tc_aS-BMbopQ0GnmUBU5pdakw_1_2"/>
      <w:bookmarkStart w:id="1757" w:name="_44b96861_da72_4d65_a662_3410c22ca94b"/>
      <w:bookmarkStart w:id="1758" w:name="Tc_bPK8zwEKREKGTkX21ankbA_6_11"/>
      <w:bookmarkStart w:id="1759" w:name="Tc_Hmw790Q8IkGaZ46CR6kr5A_6_8"/>
      <w:bookmarkStart w:id="1760" w:name="Tc_CWBUCDs9XE-FJscCxXZIaw_6_5"/>
      <w:bookmarkStart w:id="1761" w:name="Tc_VEwtX2zXxUWqnZgdtjltkw_6_2"/>
      <w:bookmarkStart w:id="1762" w:name="Tc_o8uRbMBGxkKiebmdtcH0JQ_6_0"/>
      <w:bookmarkStart w:id="1763" w:name="Tc_fdTUiMBVE0WZAlspkfpx1A_5_0"/>
      <w:bookmarkStart w:id="1764" w:name="Tc_pJla2HuzQ0C3ZGD1QiKaPw_4_11"/>
      <w:bookmarkStart w:id="1765" w:name="Tc_F7CY6XdhyUiGB69-i6PvmQ_4_8"/>
      <w:bookmarkStart w:id="1766" w:name="Tc_EJQkxpPMxEiIBZG_ue4Hpw_4_5"/>
      <w:bookmarkStart w:id="1767" w:name="Tc_uleiUQ5Fw0ShbBGmskOstg_4_2"/>
      <w:bookmarkStart w:id="1768" w:name="Tc_boRfDXw8pkq6UvsCNS9vog_4_0"/>
      <w:bookmarkStart w:id="1769" w:name="Tc_2_U1tBZ0Dk6tzDZsmi3v8Q_3_11"/>
      <w:bookmarkStart w:id="1770" w:name="Tc_KbOLvWZCy0eTgf7FrZ7A6A_3_8"/>
      <w:bookmarkStart w:id="1771" w:name="Tc_exVEbnNBXE2rpBGFYu-qYA_3_5"/>
      <w:bookmarkStart w:id="1772" w:name="Tc_ZSwjzXQyckW-guGX_232yA_3_2"/>
      <w:bookmarkStart w:id="1773" w:name="Tc_9UvnHgXLj0yg3pYeY5I_sg_2_8"/>
      <w:bookmarkStart w:id="1774" w:name="Tc_JVDS4H8TG0KNMjElmqM-Yw_2_2"/>
      <w:bookmarkStart w:id="1775" w:name="Tc_6uO1ZzZM1Ei_76iZ5mBz1w_1_8"/>
      <w:bookmarkStart w:id="1776" w:name="Tc_PH_ajVTwdUOyb3XGQr8B9g_1_2"/>
      <w:bookmarkStart w:id="1777" w:name="_2bad99a1_9ba5_4eb7_9c26_f6a823ec724c"/>
      <w:bookmarkStart w:id="1778" w:name="_9b7441dc_5ca6_40e3_bf70_4ec6c13b3088"/>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r>
        <w:rPr>
          <w:rFonts w:ascii="Times New Roman;Times;serif" w:hAnsi="Times New Roman;Times;serif"/>
          <w:b/>
          <w:sz w:val="20"/>
        </w:rPr>
        <w:t>Note 14—Earnings Per Share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Earnings per share (“EPS”) is calculated by dividing net income attributable to common shareholders by the weighted average number of shares outstanding for the period. The following tables present a reconciliation of net income used in the basic and diluted EPS calculations ($ and shares in thousands, except for per share data):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982"/>
        <w:gridCol w:w="326"/>
        <w:gridCol w:w="211"/>
        <w:gridCol w:w="676"/>
        <w:gridCol w:w="326"/>
        <w:gridCol w:w="211"/>
        <w:gridCol w:w="676"/>
        <w:gridCol w:w="326"/>
        <w:gridCol w:w="211"/>
        <w:gridCol w:w="676"/>
        <w:gridCol w:w="326"/>
        <w:gridCol w:w="211"/>
        <w:gridCol w:w="676"/>
        <w:gridCol w:w="371"/>
      </w:tblGrid>
      <w:tr>
        <w:trPr/>
        <w:tc>
          <w:tcPr>
            <w:tcW w:w="49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3163570" cy="175260"/>
                      <wp:effectExtent l="0" t="0" r="0" b="0"/>
                      <wp:wrapNone/>
                      <wp:docPr id="486" name="Frame486"/>
                      <a:graphic xmlns:a="http://schemas.openxmlformats.org/drawingml/2006/main">
                        <a:graphicData uri="http://schemas.microsoft.com/office/word/2010/wordprocessingShape">
                          <wps:wsp>
                            <wps:cNvSpPr txBox="1"/>
                            <wps:spPr>
                              <a:xfrm>
                                <a:off x="0" y="0"/>
                                <a:ext cx="3163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07010" cy="175260"/>
                      <wp:effectExtent l="0" t="0" r="0" b="0"/>
                      <wp:wrapNone/>
                      <wp:docPr id="487" name="Frame4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133985" cy="175260"/>
                      <wp:effectExtent l="0" t="0" r="0" b="0"/>
                      <wp:wrapNone/>
                      <wp:docPr id="488" name="Frame4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429260" cy="175260"/>
                      <wp:effectExtent l="0" t="0" r="0" b="0"/>
                      <wp:wrapNone/>
                      <wp:docPr id="489" name="Frame48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07010" cy="175260"/>
                      <wp:effectExtent l="0" t="0" r="0" b="0"/>
                      <wp:wrapNone/>
                      <wp:docPr id="490" name="Frame4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133985" cy="175260"/>
                      <wp:effectExtent l="0" t="0" r="0" b="0"/>
                      <wp:wrapNone/>
                      <wp:docPr id="491" name="Frame4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429260" cy="175260"/>
                      <wp:effectExtent l="0" t="0" r="0" b="0"/>
                      <wp:wrapNone/>
                      <wp:docPr id="492" name="Frame49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207010" cy="175260"/>
                      <wp:effectExtent l="0" t="0" r="0" b="0"/>
                      <wp:wrapNone/>
                      <wp:docPr id="493" name="Frame4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133985" cy="175260"/>
                      <wp:effectExtent l="0" t="0" r="0" b="0"/>
                      <wp:wrapNone/>
                      <wp:docPr id="494" name="Frame4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429260" cy="175260"/>
                      <wp:effectExtent l="0" t="0" r="0" b="0"/>
                      <wp:wrapNone/>
                      <wp:docPr id="495" name="Frame49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07010" cy="175260"/>
                      <wp:effectExtent l="0" t="0" r="0" b="0"/>
                      <wp:wrapNone/>
                      <wp:docPr id="496" name="Frame4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133985" cy="175260"/>
                      <wp:effectExtent l="0" t="0" r="0" b="0"/>
                      <wp:wrapNone/>
                      <wp:docPr id="497" name="Frame4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429260" cy="175260"/>
                      <wp:effectExtent l="0" t="0" r="0" b="0"/>
                      <wp:wrapNone/>
                      <wp:docPr id="498" name="Frame49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35585" cy="175260"/>
                      <wp:effectExtent l="0" t="0" r="0" b="0"/>
                      <wp:wrapNone/>
                      <wp:docPr id="499" name="Frame499"/>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center"/>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71" w:type="dxa"/>
            <w:tcBorders/>
            <w:vAlign w:val="center"/>
          </w:tcPr>
          <w:p>
            <w:pPr>
              <w:pStyle w:val="TableContents"/>
              <w:bidi w:val="0"/>
              <w:spacing w:before="0" w:after="0"/>
              <w:ind w:left="0" w:right="0" w:hanging="0"/>
              <w:jc w:val="center"/>
              <w:rPr/>
            </w:pPr>
            <w:r>
              <w:rPr/>
              <w:t>​</w:t>
            </w:r>
          </w:p>
        </w:tc>
      </w:tr>
      <w:tr>
        <w:trPr/>
        <w:tc>
          <w:tcPr>
            <w:tcW w:w="49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center"/>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71" w:type="dxa"/>
            <w:tcBorders/>
            <w:vAlign w:val="center"/>
          </w:tcPr>
          <w:p>
            <w:pPr>
              <w:pStyle w:val="TableContents"/>
              <w:bidi w:val="0"/>
              <w:spacing w:before="0" w:after="0"/>
              <w:ind w:left="0" w:right="0" w:hanging="0"/>
              <w:jc w:val="center"/>
              <w:rPr/>
            </w:pPr>
            <w:r>
              <w:rPr/>
              <w:t>​</w:t>
            </w:r>
          </w:p>
        </w:tc>
      </w:tr>
      <w:tr>
        <w:trPr/>
        <w:tc>
          <w:tcPr>
            <w:tcW w:w="49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71" w:type="dxa"/>
            <w:tcBorders/>
            <w:vAlign w:val="center"/>
          </w:tcPr>
          <w:p>
            <w:pPr>
              <w:pStyle w:val="TableContents"/>
              <w:bidi w:val="0"/>
              <w:spacing w:before="0" w:after="0"/>
              <w:ind w:left="0" w:right="0" w:hanging="0"/>
              <w:jc w:val="center"/>
              <w:rPr/>
            </w:pPr>
            <w:r>
              <w:rPr/>
              <w:t>    </w:t>
            </w:r>
          </w:p>
        </w:tc>
      </w:tr>
      <w:tr>
        <w:trPr/>
        <w:tc>
          <w:tcPr>
            <w:tcW w:w="49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60,584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9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noncontrolling interests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c>
          <w:tcPr>
            <w:tcW w:w="371" w:type="dxa"/>
            <w:tcBorders/>
            <w:vAlign w:val="center"/>
          </w:tcPr>
          <w:p>
            <w:pPr>
              <w:pStyle w:val="TableContents"/>
              <w:bidi w:val="0"/>
              <w:spacing w:before="0" w:after="0"/>
              <w:ind w:left="0" w:right="0" w:hanging="0"/>
              <w:jc w:val="left"/>
              <w:rPr/>
            </w:pPr>
            <w:r>
              <w:rPr/>
              <w:t>​</w:t>
            </w:r>
          </w:p>
        </w:tc>
      </w:tr>
      <w:tr>
        <w:trPr/>
        <w:tc>
          <w:tcPr>
            <w:tcW w:w="49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Safehold Inc. common shareholders for basic and diluted earnings per common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60,393</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982"/>
        <w:gridCol w:w="326"/>
        <w:gridCol w:w="211"/>
        <w:gridCol w:w="676"/>
        <w:gridCol w:w="326"/>
        <w:gridCol w:w="211"/>
        <w:gridCol w:w="676"/>
        <w:gridCol w:w="326"/>
        <w:gridCol w:w="211"/>
        <w:gridCol w:w="676"/>
        <w:gridCol w:w="326"/>
        <w:gridCol w:w="211"/>
        <w:gridCol w:w="676"/>
        <w:gridCol w:w="371"/>
      </w:tblGrid>
      <w:tr>
        <w:trPr/>
        <w:tc>
          <w:tcPr>
            <w:tcW w:w="49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3163570" cy="175260"/>
                      <wp:effectExtent l="0" t="0" r="0" b="0"/>
                      <wp:wrapNone/>
                      <wp:docPr id="500" name="Frame500"/>
                      <a:graphic xmlns:a="http://schemas.openxmlformats.org/drawingml/2006/main">
                        <a:graphicData uri="http://schemas.microsoft.com/office/word/2010/wordprocessingShape">
                          <wps:wsp>
                            <wps:cNvSpPr txBox="1"/>
                            <wps:spPr>
                              <a:xfrm>
                                <a:off x="0" y="0"/>
                                <a:ext cx="3163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07010" cy="175260"/>
                      <wp:effectExtent l="0" t="0" r="0" b="0"/>
                      <wp:wrapNone/>
                      <wp:docPr id="501" name="Frame5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133985" cy="175260"/>
                      <wp:effectExtent l="0" t="0" r="0" b="0"/>
                      <wp:wrapNone/>
                      <wp:docPr id="502" name="Frame5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429260" cy="175260"/>
                      <wp:effectExtent l="0" t="0" r="0" b="0"/>
                      <wp:wrapNone/>
                      <wp:docPr id="503" name="Frame50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07010" cy="175260"/>
                      <wp:effectExtent l="0" t="0" r="0" b="0"/>
                      <wp:wrapNone/>
                      <wp:docPr id="504" name="Frame5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133985" cy="175260"/>
                      <wp:effectExtent l="0" t="0" r="0" b="0"/>
                      <wp:wrapNone/>
                      <wp:docPr id="505" name="Frame5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429260" cy="175260"/>
                      <wp:effectExtent l="0" t="0" r="0" b="0"/>
                      <wp:wrapNone/>
                      <wp:docPr id="506" name="Frame50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07010" cy="175260"/>
                      <wp:effectExtent l="0" t="0" r="0" b="0"/>
                      <wp:wrapNone/>
                      <wp:docPr id="507" name="Frame5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133985" cy="175260"/>
                      <wp:effectExtent l="0" t="0" r="0" b="0"/>
                      <wp:wrapNone/>
                      <wp:docPr id="508" name="Frame5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429260" cy="175260"/>
                      <wp:effectExtent l="0" t="0" r="0" b="0"/>
                      <wp:wrapNone/>
                      <wp:docPr id="509" name="Frame50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207010" cy="175260"/>
                      <wp:effectExtent l="0" t="0" r="0" b="0"/>
                      <wp:wrapNone/>
                      <wp:docPr id="510" name="Frame5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133985" cy="175260"/>
                      <wp:effectExtent l="0" t="0" r="0" b="0"/>
                      <wp:wrapNone/>
                      <wp:docPr id="511" name="Frame5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429260" cy="175260"/>
                      <wp:effectExtent l="0" t="0" r="0" b="0"/>
                      <wp:wrapNone/>
                      <wp:docPr id="512" name="Frame51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35585" cy="175260"/>
                      <wp:effectExtent l="0" t="0" r="0" b="0"/>
                      <wp:wrapNone/>
                      <wp:docPr id="513" name="Frame513"/>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8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0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1"/>
              <w:ind w:left="0" w:right="0" w:hanging="0"/>
              <w:jc w:val="center"/>
              <w:rPr/>
            </w:pPr>
            <w:r>
              <w:rPr/>
              <w:t>​</w:t>
            </w:r>
          </w:p>
        </w:tc>
        <w:tc>
          <w:tcPr>
            <w:tcW w:w="210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71" w:type="dxa"/>
            <w:tcBorders/>
            <w:vAlign w:val="center"/>
          </w:tcPr>
          <w:p>
            <w:pPr>
              <w:pStyle w:val="TableContents"/>
              <w:bidi w:val="0"/>
              <w:spacing w:before="0" w:after="1"/>
              <w:ind w:left="0" w:right="0" w:hanging="0"/>
              <w:jc w:val="center"/>
              <w:rPr/>
            </w:pPr>
            <w:r>
              <w:rPr/>
              <w:t>​</w:t>
            </w:r>
          </w:p>
        </w:tc>
      </w:tr>
      <w:tr>
        <w:trPr/>
        <w:tc>
          <w:tcPr>
            <w:tcW w:w="498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center"/>
              <w:rPr/>
            </w:pPr>
            <w:r>
              <w:rPr/>
              <w:t>​</w:t>
            </w:r>
          </w:p>
        </w:tc>
        <w:tc>
          <w:tcPr>
            <w:tcW w:w="21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71" w:type="dxa"/>
            <w:tcBorders/>
            <w:vAlign w:val="center"/>
          </w:tcPr>
          <w:p>
            <w:pPr>
              <w:pStyle w:val="TableContents"/>
              <w:bidi w:val="0"/>
              <w:spacing w:before="0" w:after="1"/>
              <w:ind w:left="0" w:right="0" w:hanging="0"/>
              <w:jc w:val="center"/>
              <w:rPr/>
            </w:pPr>
            <w:r>
              <w:rPr/>
              <w:t>​</w:t>
            </w:r>
          </w:p>
        </w:tc>
      </w:tr>
      <w:tr>
        <w:trPr/>
        <w:tc>
          <w:tcPr>
            <w:tcW w:w="498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71" w:type="dxa"/>
            <w:tcBorders/>
            <w:vAlign w:val="center"/>
          </w:tcPr>
          <w:p>
            <w:pPr>
              <w:pStyle w:val="TableContents"/>
              <w:bidi w:val="0"/>
              <w:spacing w:before="0" w:after="1"/>
              <w:ind w:left="0" w:right="0" w:hanging="0"/>
              <w:jc w:val="center"/>
              <w:rPr/>
            </w:pPr>
            <w:r>
              <w:rPr/>
              <w:t>    </w:t>
            </w:r>
          </w:p>
        </w:tc>
      </w:tr>
      <w:tr>
        <w:trPr/>
        <w:tc>
          <w:tcPr>
            <w:tcW w:w="498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Earnings attributable to common shares: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49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Numerator for basic and diluted earnings per share:</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  </w:t>
            </w:r>
          </w:p>
        </w:tc>
        <w:tc>
          <w:tcPr>
            <w:tcW w:w="371" w:type="dxa"/>
            <w:tcBorders/>
            <w:vAlign w:val="center"/>
          </w:tcPr>
          <w:p>
            <w:pPr>
              <w:pStyle w:val="TableContents"/>
              <w:bidi w:val="0"/>
              <w:spacing w:before="0" w:after="1"/>
              <w:ind w:left="0" w:right="0" w:hanging="0"/>
              <w:jc w:val="left"/>
              <w:rPr/>
            </w:pPr>
            <w:r>
              <w:rPr/>
              <w:t> </w:t>
            </w:r>
          </w:p>
        </w:tc>
      </w:tr>
      <w:tr>
        <w:trPr/>
        <w:tc>
          <w:tcPr>
            <w:tcW w:w="49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Safehold Inc. common shareholders - basic</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27,947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29,665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57,311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60,393</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49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Safehold Inc. common shareholders - diluted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27,947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29,665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57,311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60,393</w:t>
            </w:r>
          </w:p>
        </w:tc>
        <w:tc>
          <w:tcPr>
            <w:tcW w:w="371" w:type="dxa"/>
            <w:tcBorders/>
            <w:vAlign w:val="center"/>
          </w:tcPr>
          <w:p>
            <w:pPr>
              <w:pStyle w:val="TableContents"/>
              <w:bidi w:val="0"/>
              <w:spacing w:before="0" w:after="1"/>
              <w:ind w:left="0" w:right="0" w:hanging="0"/>
              <w:jc w:val="left"/>
              <w:rPr/>
            </w:pPr>
            <w:r>
              <w:rPr/>
              <w:t>​</w:t>
            </w:r>
          </w:p>
        </w:tc>
      </w:tr>
      <w:tr>
        <w:trPr/>
        <w:tc>
          <w:tcPr>
            <w:tcW w:w="498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4982"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Denominator for basic and diluted earnings per share:</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71" w:type="dxa"/>
            <w:tcBorders/>
            <w:vAlign w:val="center"/>
          </w:tcPr>
          <w:p>
            <w:pPr>
              <w:pStyle w:val="TableContents"/>
              <w:bidi w:val="0"/>
              <w:spacing w:before="0" w:after="1"/>
              <w:ind w:left="0" w:right="0" w:hanging="0"/>
              <w:jc w:val="left"/>
              <w:rPr/>
            </w:pPr>
            <w:r>
              <w:rPr/>
              <w:t>​</w:t>
            </w:r>
          </w:p>
        </w:tc>
      </w:tr>
      <w:tr>
        <w:trPr/>
        <w:tc>
          <w:tcPr>
            <w:tcW w:w="49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 for basic earnings per common share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71,740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71,435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71,631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71,303</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49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 Effect of assumed shares under treasury stock method for restricted stock units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71" w:type="dxa"/>
            <w:tcBorders/>
            <w:vAlign w:val="center"/>
          </w:tcPr>
          <w:p>
            <w:pPr>
              <w:pStyle w:val="TableContents"/>
              <w:bidi w:val="0"/>
              <w:spacing w:before="0" w:after="1"/>
              <w:ind w:left="0" w:right="0" w:hanging="0"/>
              <w:jc w:val="left"/>
              <w:rPr/>
            </w:pPr>
            <w:r>
              <w:rPr/>
              <w:t>​</w:t>
            </w:r>
          </w:p>
        </w:tc>
      </w:tr>
      <w:tr>
        <w:trPr/>
        <w:tc>
          <w:tcPr>
            <w:tcW w:w="49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 for diluted earnings per common share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71,801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71,462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71,718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71,351</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498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4982"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Basic and diluted earnings per common share:</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49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Safehold Inc. common shareholders - basic</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0.85</w:t>
            </w:r>
          </w:p>
        </w:tc>
        <w:tc>
          <w:tcPr>
            <w:tcW w:w="371" w:type="dxa"/>
            <w:tcBorders/>
            <w:vAlign w:val="center"/>
          </w:tcPr>
          <w:p>
            <w:pPr>
              <w:pStyle w:val="TableContents"/>
              <w:bidi w:val="0"/>
              <w:spacing w:before="0" w:after="1"/>
              <w:ind w:left="0" w:right="0" w:hanging="0"/>
              <w:jc w:val="left"/>
              <w:rPr/>
            </w:pPr>
            <w:r>
              <w:rPr/>
              <w:t>​</w:t>
            </w:r>
          </w:p>
        </w:tc>
      </w:tr>
      <w:tr>
        <w:trPr/>
        <w:tc>
          <w:tcPr>
            <w:tcW w:w="49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Safehold Inc. common shareholders - diluted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0.85</w:t>
            </w:r>
          </w:p>
        </w:tc>
        <w:tc>
          <w:tcPr>
            <w:tcW w:w="37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8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For the three and six months ended June 30, 2024, the effect of 9</w:t>
            </w:r>
            <w:r>
              <w:rPr>
                <w:caps w:val="false"/>
                <w:smallCaps w:val="false"/>
              </w:rPr>
              <w:t xml:space="preserve"> </w:t>
            </w:r>
            <w:r>
              <w:rPr>
                <w:rFonts w:ascii="Times New Roman;Times;serif" w:hAnsi="Times New Roman;Times;serif"/>
                <w:b w:val="false"/>
                <w:i w:val="false"/>
                <w:caps w:val="false"/>
                <w:smallCaps w:val="false"/>
                <w:sz w:val="16"/>
              </w:rPr>
              <w:t>thousand and 31</w:t>
            </w:r>
            <w:r>
              <w:rPr>
                <w:caps w:val="false"/>
                <w:smallCaps w:val="false"/>
              </w:rPr>
              <w:t xml:space="preserve"> </w:t>
            </w:r>
            <w:r>
              <w:rPr>
                <w:rFonts w:ascii="Times New Roman;Times;serif" w:hAnsi="Times New Roman;Times;serif"/>
                <w:b w:val="false"/>
                <w:i w:val="false"/>
                <w:caps w:val="false"/>
                <w:smallCaps w:val="false"/>
                <w:sz w:val="16"/>
              </w:rPr>
              <w:t xml:space="preserve">thousand, respectively, of the Company’s restricted stock units were antidilutive. </w:t>
            </w:r>
          </w:p>
        </w:tc>
      </w:tr>
    </w:tbl>
    <w:p>
      <w:pPr>
        <w:pStyle w:val="TextBody"/>
        <w:bidi w:val="0"/>
        <w:spacing w:before="0" w:after="240"/>
        <w:ind w:left="360" w:right="0" w:firstLine="72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15—Related Party Transactions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Acquisitions and Commitments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Following is a list of transactions in which the Company and other persons deemed to be related parties have participated for the periods presented. These transactions were approved by the Company’s independent directors in accordance with the Company’s policy with respect to related party transactions.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entered into a discretionary commitment to fund up to $9.0 million of preferred equity in an entity that owns the leasehold interest under one of the Company’s office Ground Leases located in Washington, DC and through March 31, 2025, the Company funded $1.5 million of the commitment amount. At inception in April 2024, the Company incurred $0.4 million of costs creating the entity formed to own the leasehold interest, which resulted in a total investment balance of $1.9 million and was included in “Deferred expenses and other assets” on the Company’s consolidated balance sheet as of December 31, 2024. In May 2025, the leasehold interest was acquired by a new sponsor and the Company determined its investment was not recoverable, which resulted in a $1.9 million write-off of the Company’s preferred equity investment as of March 31, 2025. The write-off is included in “Other expense” in the Company’s consolidated statement of operations. The Company has recognized $3.4 million of interest income from sales-type leases from the Ground Lease in its consolidated statements of operations for the six months ended June 30, 2025.</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has a noncontrolling interest in the Ground Lease Plus Fund and an affiliate of an existing shareholder (which is affiliated with one of the Company’s former independent directors, whose term ended in May 2025) has a noncontrolling interest in the Ground Lease Plus Fund. The Company has entered into certain agreements to acquire certain land and related Ground Leases from the Ground Lease Plus Fund when certain construction-related conditions are met by a specified time period.  In January 2024, the Company acquired one Ground Lease from the Ground Lease Plus Fund for $38.3 million pursuant to one such agreement. In addition, the Ground Lease documents contain future funding obligations to the Ground Lease tenant of approximately $51.8 million of leasehold improvement allowance upon achievement of certain milestones. In May 2023, certain milestones were met by the tenant as it exited the pre-development stage and the tenant began accessing the leasehold improvement allowance. As of June 30, 2025, the $51.8 million leasehold improvement allowance has been fully funded. The Company was also party to an agreement pursuant to which it agreed to acquire land and a related Ground Lease from the Ground Lease Plus Fund when certain construction related conditions were met by a specified time period. The purchase price to be paid was $42.0 million, plus an amount necessary for the Ground Lease Plus Fund to achieve the greater of a 1.25x multiple and a 9% return on its investment. In addition, the Ground Lease provides for a leasehold improvement allowance up to a maximum of $83.0 million, which obligation would be assumed by the Company upon acquisition. The Company’s commitment to acquire the Ground Lease from the Ground Lease Plus Fund expired in June 2025.</w:t>
      </w:r>
    </w:p>
    <w:p>
      <w:pPr>
        <w:pStyle w:val="TextBody"/>
        <w:bidi w:val="0"/>
        <w:spacing w:before="0" w:after="0"/>
        <w:ind w:left="0" w:right="0" w:hanging="0"/>
        <w:jc w:val="left"/>
        <w:rPr/>
      </w:pPr>
      <w:r>
        <w:rPr/>
        <w:t>​</w:t>
      </w:r>
    </w:p>
    <w:p>
      <w:pPr>
        <w:pStyle w:val="TextBody"/>
        <w:bidi w:val="0"/>
        <w:spacing w:before="0" w:after="160"/>
        <w:ind w:left="0" w:right="0" w:hanging="0"/>
        <w:jc w:val="left"/>
        <w:rPr>
          <w:rFonts w:ascii="Times New Roman;Times;serif" w:hAnsi="Times New Roman;Times;serif"/>
          <w:i/>
          <w:sz w:val="20"/>
        </w:rPr>
      </w:pPr>
      <w:r>
        <w:rPr>
          <w:rFonts w:ascii="Times New Roman;Times;serif" w:hAnsi="Times New Roman;Times;serif"/>
          <w:i/>
          <w:sz w:val="20"/>
        </w:rPr>
        <w:t xml:space="preserve">Caret units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February 2022, the Company sold an aggregate of 108,571 Caret units, 1.08% of the then-authorized Caret units, to a group of investors (refer to Note 3). In addition, an affiliate of an existing shareholder (which was affiliated with one of the Company’s former independent directors, whose term ended in May 2025) made a commitment to purchase 28,571 Caret units, or 0.29% of the then-authorized Caret units, for a purchase price of $5.0 million. As part of the sale, the Company agreed to use commercially reasonable efforts to provide public market liquidity for such Caret units by seeking to provide a listing of the Caret units (or securities into which they may be exchanged) on a public exchange within two years of the sale. Because public market liquidity was not achieved by February 2024, the investors in the February 2022 transaction had the right to cause their Caret units purchased in February 2022 to be redeemed by Portfolio Holdings at such purchase price less the amount of distributions previously made on such units. In April 2024, all of the investors in the February 2022 transaction exercised this right and elected to have their Caret units redeemed.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Star Holdings</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March 31, 2023, immediately prior to the closing of the Merger, the Company (then known as iStar Inc.) spun-off of its remaining legacy assets and certain other assets (the “Spin-Off”) pursuant to a separation and distribution agreement (the “Separation and Distribution Agreement”), dated as of March 31, 2023, by and between the Company and Star Holdings. The Separation and Distribution Agreement sets forth, among other things, Star Holdings’ agreements with the Company regarding the principal transactions necessary to separate Star Holdings from the Company. It also sets forth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agreements that govern certain aspects of Star Holdings’ relationship with the Company after the Spin-Off relating to the transfer of assets and assumption of liabilities, cash assets, release of claims, insurance, non-solicitation, segregation of accounts and other matters. The Separation and Distribution Agreement also includes a mutual release by Star Holdings, on the one hand, and the Company, on the other hand, of the other party from certain specified liabilities, as well as mutual indemnification covenants pursuant to which Star Holdings and the Company have agreed to indemnify each other from certain specified liabilities.</w:t>
      </w:r>
    </w:p>
    <w:p>
      <w:pPr>
        <w:pStyle w:val="TextBody"/>
        <w:shd w:fill="FFFFFF" w:val="clear"/>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SpinCo Manager is party to a management agreement with Star Holdings, pursuant to which it will operate and pursue the orderly monetization of Star Holding’s assets. On March 28, 2025, the Company and Star Holdings entered into an amendment to the Management Agreement that increased the management fee payable in year four of the contract from $5.0 million to $7.5 million and increased the termination fee payable by Star Holdings in certain circumstances from $50.0 million to $55.0 million. Pursuant to the management agreement, Star Holdings paid to SpinCo Manager an annual management fee of $25.0 million for the term ended March 31, 2024 and $15.0 million for the term ended March 31, 2025. The annual fee declines to $10.0 million and $7.5 million, respectively, in each of the following annual terms, and adjusts to 2.0% of the gross book value of Star Holding's assets, excluding shares of the Company’s common stock held by Star Holdings, thereafter. The management agreement had an initial one-year term and automatically renews for successive one-year terms each anniversary date thereafter unless previously terminated. The management agreement may be terminated by Star Holdings without cause by not less than one hundred eighty days’ written notice to SpinCo Manager upon the affirmative vote of at least </w:t>
      </w:r>
      <w:r>
        <w:rPr>
          <w:rFonts w:ascii="Times New Roman;Times;serif" w:hAnsi="Times New Roman;Times;serif"/>
          <w:b w:val="false"/>
          <w:i w:val="false"/>
          <w:caps w:val="false"/>
          <w:smallCaps w:val="false"/>
          <w:sz w:val="20"/>
        </w:rPr>
        <w:t>two-thirds</w:t>
      </w:r>
      <w:r>
        <w:rPr>
          <w:rFonts w:ascii="Times New Roman;Times;serif" w:hAnsi="Times New Roman;Times;serif"/>
          <w:sz w:val="20"/>
        </w:rPr>
        <w:t xml:space="preserve"> of Star Holdings’ independent directors, provided, however, that if the date of termination occurs prior to March 31, 2027, the termination will be subject to payment of the applicable termination fee to SpinCo Manager. Star Holdings may also terminate the management agreement at any time with 30 days’ prior written notice from Star Holdings’ board of trustees for “cause,” as defined in the management agreement.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the event of a termination without cause by Star Holdings prior to March 31, 2027, Star Holdings will pay SpinCo Manager a termination fee of $55.0 million minus the aggregate amount of management fees actually paid to SpinCo Manager prior to the termination date. However, if Star Holdings has completed the liquidation of its assets on or before the termination date, the termination fee will consist of any portion of the annual management fee that remained unpaid for the remainder of the then current annual term plus, if the termination date occurs on or before March 31, 2026, the amount of the management fee that would have been payable for the next succeeding annual term, or if the termination date occurs after March 31, 2026, zero.</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the event of a termination by the Company based on a reduction in the amount of Star Holdings’ consolidated assets below designated thresholds, Star Holdings will pay SpinCo Manager a termination fee of $5.0 million if the termination occurs in the third year, plus the balance of any unpaid portion of the annual management fee for the applicable year.</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During the three months ended June 30, 2025 and 2024, the Company recorded $2.7 million and $4.4 million, respectively, in management fees from Star Holdings. During the six months ended June 30, 2025 and 2024, the Company recorded $6.3 million and $9.9 million, respectively, in management fees from Star Holdings. The management fees are included in “Other income” in the Company’s consolidated statements of operations.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and Star Holdings also entered into a governance agreement that places certain restrictions on the transfer and voting of the shares of the Company owned by Star Holdings, and a registration rights agreement under which the Company agreed to register such shares for resale in accordance with applicable securities laws. As of June 30, 2025, Star Holdings owned approximately 18.9% of the Company’s common stock outstanding through a wholly-owned subsidiary.</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April 2023, the Company, Portfolio Holdings and Star Investment Holdings SPV LLC (“Star Investment Holdings”), a subsidiary of Star Holdings, entered into an ATM Equity Offering Sales Agreement (the “Selling Stockholder Sales Agreement”) with the sales agents named therein pursuant to which Star Investment Holdings may sell, from time to time, subject to receiving the Company’s consent, up to 1,000,000 shares of the Company’s common stock (the “Selling Stockholder Shares”) through or to the sales agents. Star Investment Holdings may sell the Selling Stockholder Shares in amounts and at times to be determined by Star Investment Holdings, subject to receiving the Company’s consent, from time to time but has no obligation to sell any of the Selling Stockholder Shares. Actual sales, if any, will depend on a variety of factors to be determined by Star Investment Holdings from time to time, including, among other things, market conditions, the trading price of the Company’s common stock, capital needs and determinations by Star Investment Holdings of the appropriate sources of its funding.</w:t>
      </w:r>
    </w:p>
    <w:p>
      <w:pPr>
        <w:pStyle w:val="TextBody"/>
        <w:shd w:fill="FFFFFF" w:val="clear"/>
        <w:bidi w:val="0"/>
        <w:spacing w:before="0" w:after="0"/>
        <w:ind w:left="0" w:right="0" w:firstLine="720"/>
        <w:jc w:val="both"/>
        <w:rPr/>
      </w:pPr>
      <w:r>
        <w:rPr/>
        <w:t>​</w:t>
      </w:r>
    </w:p>
    <w:p>
      <w:pPr>
        <w:pStyle w:val="TextBody"/>
        <w:shd w:fill="FFFFFF" w:val="clear"/>
        <w:bidi w:val="0"/>
        <w:spacing w:before="0" w:after="0"/>
        <w:ind w:left="0" w:right="0" w:hanging="0"/>
        <w:jc w:val="both"/>
        <w:rPr>
          <w:rFonts w:ascii="Times New Roman;Times;serif" w:hAnsi="Times New Roman;Times;serif"/>
          <w:b/>
          <w:sz w:val="20"/>
        </w:rPr>
      </w:pPr>
      <w:bookmarkStart w:id="1779" w:name="Tc_x-9JmMy4vEa9-l19G6e72A_11_0"/>
      <w:bookmarkStart w:id="1780" w:name="Tc_hpaD9lWzjEaQwGP0GabX2Q_10_0"/>
      <w:bookmarkStart w:id="1781" w:name="Tc_IXqIx17eXkGh6osqeywO9A_9_0"/>
      <w:bookmarkStart w:id="1782" w:name="Tc_3GumRDnDnUO7X2AG2M_log_8_0"/>
      <w:bookmarkStart w:id="1783" w:name="Tc_crIuXZ-hS06xZkE7WYj0pw_7_0"/>
      <w:bookmarkStart w:id="1784" w:name="Tc_IBbfRVGBwki5cKlL8AnJ4Q_6_0"/>
      <w:bookmarkStart w:id="1785" w:name="Tc_D7Y9KvfMaUqzlBfE3pJ0ow_5_11"/>
      <w:bookmarkStart w:id="1786" w:name="Tc_CxVKHkk1B0eoath12MfRAQ_5_8"/>
      <w:bookmarkStart w:id="1787" w:name="Tc_WcdFFsSLsEOkafFqmIx3Yg_5_5"/>
      <w:bookmarkStart w:id="1788" w:name="Tc_EdswRMEBJUWXZwBQTVOY5A_5_2"/>
      <w:bookmarkStart w:id="1789" w:name="Tc_oqFSY4uVh065vyp7wxomzA_5_0"/>
      <w:bookmarkStart w:id="1790" w:name="Tc_UgZTxkHolEa46jEmDwR5Cg_4_0"/>
      <w:bookmarkStart w:id="1791" w:name="Tc_Q911UwsLoUah-k_PSpF6UA_3_11"/>
      <w:bookmarkStart w:id="1792" w:name="Tc_lcpdapwNAEuTrwTsiCMNGA_3_8"/>
      <w:bookmarkStart w:id="1793" w:name="Tc_089tRAOhSkOpV6aCRaDCOA_3_5"/>
      <w:bookmarkStart w:id="1794" w:name="Tc_q0Vvm1gYkEWPUSGPczuHVA_3_2"/>
      <w:bookmarkStart w:id="1795" w:name="Tc_FikqDN37bESH0VT0kQ1aDw_2_8"/>
      <w:bookmarkStart w:id="1796" w:name="Tc_ztQPQwTH9keRfcMviQZ86A_2_2"/>
      <w:bookmarkStart w:id="1797" w:name="Tc_K7ET0SnkbkCXvL617ijDPQ_1_8"/>
      <w:bookmarkStart w:id="1798" w:name="Tc_I-VAXECyN0KOBlh3nt2k2w_1_2"/>
      <w:bookmarkStart w:id="1799" w:name="_bef60dc3_a7bb_4cc0_b81f_ef78745c99d2"/>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r>
        <w:rPr>
          <w:rFonts w:ascii="Times New Roman;Times;serif" w:hAnsi="Times New Roman;Times;serif"/>
          <w:b/>
          <w:sz w:val="20"/>
        </w:rPr>
        <w:t>Note 16—Segment Reporting</w:t>
      </w:r>
    </w:p>
    <w:p>
      <w:pPr>
        <w:pStyle w:val="TextBody"/>
        <w:shd w:fill="FFFFFF" w:val="clear"/>
        <w:bidi w:val="0"/>
        <w:spacing w:before="0" w:after="0"/>
        <w:ind w:left="0" w:right="0" w:firstLine="72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conducts its business through one reportable and one operating segment by acquiring, managing and capitalizing Ground Leases, which the Company believes provides an opportunity for safe, growing income. The Company’s chief executive officer is the chief operating decision maker (“CODM”) and uses net income (loss), as reported on the consolidated statements of comprehensive income (loss), to measure segment operating performance. All of the Company’s expenses are included in segment operating performance and are reviewed regularly. However, the CODM reviews interest expense and general and administrative expense on a more disaggregated basis. The CODM reviews interest expense in more detail because the Company uses its cost of capital to price its investments. The CODM also reviews general and administrative expense, which includes public company costs consisting of compensation, occupancy, and other corporate costs, in more detail to ensure its resources are in line with its business and operating needs. The measure of segment assets is reported on the Company’s consolidated balance sheets as total assets. The CODM also reviews assets and asset level metrics such as rent coverage, GAAP and cash asset yields, Ground Lease cost to value ratios, unrealized capital appreciation and certain other metrics on a regular basis.</w:t>
      </w:r>
    </w:p>
    <w:p>
      <w:pPr>
        <w:pStyle w:val="TextBody"/>
        <w:shd w:fill="FFFFFF" w:val="clear"/>
        <w:bidi w:val="0"/>
        <w:spacing w:before="0" w:after="0"/>
        <w:ind w:left="0" w:right="0" w:firstLine="720"/>
        <w:jc w:val="both"/>
        <w:rPr/>
      </w:pPr>
      <w:r>
        <w:rPr/>
        <w:t>​</w:t>
      </w:r>
    </w:p>
    <w:p>
      <w:pPr>
        <w:pStyle w:val="TextBody"/>
        <w:shd w:fill="FFFFFF" w:val="clear"/>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 xml:space="preserve">The following table presents the Company’s expenses that are reviewed in more detail by the CODM for the three and six months ended June 30, 2025 and 2024 ($ in thousands): </w:t>
      </w:r>
    </w:p>
    <w:tbl>
      <w:tblPr>
        <w:tblW w:w="8221" w:type="dxa"/>
        <w:jc w:val="left"/>
        <w:tblInd w:w="0" w:type="dxa"/>
        <w:tblLayout w:type="fixed"/>
        <w:tblCellMar>
          <w:top w:w="0" w:type="dxa"/>
          <w:left w:w="0" w:type="dxa"/>
          <w:bottom w:w="0" w:type="dxa"/>
          <w:right w:w="0" w:type="dxa"/>
        </w:tblCellMar>
      </w:tblPr>
      <w:tblGrid>
        <w:gridCol w:w="3016"/>
        <w:gridCol w:w="326"/>
        <w:gridCol w:w="224"/>
        <w:gridCol w:w="719"/>
        <w:gridCol w:w="347"/>
        <w:gridCol w:w="224"/>
        <w:gridCol w:w="719"/>
        <w:gridCol w:w="326"/>
        <w:gridCol w:w="211"/>
        <w:gridCol w:w="781"/>
        <w:gridCol w:w="326"/>
        <w:gridCol w:w="211"/>
        <w:gridCol w:w="791"/>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1915160" cy="175260"/>
                      <wp:effectExtent l="0" t="0" r="0" b="0"/>
                      <wp:wrapNone/>
                      <wp:docPr id="514" name="Frame514"/>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07010" cy="175260"/>
                      <wp:effectExtent l="0" t="0" r="0" b="0"/>
                      <wp:wrapNone/>
                      <wp:docPr id="515" name="Frame5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142240" cy="175260"/>
                      <wp:effectExtent l="0" t="0" r="0" b="0"/>
                      <wp:wrapNone/>
                      <wp:docPr id="516" name="Frame516"/>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456565" cy="175260"/>
                      <wp:effectExtent l="0" t="0" r="0" b="0"/>
                      <wp:wrapNone/>
                      <wp:docPr id="517" name="Frame517"/>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20345" cy="175260"/>
                      <wp:effectExtent l="0" t="0" r="0" b="0"/>
                      <wp:wrapNone/>
                      <wp:docPr id="518" name="Frame518"/>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142240" cy="175260"/>
                      <wp:effectExtent l="0" t="0" r="0" b="0"/>
                      <wp:wrapNone/>
                      <wp:docPr id="519" name="Frame519"/>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456565" cy="175260"/>
                      <wp:effectExtent l="0" t="0" r="0" b="0"/>
                      <wp:wrapNone/>
                      <wp:docPr id="520" name="Frame520"/>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207010" cy="175260"/>
                      <wp:effectExtent l="0" t="0" r="0" b="0"/>
                      <wp:wrapNone/>
                      <wp:docPr id="521" name="Frame5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133985" cy="175260"/>
                      <wp:effectExtent l="0" t="0" r="0" b="0"/>
                      <wp:wrapNone/>
                      <wp:docPr id="522" name="Frame5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495935" cy="175260"/>
                      <wp:effectExtent l="0" t="0" r="0" b="0"/>
                      <wp:wrapNone/>
                      <wp:docPr id="523" name="Frame52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207010" cy="175260"/>
                      <wp:effectExtent l="0" t="0" r="0" b="0"/>
                      <wp:wrapNone/>
                      <wp:docPr id="524" name="Frame5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133985" cy="175260"/>
                      <wp:effectExtent l="0" t="0" r="0" b="0"/>
                      <wp:wrapNone/>
                      <wp:docPr id="525" name="Frame5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502285" cy="175260"/>
                      <wp:effectExtent l="0" t="0" r="0" b="0"/>
                      <wp:wrapNone/>
                      <wp:docPr id="526" name="Frame526"/>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233"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1"/>
              <w:ind w:left="0" w:right="0" w:hanging="0"/>
              <w:jc w:val="center"/>
              <w:rPr/>
            </w:pPr>
            <w:r>
              <w:rPr/>
              <w:t>​</w:t>
            </w:r>
          </w:p>
        </w:tc>
        <w:tc>
          <w:tcPr>
            <w:tcW w:w="232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30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233"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center"/>
              <w:rPr/>
            </w:pPr>
            <w:r>
              <w:rPr/>
              <w:t>​</w:t>
            </w:r>
          </w:p>
        </w:tc>
        <w:tc>
          <w:tcPr>
            <w:tcW w:w="232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0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4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7" w:type="dxa"/>
            <w:tcBorders/>
            <w:vAlign w:val="center"/>
          </w:tcPr>
          <w:p>
            <w:pPr>
              <w:pStyle w:val="TableContents"/>
              <w:bidi w:val="0"/>
              <w:spacing w:before="0" w:after="1"/>
              <w:ind w:left="0" w:right="0" w:hanging="0"/>
              <w:jc w:val="left"/>
              <w:rPr/>
            </w:pPr>
            <w:r>
              <w:rPr/>
              <w:t>    </w:t>
            </w:r>
          </w:p>
        </w:tc>
        <w:tc>
          <w:tcPr>
            <w:tcW w:w="94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719" w:type="dxa"/>
            <w:tcBorders/>
            <w:shd w:fill="CCEEFF" w:val="clear"/>
            <w:vAlign w:val="center"/>
          </w:tcPr>
          <w:p>
            <w:pPr>
              <w:pStyle w:val="TableContents"/>
              <w:bidi w:val="0"/>
              <w:spacing w:before="0" w:after="1"/>
              <w:ind w:left="0" w:right="0" w:hanging="0"/>
              <w:jc w:val="right"/>
              <w:rPr/>
            </w:pPr>
            <w:r>
              <w:rPr/>
              <w:t>​</w:t>
            </w:r>
          </w:p>
        </w:tc>
        <w:tc>
          <w:tcPr>
            <w:tcW w:w="347"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71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pPr>
            <w:r>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44,415</w:t>
            </w:r>
          </w:p>
        </w:tc>
        <w:tc>
          <w:tcPr>
            <w:tcW w:w="347"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42,209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87,869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83,724</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6,850</w:t>
            </w:r>
          </w:p>
        </w:tc>
        <w:tc>
          <w:tcPr>
            <w:tcW w:w="347"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6,898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14,014</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Subtotal interest expense</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7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51,265</w:t>
            </w:r>
          </w:p>
        </w:tc>
        <w:tc>
          <w:tcPr>
            <w:tcW w:w="347"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7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49,107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101,691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97,738</w:t>
            </w:r>
          </w:p>
        </w:tc>
      </w:tr>
      <w:tr>
        <w:trPr/>
        <w:tc>
          <w:tcPr>
            <w:tcW w:w="301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719" w:type="dxa"/>
            <w:tcBorders/>
            <w:shd w:fill="CCEEFF" w:val="clear"/>
            <w:vAlign w:val="center"/>
          </w:tcPr>
          <w:p>
            <w:pPr>
              <w:pStyle w:val="TableContents"/>
              <w:bidi w:val="0"/>
              <w:spacing w:before="0" w:after="1"/>
              <w:ind w:left="0" w:right="0" w:hanging="0"/>
              <w:jc w:val="right"/>
              <w:rPr/>
            </w:pPr>
            <w:r>
              <w:rPr/>
              <w:t>​</w:t>
            </w:r>
          </w:p>
        </w:tc>
        <w:tc>
          <w:tcPr>
            <w:tcW w:w="347"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71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pPr>
            <w:r>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Public company and other costs</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7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9,873</w:t>
            </w:r>
          </w:p>
        </w:tc>
        <w:tc>
          <w:tcPr>
            <w:tcW w:w="347"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7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10,383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20,518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21,246</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3,081</w:t>
            </w:r>
          </w:p>
        </w:tc>
        <w:tc>
          <w:tcPr>
            <w:tcW w:w="347"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6,568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6,658</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Subtotal general and administrative</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7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12,954</w:t>
            </w:r>
          </w:p>
        </w:tc>
        <w:tc>
          <w:tcPr>
            <w:tcW w:w="347"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7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12,276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27,086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27,904</w:t>
            </w:r>
          </w:p>
        </w:tc>
      </w:tr>
    </w:tbl>
    <w:tbl>
      <w:tblPr>
        <w:tblW w:w="10205" w:type="dxa"/>
        <w:jc w:val="left"/>
        <w:tblInd w:w="0" w:type="dxa"/>
        <w:shd w:fill="FFFFFF" w:val="clear"/>
        <w:tblLayout w:type="fixed"/>
        <w:tblCellMar>
          <w:top w:w="0" w:type="dxa"/>
          <w:left w:w="0" w:type="dxa"/>
          <w:bottom w:w="0" w:type="dxa"/>
          <w:right w:w="0" w:type="dxa"/>
        </w:tblCellMar>
      </w:tblPr>
      <w:tblGrid>
        <w:gridCol w:w="281"/>
        <w:gridCol w:w="9924"/>
      </w:tblGrid>
      <w:tr>
        <w:trPr/>
        <w:tc>
          <w:tcPr>
            <w:tcW w:w="28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4" w:type="dxa"/>
            <w:tcBorders/>
            <w:shd w:fill="FFFFFF" w:val="clear"/>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CODM also considers management fees earned from Star Holdings (refer to Note 15) in their review of general and administrative expense because many of the Company’s employees spend time and resources performing basic functions for the management of Star Holdings. During the three months ended June 30, 2025 and 2024, the Company earned $2.7</w:t>
            </w:r>
            <w:r>
              <w:rPr>
                <w:caps w:val="false"/>
                <w:smallCaps w:val="false"/>
              </w:rPr>
              <w:t> </w:t>
            </w:r>
            <w:r>
              <w:rPr>
                <w:rFonts w:ascii="Times New Roman;Times;serif" w:hAnsi="Times New Roman;Times;serif"/>
                <w:b w:val="false"/>
                <w:i w:val="false"/>
                <w:caps w:val="false"/>
                <w:smallCaps w:val="false"/>
                <w:sz w:val="16"/>
              </w:rPr>
              <w:t>million and $4.4</w:t>
            </w:r>
            <w:r>
              <w:rPr>
                <w:caps w:val="false"/>
                <w:smallCaps w:val="false"/>
              </w:rPr>
              <w:t> </w:t>
            </w:r>
            <w:r>
              <w:rPr>
                <w:rFonts w:ascii="Times New Roman;Times;serif" w:hAnsi="Times New Roman;Times;serif"/>
                <w:b w:val="false"/>
                <w:i w:val="false"/>
                <w:caps w:val="false"/>
                <w:smallCaps w:val="false"/>
                <w:sz w:val="16"/>
              </w:rPr>
              <w:t>million, respectively, in management fees from Star Holdings. During the six months ended June 30, 2025 and 2024, the Company earned $6.3</w:t>
            </w:r>
            <w:r>
              <w:rPr>
                <w:caps w:val="false"/>
                <w:smallCaps w:val="false"/>
              </w:rPr>
              <w:t> </w:t>
            </w:r>
            <w:r>
              <w:rPr>
                <w:rFonts w:ascii="Times New Roman;Times;serif" w:hAnsi="Times New Roman;Times;serif"/>
                <w:b w:val="false"/>
                <w:i w:val="false"/>
                <w:caps w:val="false"/>
                <w:smallCaps w:val="false"/>
                <w:sz w:val="16"/>
              </w:rPr>
              <w:t>million and $9.9</w:t>
            </w:r>
            <w:r>
              <w:rPr>
                <w:caps w:val="false"/>
                <w:smallCaps w:val="false"/>
              </w:rPr>
              <w:t> </w:t>
            </w:r>
            <w:r>
              <w:rPr>
                <w:rFonts w:ascii="Times New Roman;Times;serif" w:hAnsi="Times New Roman;Times;serif"/>
                <w:b w:val="false"/>
                <w:i w:val="false"/>
                <w:caps w:val="false"/>
                <w:smallCaps w:val="false"/>
                <w:sz w:val="16"/>
              </w:rPr>
              <w:t>million, respectively, in management fees from Star Holdings. The management fees are included in “Other income” in the Company’s consolidated statements of operations.</w:t>
            </w:r>
            <w:r>
              <w:rPr>
                <w:caps w:val="false"/>
                <w:smallCaps w:val="false"/>
              </w:rPr>
              <w:t xml:space="preserve"> </w:t>
            </w:r>
          </w:p>
        </w:tc>
      </w:tr>
    </w:tbl>
    <w:p>
      <w:pPr>
        <w:pStyle w:val="TextBody"/>
        <w:shd w:fill="FFFFFF" w:val="clear"/>
        <w:bidi w:val="0"/>
        <w:spacing w:before="0" w:after="0"/>
        <w:ind w:left="0" w:right="0" w:firstLine="720"/>
        <w:jc w:val="both"/>
        <w:rPr/>
      </w:pPr>
      <w:r>
        <w:rPr/>
        <w:t>​</w:t>
      </w:r>
    </w:p>
    <w:p>
      <w:pPr>
        <w:pStyle w:val="TextBody"/>
        <w:shd w:fill="FFFFFF" w:val="clear"/>
        <w:bidi w:val="0"/>
        <w:spacing w:before="0" w:after="0"/>
        <w:ind w:left="0" w:right="0" w:firstLine="720"/>
        <w:jc w:val="both"/>
        <w:rPr/>
      </w:pPr>
      <w:r>
        <w:rPr/>
        <w:t>​</w:t>
      </w:r>
    </w:p>
    <w:p>
      <w:pPr>
        <w:pStyle w:val="TextBody"/>
        <w:shd w:fill="FFFFFF" w:val="clear"/>
        <w:bidi w:val="0"/>
        <w:spacing w:before="0" w:after="0"/>
        <w:ind w:left="0" w:right="0" w:firstLine="720"/>
        <w:jc w:val="both"/>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800" w:name="Item2ManagementsDiscussionandAnalysisofF"/>
      <w:bookmarkStart w:id="1801" w:name="_63cf9e81_b47d_43db_8573_bb826df16ae2"/>
      <w:bookmarkEnd w:id="1800"/>
      <w:bookmarkEnd w:id="1801"/>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are included with respect to, among other things, Safehold Inc.’s (the “Company’s”) current business plan, business strategy, portfolio management, prospects and liquidity. These forward-looking statements generally are identified by the words “believe,” “project,” “expect,” “anticipate,” “estimate,” “intend,” “strategy,” “plan,” “may,” “should,” “will,” “would,” “will be,” “will continue,” “will likely result,” and similar expressions. Forward-looking statements are based on current expectations and assumptions that are subject to risks and uncertainties which may cause actual results or outcomes to differ materially from those contained in the forward-looking statements. We undertake no obligation to update or revise publicly any forward-looking statements, whether as a result of new information, future events or otherwise. In assessing all forward-looking statements, readers are urged to read carefully all cautionary statements contained in this Form 10-Q and the uncertainties and risks described in Item 1A. “Risk Factors” in our Annual Report on Form 10-K for the year ended December 31, 2024 (the “2024 Annual Report”), all of which could affect our future results of operations, financial condition and liquidity.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discussion below should be read in conjunction with our consolidated financial statements and related notes in this quarterly report on Form 10-Q and our 2024 Annual Report. These historical financial statements may not be indicative of our future performance.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Business Overview</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acquire, manage and capitalize Ground Leases and report our business as a single reportable segment. We believe owning a portfolio of Ground Leases affords our investors the opportunity for safe, growing income. Safety is derived from a Ground Lease’s senior position in the commercial real estate capital structure. Growth is realized through long-term leases with contractual periodic increases in rent. Capital appreciation is realized though appreciation in the value of the land over time and through our typical rights as landlord to acquire the commercial buildings on our land at the end of a Ground Lease, which may yield substantial value to us. As of June 30, 2025, the percentage breakdown of the gross book value of our portfolio was 41% multi-family, 40% office, 11% hotels, 6% life science and 2% mixed use and other. The diversification by geographic location, property type and sponsor in our portfolio further reduces risk and enhances potential upside.</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2022, the Consumer Price Index (“CPI”) rose to its highest rate in over 40 years. Many of our Ground Leases have CPI lookbacks, generally starting between years 11 and 21 of the lease term, to mitigate the effects of inflation that are typically capped between 3.0% - 3.5%; however, in the event cumulative inflation growth for the lookback period exceeds the cap, these rent adjustments may not keep up fully with changes in inflation. To combat the increase in inflation over the past few years, the Federal Reserve raised interest rates and has kept interest rates generally high. This increase in interest rates has produced progress on inflation and in September 2024, the Federal Reserve reduced the federal funds rate by 50 basis points, which marked the first interest rate cut in four years. The Federal Reserve further reduced the federal funds rate by 25 basis points in each of November 2024 and December 2024. The Federal Reserve has indicated that the economic outlook, including any potential impact on the economy from changes to U.S. trade policy, is uncertain and it will continue to monitor incoming data on unemployment and inflation before adjusting monetary policy; however, high interest rates have, and any future increase in interest rates may continue to result in a reduction in the availability or an increase in costs of leasehold financing for Ground Lease tenants, which is critical to the growth of a robust Ground Lease market. The rise in interest rates and increased investment spreads to treasury bonds in the Ground Lease market may also attract new competitors, which may result in higher costs for properties, lower returns and impact our ability to grow.</w:t>
      </w:r>
    </w:p>
    <w:p>
      <w:pPr>
        <w:pStyle w:val="TextBody"/>
        <w:shd w:fill="FFFFFF" w:val="clear"/>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The rise in interest rates has also adversely affected the U.S. office sector, along with office vacancies and a decline in market liquidity that began with the onset of the COVID-19 pandemic, all of which could negatively impact our tenants, Ground Rent Coverages and estimated Combined Property Values. Moreover, certain office assets currently have material vacancies. If our Ground Lease tenants at such assets fail to re-tenant the building, such Ground Leases may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shd w:fill="FFFFFF" w:val="clear"/>
        </w:rPr>
        <w:t>default and we may suffer losses.</w:t>
      </w:r>
      <w:r>
        <w:rPr>
          <w:rFonts w:ascii="Times New Roman;Times;serif" w:hAnsi="Times New Roman;Times;serif"/>
          <w:sz w:val="20"/>
        </w:rPr>
        <w:t xml:space="preserve"> </w:t>
      </w:r>
      <w:r>
        <w:rPr>
          <w:rFonts w:ascii="Times New Roman;Times;serif" w:hAnsi="Times New Roman;Times;serif"/>
          <w:sz w:val="20"/>
          <w:shd w:fill="FFFFFF" w:val="clear"/>
        </w:rPr>
        <w:t>We have entered into a forbearance agreement with a tenant under a significant New York office asset. If the tenant defaults on such agreement, we may experience delays in enforcing our rights as a landlord, may suffer losses and may incur substantial costs in protecting our investment. See the "Risk Factors" section of our 2024 Annual Report for additional discussion of certain potential risks to our business related to competition and industry concentrations.</w:t>
      </w:r>
      <w:r>
        <w:rPr>
          <w:rFonts w:ascii="Times New Roman;Times;serif" w:hAnsi="Times New Roman;Times;serif"/>
          <w:sz w:val="20"/>
        </w:rPr>
        <w:t xml:space="preserv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chosen to focus on Ground Leases because we believe they meet an important need in the real estate capital markets for our customers. We also believe Ground Leases offer a unique combination of safety, income growth and the potential for capital appreciation for investors for the following reasons: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High Quality Long-Term Cash Flow</w:t>
      </w:r>
      <w:r>
        <w:rPr>
          <w:rFonts w:ascii="Times New Roman;Times;serif" w:hAnsi="Times New Roman;Times;serif"/>
          <w:sz w:val="20"/>
        </w:rPr>
        <w:t>: We believe that a Ground Lease represents a safe position in a property’s capital structure. The combined value of the land and buildings and improvements thereon subject to a Ground Lease (the “Combined Property Value”) typically significantly exceeds the Ground Lease landlord’s investment in the Ground Lease; therefore, even if the landlord takes over the property following a tenant default or upon expiration of the Ground Lease, the landlord may recover substantially all of its Ground Lease investment, and possibly amounts in excess of its investment, depending upon prevailing market conditions. Additionally, the typical structure of a Ground Lease provides the landlord with a residual right to regain possession of its land and take ownership of the buildings and improvements thereon upon a tenant default. The landlord’s residual right provides a strong incentive for a Ground Lease tenant or its leasehold lender to make the required Ground Lease rent payments.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Income Growth</w:t>
      </w:r>
      <w:r>
        <w:rPr>
          <w:rFonts w:ascii="Times New Roman;Times;serif" w:hAnsi="Times New Roman;Times;serif"/>
          <w:sz w:val="20"/>
        </w:rPr>
        <w:t>: Ground Leases typically provide growing income streams through contractual base rent escalators that may compound over the duration of the lease. These rent escalators may be based on fixed increases, a CPI or a combination thereof, and may also include a participation in the gross revenues of the property. We believe that this growth in the lease rate over time can mitigate the effects of inflation and capture anticipated increases in land values over time, as well as serving as a basis for growing our dividend.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Opportunity for Capital Appreciation: </w:t>
      </w:r>
      <w:r>
        <w:rPr>
          <w:rFonts w:ascii="Times New Roman;Times;serif" w:hAnsi="Times New Roman;Times;serif"/>
          <w:sz w:val="20"/>
        </w:rPr>
        <w:t>The opportunity for capital appreciation comes in two forms. First, as the ground rent grows over time, the value of the Ground Lease should grow under market conditions in which capitalization rates remain flat. Second, our residual right to regain possession of the land underlying the Ground Lease and take title to the buildings and other improvements thereon at lease expiration or earlier termination of the lease for no additional consideration creates additional potential value to our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generally target Ground Lease investments in which the initial cost of the Ground Lease represents 30% to 45% of the Combined Property Value as if the Ground Lease did not exist. If the initial cost of a Ground Lease is equal to 35% of the Combined Property Value, the remaining 65% of the Combined Property Value represents potential excess value over the amount of our investment that would be turned over to us upon the reversion of the property, assuming no intervening change in the Combined Property Value. In our view, there is a strong correlation between inflation and commercial real estate values over time, which supports our belief that the value of our owned residual portfolio should increase over time as inflation increases, although our ability to recognize value in certain cases may be limited by the rights of our tenants under some of our Ground Leases, including tenant rights to purchase our land in certain circumstances and the right of one tenant to demolish improvements prior to the expiration of the lease. See “Risk Factors” in our 2024 Annual Report for additional discussion of these tenant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Owned Residual Portfolio</w:t>
      </w:r>
      <w:r>
        <w:rPr>
          <w:rFonts w:ascii="Times New Roman;Times;serif" w:hAnsi="Times New Roman;Times;serif"/>
          <w:sz w:val="20"/>
        </w:rPr>
        <w:t>: We believe that the residual right is a unique feature distinguishing Ground Leases from other fixed income investments and property types. We refer to the value of the land and improvements subject to a Ground Lease in excess of our investment basis as unrealized capital appreciation (“UCA”). We track the UCA in our owned residual portfolio over our basis because we believe it provides relevant information with regard to the three key investment characteristics of our Ground Leases: (1) the safety of our position in a tenant’s capital structure; (2) the quality of the long-term cash flows generated by our portfolio rent that increases over time; and (3) increases and decreases in the Combined Property Value of the portfolio that reverts to us pursuant to such residual rights.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believe that, similar to a loan to value metric, tracking changes in the value of our owned residual portfolio is useful as an indicator of the quality of our cash flows and the safety of our position in a tenant’s capital structure, which, in turn, supports our objective to pay and grow dividends over time. Observing changes in our owned residual portfolio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value also helps us monitor changes in the value of the real estate portfolio that reverts to us under the terms of the leases, either at the expiration or earlier termination of the lease. The value may be realized by us at the relevant time by entering into a new lease reflecting then current market terms and values, selling the building, selling the building with the land, or operating the building directly and leasing the spaces to tenants at prevailing market rates.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engaged an independent valuation firm to prepare: (a) initial reports of the Combined Property Value associated with our Ground Lease portfolio; and (b) periodic updates of such reports, which we use, in part, to determine the current estimated value of our owned residual portfolio. We calculate this estimated value by subtracting our original aggregate cost basis in the Ground Leases from our estimated aggregate Combined Property Value, based on estimates by the valuation firm and by management.</w:t>
      </w:r>
    </w:p>
    <w:p>
      <w:pPr>
        <w:pStyle w:val="TextBody"/>
        <w:bidi w:val="0"/>
        <w:spacing w:lineRule="auto" w:line="240" w:before="0" w:after="0"/>
        <w:ind w:left="0" w:right="0" w:firstLine="720"/>
        <w:jc w:val="both"/>
        <w:rPr>
          <w:rFonts w:ascii="Times New Roman;Times;serif" w:hAnsi="Times New Roman;Times;serif"/>
          <w:sz w:val="20"/>
        </w:rPr>
      </w:pPr>
      <w:r>
        <w:rPr>
          <w:rFonts w:ascii="Times New Roman;Times;serif" w:hAnsi="Times New Roman;Times;serif"/>
          <w:sz w:val="20"/>
        </w:rPr>
        <w:t>The table below shows the current estimated UCA in our owned residual portfolio as of June 30, 2025 and December 31, 2024 ($ in millions):</w:t>
      </w:r>
      <w:r>
        <w:rPr>
          <w:rFonts w:ascii="Times New Roman;Times;serif" w:hAnsi="Times New Roman;Times;serif"/>
          <w:sz w:val="15"/>
        </w:rPr>
        <w:t xml:space="preserve">(1) </w:t>
      </w:r>
    </w:p>
    <w:p>
      <w:pPr>
        <w:pStyle w:val="TextBody"/>
        <w:bidi w:val="0"/>
        <w:spacing w:before="0" w:after="0"/>
        <w:ind w:left="0" w:right="0" w:hanging="0"/>
        <w:jc w:val="left"/>
        <w:rPr/>
      </w:pPr>
      <w:r>
        <w:rPr/>
        <w:t>​</w:t>
      </w:r>
    </w:p>
    <w:tbl>
      <w:tblPr>
        <w:tblW w:w="8785" w:type="dxa"/>
        <w:jc w:val="left"/>
        <w:tblInd w:w="0" w:type="dxa"/>
        <w:tblLayout w:type="fixed"/>
        <w:tblCellMar>
          <w:top w:w="0" w:type="dxa"/>
          <w:left w:w="0" w:type="dxa"/>
          <w:bottom w:w="0" w:type="dxa"/>
          <w:right w:w="0" w:type="dxa"/>
        </w:tblCellMar>
      </w:tblPr>
      <w:tblGrid>
        <w:gridCol w:w="5461"/>
        <w:gridCol w:w="326"/>
        <w:gridCol w:w="267"/>
        <w:gridCol w:w="859"/>
        <w:gridCol w:w="326"/>
        <w:gridCol w:w="350"/>
        <w:gridCol w:w="1196"/>
      </w:tblGrid>
      <w:tr>
        <w:trPr/>
        <w:tc>
          <w:tcPr>
            <w:tcW w:w="5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3467735" cy="175260"/>
                      <wp:effectExtent l="0" t="0" r="0" b="0"/>
                      <wp:wrapNone/>
                      <wp:docPr id="527" name="Frame527"/>
                      <a:graphic xmlns:a="http://schemas.openxmlformats.org/drawingml/2006/main">
                        <a:graphicData uri="http://schemas.microsoft.com/office/word/2010/wordprocessingShape">
                          <wps:wsp>
                            <wps:cNvSpPr txBox="1"/>
                            <wps:spPr>
                              <a:xfrm>
                                <a:off x="0" y="0"/>
                                <a:ext cx="3467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07010" cy="175260"/>
                      <wp:effectExtent l="0" t="0" r="0" b="0"/>
                      <wp:wrapNone/>
                      <wp:docPr id="528" name="Frame5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169545" cy="175260"/>
                      <wp:effectExtent l="0" t="0" r="0" b="0"/>
                      <wp:wrapNone/>
                      <wp:docPr id="529" name="Frame529"/>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545465" cy="175260"/>
                      <wp:effectExtent l="0" t="0" r="0" b="0"/>
                      <wp:wrapNone/>
                      <wp:docPr id="530" name="Frame530"/>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07010" cy="175260"/>
                      <wp:effectExtent l="0" t="0" r="0" b="0"/>
                      <wp:wrapNone/>
                      <wp:docPr id="531" name="Frame5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222250" cy="175260"/>
                      <wp:effectExtent l="0" t="0" r="0" b="0"/>
                      <wp:wrapNone/>
                      <wp:docPr id="532" name="Frame532"/>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759460" cy="175260"/>
                      <wp:effectExtent l="0" t="0" r="0" b="0"/>
                      <wp:wrapNone/>
                      <wp:docPr id="533" name="Frame533"/>
                      <a:graphic xmlns:a="http://schemas.openxmlformats.org/drawingml/2006/main">
                        <a:graphicData uri="http://schemas.microsoft.com/office/word/2010/wordprocessingShape">
                          <wps:wsp>
                            <wps:cNvSpPr txBox="1"/>
                            <wps:spPr>
                              <a:xfrm>
                                <a:off x="0" y="0"/>
                                <a:ext cx="759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546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Combined Property Value</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15,577</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15,523</w:t>
            </w:r>
          </w:p>
        </w:tc>
      </w:tr>
      <w:tr>
        <w:trPr/>
        <w:tc>
          <w:tcPr>
            <w:tcW w:w="546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Ground Lease Cost</w:t>
            </w:r>
            <w:r>
              <w:rPr>
                <w:rFonts w:ascii="Times New Roman;Times;serif" w:hAnsi="Times New Roman;Times;serif"/>
                <w:sz w:val="15"/>
              </w:rPr>
              <w:t>(2)</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6,521</w:t>
            </w:r>
          </w:p>
        </w:tc>
        <w:tc>
          <w:tcPr>
            <w:tcW w:w="32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 </w:t>
            </w:r>
          </w:p>
        </w:tc>
        <w:tc>
          <w:tcPr>
            <w:tcW w:w="11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6,395</w:t>
            </w:r>
          </w:p>
        </w:tc>
      </w:tr>
      <w:tr>
        <w:trPr/>
        <w:tc>
          <w:tcPr>
            <w:tcW w:w="5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Capital Appreciation in Our Owned Residual Portfolio</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9,056</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 </w:t>
            </w:r>
          </w:p>
        </w:tc>
        <w:tc>
          <w:tcPr>
            <w:tcW w:w="119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9,128</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Please review our Current Report on Form 8-K filed on August 5, 2025 for a discussion of the valuation methodology used and important limitations and qualifications of the calculation of UCA. See “Risk Factors-</w:t>
            </w:r>
            <w:r>
              <w:rPr>
                <w:rFonts w:ascii="Times New Roman;Times;serif" w:hAnsi="Times New Roman;Times;serif"/>
                <w:b w:val="false"/>
                <w:i/>
                <w:sz w:val="16"/>
              </w:rPr>
              <w:t>Certain tenant rights under our Ground Leases may limit the value and the UCA we are able to realize upon lease expiration, sale of our land and Ground Leases or other events</w:t>
            </w:r>
            <w:r>
              <w:rPr>
                <w:caps w:val="false"/>
                <w:smallCaps w:val="false"/>
              </w:rPr>
              <w:t xml:space="preserve">” </w:t>
            </w:r>
            <w:r>
              <w:rPr>
                <w:rFonts w:ascii="Times New Roman;Times;serif" w:hAnsi="Times New Roman;Times;serif"/>
                <w:b w:val="false"/>
                <w:i w:val="false"/>
                <w:caps w:val="false"/>
                <w:smallCaps w:val="false"/>
                <w:sz w:val="16"/>
              </w:rPr>
              <w:t>included in “Risk Factors” of our 2024 Annual Report</w:t>
            </w:r>
            <w:r>
              <w:rPr>
                <w:caps w:val="false"/>
                <w:smallCaps w:val="false"/>
              </w:rPr>
              <w:t xml:space="preserve"> </w:t>
            </w:r>
            <w:r>
              <w:rPr>
                <w:rFonts w:ascii="Times New Roman;Times;serif" w:hAnsi="Times New Roman;Times;serif"/>
                <w:b w:val="false"/>
                <w:i w:val="false"/>
                <w:caps w:val="false"/>
                <w:smallCaps w:val="false"/>
                <w:sz w:val="16"/>
              </w:rPr>
              <w:t>for a discussion of certain tenant rights and other terms of the leases that may limit our ability to realize value from the UCA.</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2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shd w:fill="FFFFFF" w:val="clear"/>
              </w:rPr>
              <w:t xml:space="preserve">Combined Property Value includes our applicable percentage interests in our unconsolidated Ground Lease </w:t>
            </w:r>
            <w:r>
              <w:rPr>
                <w:rFonts w:ascii="Times New Roman;Times;serif" w:hAnsi="Times New Roman;Times;serif"/>
                <w:b w:val="false"/>
                <w:i w:val="false"/>
                <w:caps w:val="false"/>
                <w:smallCaps w:val="false"/>
                <w:sz w:val="16"/>
              </w:rPr>
              <w:t>ventures and $291.1 million and $319.8 million related to transactions with remaining unfunded commitments as of June 30, 2025 and December 31, 2024, respectively.</w:t>
            </w:r>
            <w:r>
              <w:rPr>
                <w:caps w:val="false"/>
                <w:smallCaps w:val="false"/>
                <w:shd w:fill="FFFFFF" w:val="clear"/>
              </w:rPr>
              <w:t xml:space="preserve"> </w:t>
            </w:r>
            <w:r>
              <w:rPr>
                <w:rFonts w:ascii="Times New Roman;Times;serif" w:hAnsi="Times New Roman;Times;serif"/>
                <w:b w:val="false"/>
                <w:i w:val="false"/>
                <w:caps w:val="false"/>
                <w:smallCaps w:val="false"/>
                <w:sz w:val="16"/>
                <w:shd w:fill="FFFFFF" w:val="clear"/>
              </w:rPr>
              <w:t>Combined Property Value excludes the term loan to Star Holdings, the assets in the Leasehold Loan Fund (refer to Note 8 to the consolidated financial statements), the assets in the Ground Lease Plus Fund and amounts attributable to noncontrolling interests. Ground Lease Cost includes our applicable percentage interests in our unconsolidated Ground Lease ventures and $90.5 million and $46.2 million of unfunded commitments as of June 30, 2025 and December 31, 2024, respectively. Ground Lease Cost excludes the term loan to Star Holdings, our leasehold loans, the assets in the Leasehold Loan Fund, the assets in the Ground Lease Plus Fund and amounts attributable to noncontrolling interests. </w:t>
            </w:r>
            <w:r>
              <w:rPr>
                <w:rFonts w:ascii="Times New Roman;Times;serif" w:hAnsi="Times New Roman;Times;serif"/>
                <w:b w:val="false"/>
                <w:i w:val="false"/>
                <w:caps w:val="false"/>
                <w:smallCaps w:val="false"/>
                <w:sz w:val="16"/>
              </w:rPr>
              <w:t>As of June 30, 2025, our gross book value as a percentage of combined property value was 52%.</w:t>
            </w:r>
          </w:p>
        </w:tc>
      </w:tr>
    </w:tbl>
    <w:p>
      <w:pPr>
        <w:pStyle w:val="TextBody"/>
        <w:bidi w:val="0"/>
        <w:spacing w:before="0" w:after="0"/>
        <w:ind w:left="360" w:right="0" w:hanging="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Caret Program (as defined below) is designed to recognize the two distinct components of value in our Ground Lease portfolio by separating them into:</w:t>
      </w:r>
    </w:p>
    <w:p>
      <w:pPr>
        <w:pStyle w:val="TextBody"/>
        <w:shd w:fill="FFFFFF" w:val="clear"/>
        <w:bidi w:val="0"/>
        <w:spacing w:before="0" w:after="0"/>
        <w:ind w:left="0" w:right="0" w:firstLine="720"/>
        <w:jc w:val="both"/>
        <w:rPr/>
      </w:pPr>
      <w:r>
        <w:rPr/>
        <w:t>​</w:t>
      </w:r>
    </w:p>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the “bond component,” which consists of the bond-like income stream we receive from contractual rent payments under our Ground Leases, plus the return of our investment basis in each asset; and</w:t>
            </w:r>
            <w:r>
              <w:rPr>
                <w:caps w:val="false"/>
                <w:smallCaps w:val="false"/>
              </w:rPr>
              <w:t xml:space="preserve"> </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“Caret component,” which consists of the UCA above our investment basis in our Ground Leases due to our ownership of the land and improvements at the end of the term of the applicable Ground Lease.</w:t>
            </w:r>
          </w:p>
        </w:tc>
      </w:tr>
    </w:tbl>
    <w:p>
      <w:pPr>
        <w:pStyle w:val="TextBody"/>
        <w:shd w:fill="FFFFFF" w:val="clear"/>
        <w:bidi w:val="0"/>
        <w:spacing w:before="0" w:after="0"/>
        <w:ind w:left="0" w:right="0" w:firstLine="72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Portfolio Holdings’ two classes of limited liability company interests are designed to track these two components: “GL units” are intended to track the bond component and “Caret units” are designed to track the Caret component (the “Caret Program”). We currently hold all of the issued and outstanding GL units of Portfolio Holdings.</w:t>
      </w:r>
    </w:p>
    <w:p>
      <w:pPr>
        <w:pStyle w:val="TextBody"/>
        <w:shd w:fill="FFFFFF" w:val="clear"/>
        <w:bidi w:val="0"/>
        <w:spacing w:before="0" w:after="0"/>
        <w:ind w:left="0" w:right="0" w:firstLine="72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general, all of our Ground Leases are subject to the Caret Program, except for non-commercial Ground Leases and pre-development Ground Leases. Holders of Caret units are generally entitled to amounts equal to the net proceeds from the disposition of a Ground Lease asset in excess of the cost borne by us to acquire such asset (including amounts paid to the tenant in connection with the initial development of improvements at the properties). However, we are entitled to deduct (i) unrecovered acquisition costs borne by Portfolio Holdings following the termination of an applicable Ground Lease by reason of defaults of tenants; (ii) accrued unpaid rent under the applicable Ground Lease; and (iii) unrecovered costs relating to the issuance, maintenance and management of Caret units as a separate security, among other costs, from the amount payable to the holders of Caret units on account of such net proceeds. See “SAFE Proposal 2: The SAFE Caret Amendment Proposal” in our Registration Statement on Form S-4, filed with the SEC on December 16, 2022, for more information on the Caret Program.</w:t>
      </w:r>
    </w:p>
    <w:p>
      <w:pPr>
        <w:pStyle w:val="TextBody"/>
        <w:shd w:fill="FFFFFF" w:val="clear"/>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have a Caret Performance Incentive Plan (the “Caret Performance Incentive Plan”) pursuant to which Caret units are reserved for grants of performance-based awards to participants including certain employees of the Company, directors and service providers. As of June 30, 2025, all outstanding Caret units awarded under the Caret Performance Incentive Plan are fully vested except for grants awarded in connection with the merger between Safehold Inc. and iStar Inc. on March 31, 2023 to executive officers and other employees, which are subject to cliff vesting on March 31, 2027 if our common stock has traded at an average price of $60.00 or more for at least 30 consecutive trading days since the grant date, and certain awards granted to a former employee that vest in December 2025, subject to certain conditions. As of June 30, 2025, vested and unvested Caret units beneficially owned by our officers and other employees represent approximately 14.4% of the outstanding Caret units and 11.4% of the authorized Caret units, including 6.1% held directly and indirectly by Jay Sugarman, our Chairman and Chief Executive Officer, and approximately 128,871 Caret units remain available for issuance under the Caret Performance Incentive Plan.</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addition to the Caret units awarded or reserved for issuance under our Caret Performance Incentive Plan, we have sold 122,500 Caret units to third-party investors, including affiliates of MSD Partners, that remain outstanding as of June 30, 2025. As of June 30, 2025, the Company owned 84.3% of the outstanding Caret units. In connection with the sale of 137,142 Caret units in February 2022 (28,571 of which were committed to be purchased at the time, but did not close), we agreed to use commercially reasonable efforts to provide public market liquidity for such Caret units by seeking to provide a listing of the Caret units (or securities into which they may be exchanged) on a public exchange within two years of the sale. Because public market liquidity was not achieved by February 2024, the investors in the February 2022 transaction had the right to cause their Caret units purchased in February 2022 to be redeemed by Portfolio Holdings at such purchase price less the amount of distributions previously made on such units. In April 2024, all of the investors in the February 2022 transaction exercised this right and elected to have their Caret units redeemed at the original purchase price less the amount of distributions previously made on such units.</w:t>
      </w:r>
    </w:p>
    <w:p>
      <w:pPr>
        <w:pStyle w:val="TextBody"/>
        <w:shd w:fill="FFFFFF" w:val="clear"/>
        <w:bidi w:val="0"/>
        <w:spacing w:before="0" w:after="0"/>
        <w:ind w:left="0" w:right="0" w:firstLine="720"/>
        <w:jc w:val="both"/>
        <w:rPr/>
      </w:pPr>
      <w:r>
        <w:rPr/>
        <w:t>​</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Market Opportunity</w:t>
      </w:r>
      <w:r>
        <w:rPr>
          <w:rFonts w:ascii="Times New Roman;Times;serif" w:hAnsi="Times New Roman;Times;serif"/>
          <w:sz w:val="20"/>
        </w:rPr>
        <w:t xml:space="preserve">: We believe that there is a significant market opportunity for a dedicated provider of Ground Lease capital like us. We believe that the market for existing Ground Leases is fragmented with ownership comprised primarily of high net worth individuals, pension funds, life insurance companies, estates and endowments. However, while we intend to pursue acquisitions of existing Ground Leases, our investment thesis is predicated, in part, on what we believe is an untapped market opportunity to expand the use of Ground Leases to a broader component of the approximately $7.0 trillion institutional commercial property market in the U.S. We intend to capture this market opportunity by utilizing multiple sourcing and origination channels, including manufacturing new Ground Leases with third-party owners and developers of commercial real estate and originating Ground Leases to provide capital for development and redevelopment. We further believe that Ground Leases generally represent an attractive source of capital for our tenants and may allow them to generate superior returns on their invested equity as compared to utilizing alternative sources of capital. </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Additionally, we have created additional channels and products that allows us to build a larger, captive pipeline. We have interests in two Ground Lease ecosystem funds, the Ground Lease Plus Fund and the Leasehold Loan Fund (refer to Note 8 to the consolidated financial statements). The Ground Lease Plus Fund includes two assets and targets high quality projects in pre-construction development phase with institutional developers. The Leasehold Loan Fund currently includes three assets and allows for customers to receive their full capital structure needs in one place. We have also recently begun to originate leasehold loans individually. Customers are able to receive a mortgage leasehold loan as well as a Ground Lease through us. We also created “SAFExSWAP,” which is a program that allows real estate investors with existing ground leases to swap into one of our Ground Leases. Additionally, our product “SAFExSELL” provides clients with an opportunity to enter into a Ground Lease at the time of the sale of a real estate asset, generating greater proceeds than would normally be expected in connection with a fee simple sale.</w:t>
      </w:r>
    </w:p>
    <w:p>
      <w:pPr>
        <w:pStyle w:val="TextBody"/>
        <w:shd w:fill="FFFFFF" w:val="clear"/>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Portfolio</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portfolio of properties is diversified by property type and region. Our portfolio is comprised of Ground Leases, leasehold loans and one master lease (relating to five hotel assets that we refer to as our “Park Hotels Portfolio”) that has many of the characteristics of a Ground Lease. The tenant under our Park Hotels Portfolio elected to extend the leases underlying three of the five hotels past the initial lease maturity of December 2025 (see the "Risk Factors -</w:t>
      </w:r>
      <w:r>
        <w:rPr>
          <w:rFonts w:ascii="Times New Roman;Times;serif" w:hAnsi="Times New Roman;Times;serif"/>
          <w:i/>
          <w:sz w:val="20"/>
        </w:rPr>
        <w:t>We may be unable to renew expiring Ground Leases, re-lease the land or sell the properties on favorable terms or at all</w:t>
      </w:r>
      <w:r>
        <w:rPr>
          <w:rFonts w:ascii="Times New Roman;Times;serif" w:hAnsi="Times New Roman;Times;serif"/>
          <w:sz w:val="20"/>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i/>
          <w:sz w:val="20"/>
        </w:rPr>
        <w:t>Percentage rent payable under our master lease relating to the Park Hotels Portfolio is calculated on an aggregate portfolio-wide basis, -We are the tenant of a Ground Lease underlying a majority of our Doubletree Seattle Airport property</w:t>
      </w:r>
      <w:r>
        <w:rPr>
          <w:rFonts w:ascii="Times New Roman;Times;serif" w:hAnsi="Times New Roman;Times;serif"/>
          <w:sz w:val="20"/>
        </w:rPr>
        <w:t>" in our 2024 Annual Report for a discussion of our Park Hotels Portfolio). As of June 30, 2025, our estimated portfolio Ground Rent Coverage was 3.5x (see the "Risk Factors -</w:t>
      </w:r>
      <w:r>
        <w:rPr>
          <w:rFonts w:ascii="Times New Roman;Times;serif" w:hAnsi="Times New Roman;Times;serif"/>
          <w:i/>
          <w:sz w:val="20"/>
        </w:rPr>
        <w:t>Our estimated UCA, Combined Property Value and Ground Rent Coverage, may not reflect current market values, including the decline in office values, and may decline materially in future periods</w:t>
      </w:r>
      <w:r>
        <w:rPr>
          <w:rFonts w:ascii="Times New Roman;Times;serif" w:hAnsi="Times New Roman;Times;serif"/>
          <w:sz w:val="20"/>
        </w:rPr>
        <w:t>, -</w:t>
      </w:r>
      <w:r>
        <w:rPr>
          <w:rFonts w:ascii="Times New Roman;Times;serif" w:hAnsi="Times New Roman;Times;serif"/>
          <w:i/>
          <w:sz w:val="20"/>
        </w:rPr>
        <w:t>We rely on Property NOI as reported to us by our tenants, -Our estimates of Ground Rent Coverage for properties in development or transition, or for which we do not receive current tenant financial information, may prove to be incorrect</w:t>
      </w:r>
      <w:r>
        <w:rPr>
          <w:rFonts w:ascii="Times New Roman;Times;serif" w:hAnsi="Times New Roman;Times;serif"/>
          <w:sz w:val="20"/>
        </w:rPr>
        <w:t>" in our 2024 Annual Report for a discussion of our estimated Ground Rent Coverage).</w:t>
      </w:r>
    </w:p>
    <w:p>
      <w:pPr>
        <w:pStyle w:val="TextBody"/>
        <w:bidi w:val="0"/>
        <w:spacing w:lineRule="auto" w:line="240" w:before="0" w:after="0"/>
        <w:ind w:left="0" w:right="0" w:firstLine="720"/>
        <w:jc w:val="both"/>
        <w:rPr>
          <w:rFonts w:ascii="Times New Roman;Times;serif" w:hAnsi="Times New Roman;Times;serif"/>
          <w:sz w:val="20"/>
        </w:rPr>
      </w:pPr>
      <w:r>
        <w:rPr>
          <w:rFonts w:ascii="Times New Roman;Times;serif" w:hAnsi="Times New Roman;Times;serif"/>
          <w:sz w:val="20"/>
        </w:rPr>
        <w:t>Below is an overview of the top 10 Ground Leases in our portfolio as of June 30, 2025 (based on gross book value and excluding unfunded commitments):</w:t>
      </w:r>
      <w:r>
        <w:rPr>
          <w:rFonts w:ascii="Times New Roman;Times;serif" w:hAnsi="Times New Roman;Times;serif"/>
          <w:sz w:val="15"/>
        </w:rPr>
        <w:t xml:space="preserve">(1) </w:t>
      </w:r>
    </w:p>
    <w:tbl>
      <w:tblPr>
        <w:tblW w:w="9647" w:type="dxa"/>
        <w:jc w:val="left"/>
        <w:tblInd w:w="0" w:type="dxa"/>
        <w:tblLayout w:type="fixed"/>
        <w:tblCellMar>
          <w:top w:w="0" w:type="dxa"/>
          <w:left w:w="0" w:type="dxa"/>
          <w:bottom w:w="0" w:type="dxa"/>
          <w:right w:w="0" w:type="dxa"/>
        </w:tblCellMar>
      </w:tblPr>
      <w:tblGrid>
        <w:gridCol w:w="1696"/>
        <w:gridCol w:w="326"/>
        <w:gridCol w:w="1306"/>
        <w:gridCol w:w="326"/>
        <w:gridCol w:w="1051"/>
        <w:gridCol w:w="326"/>
        <w:gridCol w:w="871"/>
        <w:gridCol w:w="326"/>
        <w:gridCol w:w="2026"/>
        <w:gridCol w:w="326"/>
        <w:gridCol w:w="811"/>
        <w:gridCol w:w="256"/>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1076960" cy="175260"/>
                      <wp:effectExtent l="0" t="0" r="0" b="0"/>
                      <wp:wrapNone/>
                      <wp:docPr id="534" name="Frame534"/>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207010" cy="175260"/>
                      <wp:effectExtent l="0" t="0" r="0" b="0"/>
                      <wp:wrapNone/>
                      <wp:docPr id="535" name="Frame5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829310" cy="175260"/>
                      <wp:effectExtent l="0" t="0" r="0" b="0"/>
                      <wp:wrapNone/>
                      <wp:docPr id="536" name="Frame536"/>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207010" cy="175260"/>
                      <wp:effectExtent l="0" t="0" r="0" b="0"/>
                      <wp:wrapNone/>
                      <wp:docPr id="537" name="Frame5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667385" cy="175260"/>
                      <wp:effectExtent l="0" t="0" r="0" b="0"/>
                      <wp:wrapNone/>
                      <wp:docPr id="538" name="Frame538"/>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207010" cy="175260"/>
                      <wp:effectExtent l="0" t="0" r="0" b="0"/>
                      <wp:wrapNone/>
                      <wp:docPr id="539" name="Frame5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553085" cy="175260"/>
                      <wp:effectExtent l="0" t="0" r="0" b="0"/>
                      <wp:wrapNone/>
                      <wp:docPr id="540" name="Frame540"/>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207010" cy="175260"/>
                      <wp:effectExtent l="0" t="0" r="0" b="0"/>
                      <wp:wrapNone/>
                      <wp:docPr id="541" name="Frame5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1286510" cy="175260"/>
                      <wp:effectExtent l="0" t="0" r="0" b="0"/>
                      <wp:wrapNone/>
                      <wp:docPr id="542" name="Frame542"/>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207010" cy="175260"/>
                      <wp:effectExtent l="0" t="0" r="0" b="0"/>
                      <wp:wrapNone/>
                      <wp:docPr id="543" name="Frame5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514985" cy="175260"/>
                      <wp:effectExtent l="0" t="0" r="0" b="0"/>
                      <wp:wrapNone/>
                      <wp:docPr id="544" name="Frame544"/>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162560" cy="175260"/>
                      <wp:effectExtent l="0" t="0" r="0" b="0"/>
                      <wp:wrapNone/>
                      <wp:docPr id="545" name="Frame545"/>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Lease </w:t>
            </w:r>
          </w:p>
        </w:tc>
        <w:tc>
          <w:tcPr>
            <w:tcW w:w="326" w:type="dxa"/>
            <w:tcBorders/>
            <w:vAlign w:val="center"/>
          </w:tcPr>
          <w:p>
            <w:pPr>
              <w:pStyle w:val="TableContents"/>
              <w:bidi w:val="0"/>
              <w:spacing w:before="0" w:after="1"/>
              <w:ind w:left="0" w:right="0" w:hanging="0"/>
              <w:jc w:val="center"/>
              <w:rPr/>
            </w:pPr>
            <w:r>
              <w:rPr/>
              <w:t>​</w:t>
            </w:r>
          </w:p>
        </w:tc>
        <w:tc>
          <w:tcPr>
            <w:tcW w:w="20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pPr>
            <w:r>
              <w:rPr/>
              <w:t>​</w:t>
            </w:r>
          </w:p>
        </w:tc>
        <w:tc>
          <w:tcPr>
            <w:tcW w:w="256" w:type="dxa"/>
            <w:tcBorders/>
            <w:vAlign w:val="center"/>
          </w:tcPr>
          <w:p>
            <w:pPr>
              <w:pStyle w:val="TableContents"/>
              <w:bidi w:val="0"/>
              <w:spacing w:before="0" w:after="1"/>
              <w:ind w:left="0" w:right="0" w:hanging="0"/>
              <w:jc w:val="center"/>
              <w:rPr/>
            </w:pPr>
            <w:r>
              <w:rPr/>
              <w:t> </w:t>
            </w:r>
          </w:p>
        </w:tc>
      </w:tr>
      <w:tr>
        <w:trPr/>
        <w:tc>
          <w:tcPr>
            <w:tcW w:w="16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Property </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Expiration / </w:t>
            </w:r>
          </w:p>
        </w:tc>
        <w:tc>
          <w:tcPr>
            <w:tcW w:w="326" w:type="dxa"/>
            <w:tcBorders/>
            <w:vAlign w:val="center"/>
          </w:tcPr>
          <w:p>
            <w:pPr>
              <w:pStyle w:val="TableContents"/>
              <w:bidi w:val="0"/>
              <w:spacing w:before="0" w:after="1"/>
              <w:ind w:left="0" w:right="0" w:hanging="0"/>
              <w:jc w:val="left"/>
              <w:rPr/>
            </w:pPr>
            <w:r>
              <w:rPr/>
              <w:t>​</w:t>
            </w:r>
          </w:p>
        </w:tc>
        <w:tc>
          <w:tcPr>
            <w:tcW w:w="202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Rent Escalation </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of Gross </w:t>
            </w:r>
          </w:p>
        </w:tc>
        <w:tc>
          <w:tcPr>
            <w:tcW w:w="256" w:type="dxa"/>
            <w:tcBorders/>
            <w:vAlign w:val="center"/>
          </w:tcPr>
          <w:p>
            <w:pPr>
              <w:pStyle w:val="TableContents"/>
              <w:bidi w:val="0"/>
              <w:spacing w:before="0" w:after="1"/>
              <w:ind w:left="0" w:right="0" w:hanging="0"/>
              <w:jc w:val="center"/>
              <w:rPr/>
            </w:pPr>
            <w:r>
              <w:rPr/>
              <w:t>​</w:t>
            </w:r>
          </w:p>
        </w:tc>
      </w:tr>
      <w:tr>
        <w:trPr/>
        <w:tc>
          <w:tcPr>
            <w:tcW w:w="16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Property Name</w:t>
            </w:r>
          </w:p>
        </w:tc>
        <w:tc>
          <w:tcPr>
            <w:tcW w:w="326" w:type="dxa"/>
            <w:tcBorders/>
            <w:vAlign w:val="center"/>
          </w:tcPr>
          <w:p>
            <w:pPr>
              <w:pStyle w:val="TableContents"/>
              <w:bidi w:val="0"/>
              <w:spacing w:before="0" w:after="1"/>
              <w:ind w:left="0" w:right="0" w:hanging="0"/>
              <w:jc w:val="left"/>
              <w:rPr/>
            </w:pPr>
            <w:r>
              <w:rPr/>
              <w:t>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Type</w:t>
            </w:r>
          </w:p>
        </w:tc>
        <w:tc>
          <w:tcPr>
            <w:tcW w:w="326" w:type="dxa"/>
            <w:tcBorders/>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Location</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As Extended</w:t>
            </w:r>
          </w:p>
        </w:tc>
        <w:tc>
          <w:tcPr>
            <w:tcW w:w="326" w:type="dxa"/>
            <w:tcBorders/>
            <w:vAlign w:val="center"/>
          </w:tcPr>
          <w:p>
            <w:pPr>
              <w:pStyle w:val="TableContents"/>
              <w:bidi w:val="0"/>
              <w:spacing w:before="0" w:after="1"/>
              <w:ind w:left="0" w:right="0" w:hanging="0"/>
              <w:jc w:val="left"/>
              <w:rPr/>
            </w:pPr>
            <w:r>
              <w:rPr/>
              <w:t>    </w:t>
            </w:r>
          </w:p>
        </w:tc>
        <w:tc>
          <w:tcPr>
            <w:tcW w:w="20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Structure</w:t>
            </w:r>
          </w:p>
        </w:tc>
        <w:tc>
          <w:tcPr>
            <w:tcW w:w="326" w:type="dxa"/>
            <w:tcBorders/>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Book Value</w:t>
            </w:r>
          </w:p>
        </w:tc>
        <w:tc>
          <w:tcPr>
            <w:tcW w:w="256" w:type="dxa"/>
            <w:tcBorders/>
            <w:vAlign w:val="center"/>
          </w:tcPr>
          <w:p>
            <w:pPr>
              <w:pStyle w:val="TableContents"/>
              <w:bidi w:val="0"/>
              <w:spacing w:before="0" w:after="1"/>
              <w:ind w:left="0" w:right="0" w:hanging="0"/>
              <w:jc w:val="center"/>
              <w:rPr/>
            </w:pPr>
            <w:r>
              <w:rPr/>
              <w:t>​</w:t>
            </w:r>
          </w:p>
        </w:tc>
      </w:tr>
      <w:tr>
        <w:trPr/>
        <w:tc>
          <w:tcPr>
            <w:tcW w:w="16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sz w:val="14"/>
              </w:rPr>
              <w:t>425 Park Avenue</w:t>
            </w:r>
            <w:r>
              <w:rPr>
                <w:rFonts w:ascii="Times New Roman;Times;serif" w:hAnsi="Times New Roman;Times;serif"/>
                <w:sz w:val="11"/>
              </w:rPr>
              <w:t>(2)</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Office</w:t>
            </w:r>
          </w:p>
        </w:tc>
        <w:tc>
          <w:tcPr>
            <w:tcW w:w="32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New York, NY</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2090 / 2090</w:t>
            </w:r>
          </w:p>
        </w:tc>
        <w:tc>
          <w:tcPr>
            <w:tcW w:w="326" w:type="dxa"/>
            <w:tcBorders/>
            <w:shd w:fill="CCEEFF" w:val="clear"/>
            <w:vAlign w:val="center"/>
          </w:tcPr>
          <w:p>
            <w:pPr>
              <w:pStyle w:val="TableContents"/>
              <w:bidi w:val="0"/>
              <w:spacing w:before="0" w:after="1"/>
              <w:ind w:left="0" w:right="0" w:hanging="0"/>
              <w:jc w:val="left"/>
              <w:rPr/>
            </w:pPr>
            <w:r>
              <w:rPr/>
              <w:t> </w:t>
            </w:r>
          </w:p>
        </w:tc>
        <w:tc>
          <w:tcPr>
            <w:tcW w:w="202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Fixed with Inflation Adjustments</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5.3</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135 West 50th Street</w:t>
            </w:r>
          </w:p>
        </w:tc>
        <w:tc>
          <w:tcPr>
            <w:tcW w:w="32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Office</w:t>
            </w:r>
          </w:p>
        </w:tc>
        <w:tc>
          <w:tcPr>
            <w:tcW w:w="32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New York, NY</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2123 / 2123</w:t>
            </w:r>
          </w:p>
        </w:tc>
        <w:tc>
          <w:tcPr>
            <w:tcW w:w="326" w:type="dxa"/>
            <w:tcBorders/>
            <w:vAlign w:val="center"/>
          </w:tcPr>
          <w:p>
            <w:pPr>
              <w:pStyle w:val="TableContents"/>
              <w:bidi w:val="0"/>
              <w:spacing w:before="0" w:after="1"/>
              <w:ind w:left="0" w:right="0" w:hanging="0"/>
              <w:jc w:val="left"/>
              <w:rPr/>
            </w:pPr>
            <w:r>
              <w:rPr/>
              <w:t> </w:t>
            </w:r>
          </w:p>
        </w:tc>
        <w:tc>
          <w:tcPr>
            <w:tcW w:w="202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Fixed with Inflation Adjustments</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195 Broadway</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Office</w:t>
            </w:r>
          </w:p>
        </w:tc>
        <w:tc>
          <w:tcPr>
            <w:tcW w:w="32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New York, NY</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2118 / 2118</w:t>
            </w:r>
          </w:p>
        </w:tc>
        <w:tc>
          <w:tcPr>
            <w:tcW w:w="326" w:type="dxa"/>
            <w:tcBorders/>
            <w:shd w:fill="CCEEFF" w:val="clear"/>
            <w:vAlign w:val="center"/>
          </w:tcPr>
          <w:p>
            <w:pPr>
              <w:pStyle w:val="TableContents"/>
              <w:bidi w:val="0"/>
              <w:spacing w:before="0" w:after="1"/>
              <w:ind w:left="0" w:right="0" w:hanging="0"/>
              <w:jc w:val="left"/>
              <w:rPr/>
            </w:pPr>
            <w:r>
              <w:rPr/>
              <w:t> </w:t>
            </w:r>
          </w:p>
        </w:tc>
        <w:tc>
          <w:tcPr>
            <w:tcW w:w="202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Fixed with Inflation Adjustments</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 Cambridgeside</w:t>
            </w:r>
          </w:p>
        </w:tc>
        <w:tc>
          <w:tcPr>
            <w:tcW w:w="32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Life Science</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Cambridge, MA</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2121 / 2121</w:t>
            </w:r>
          </w:p>
        </w:tc>
        <w:tc>
          <w:tcPr>
            <w:tcW w:w="326" w:type="dxa"/>
            <w:tcBorders/>
            <w:vAlign w:val="center"/>
          </w:tcPr>
          <w:p>
            <w:pPr>
              <w:pStyle w:val="TableContents"/>
              <w:bidi w:val="0"/>
              <w:spacing w:before="0" w:after="1"/>
              <w:ind w:left="0" w:right="0" w:hanging="0"/>
              <w:jc w:val="left"/>
              <w:rPr/>
            </w:pPr>
            <w:r>
              <w:rPr/>
              <w:t>​</w:t>
            </w:r>
          </w:p>
        </w:tc>
        <w:tc>
          <w:tcPr>
            <w:tcW w:w="202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Fixed with Inflation Adjustments</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Alohilani</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Hotel</w:t>
            </w:r>
          </w:p>
        </w:tc>
        <w:tc>
          <w:tcPr>
            <w:tcW w:w="32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Honolulu, HI</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2118 / 2118</w:t>
            </w:r>
          </w:p>
        </w:tc>
        <w:tc>
          <w:tcPr>
            <w:tcW w:w="326" w:type="dxa"/>
            <w:tcBorders/>
            <w:shd w:fill="CCEEFF" w:val="clear"/>
            <w:vAlign w:val="center"/>
          </w:tcPr>
          <w:p>
            <w:pPr>
              <w:pStyle w:val="TableContents"/>
              <w:bidi w:val="0"/>
              <w:spacing w:before="0" w:after="1"/>
              <w:ind w:left="0" w:right="0" w:hanging="0"/>
              <w:jc w:val="left"/>
              <w:rPr/>
            </w:pPr>
            <w:r>
              <w:rPr/>
              <w:t> </w:t>
            </w:r>
          </w:p>
        </w:tc>
        <w:tc>
          <w:tcPr>
            <w:tcW w:w="202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Fixed with Inflation Adjustments</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696" w:type="dxa"/>
            <w:tcBorders/>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sz w:val="14"/>
              </w:rPr>
              <w:t>Park Hotels Portfolio</w:t>
            </w:r>
            <w:r>
              <w:rPr>
                <w:rFonts w:ascii="Times New Roman;Times;serif" w:hAnsi="Times New Roman;Times;serif"/>
                <w:sz w:val="11"/>
              </w:rPr>
              <w:t>(3)</w:t>
            </w:r>
          </w:p>
        </w:tc>
        <w:tc>
          <w:tcPr>
            <w:tcW w:w="32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Hotel</w:t>
            </w:r>
          </w:p>
        </w:tc>
        <w:tc>
          <w:tcPr>
            <w:tcW w:w="32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Various</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2025 / 2035</w:t>
            </w:r>
          </w:p>
        </w:tc>
        <w:tc>
          <w:tcPr>
            <w:tcW w:w="326" w:type="dxa"/>
            <w:tcBorders/>
            <w:vAlign w:val="center"/>
          </w:tcPr>
          <w:p>
            <w:pPr>
              <w:pStyle w:val="TableContents"/>
              <w:bidi w:val="0"/>
              <w:spacing w:before="0" w:after="1"/>
              <w:ind w:left="0" w:right="0" w:hanging="0"/>
              <w:jc w:val="left"/>
              <w:rPr/>
            </w:pPr>
            <w:r>
              <w:rPr/>
              <w:t> </w:t>
            </w:r>
          </w:p>
        </w:tc>
        <w:tc>
          <w:tcPr>
            <w:tcW w:w="202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 Rent</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685 Third Avenue</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Office</w:t>
            </w:r>
          </w:p>
        </w:tc>
        <w:tc>
          <w:tcPr>
            <w:tcW w:w="32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New York, NY</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2123 / 2123</w:t>
            </w:r>
          </w:p>
        </w:tc>
        <w:tc>
          <w:tcPr>
            <w:tcW w:w="326" w:type="dxa"/>
            <w:tcBorders/>
            <w:shd w:fill="CCEEFF" w:val="clear"/>
            <w:vAlign w:val="center"/>
          </w:tcPr>
          <w:p>
            <w:pPr>
              <w:pStyle w:val="TableContents"/>
              <w:bidi w:val="0"/>
              <w:spacing w:before="0" w:after="1"/>
              <w:ind w:left="0" w:right="0" w:hanging="0"/>
              <w:jc w:val="left"/>
              <w:rPr/>
            </w:pPr>
            <w:r>
              <w:rPr/>
              <w:t> </w:t>
            </w:r>
          </w:p>
        </w:tc>
        <w:tc>
          <w:tcPr>
            <w:tcW w:w="202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Fixed with Inflation Adjustments</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1111 Pennsylvania Avenue</w:t>
            </w:r>
          </w:p>
        </w:tc>
        <w:tc>
          <w:tcPr>
            <w:tcW w:w="32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Office</w:t>
            </w:r>
          </w:p>
        </w:tc>
        <w:tc>
          <w:tcPr>
            <w:tcW w:w="32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Washington, DC</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2117 / 2117</w:t>
            </w:r>
          </w:p>
        </w:tc>
        <w:tc>
          <w:tcPr>
            <w:tcW w:w="326" w:type="dxa"/>
            <w:tcBorders/>
            <w:vAlign w:val="center"/>
          </w:tcPr>
          <w:p>
            <w:pPr>
              <w:pStyle w:val="TableContents"/>
              <w:bidi w:val="0"/>
              <w:spacing w:before="0" w:after="1"/>
              <w:ind w:left="0" w:right="0" w:hanging="0"/>
              <w:jc w:val="left"/>
              <w:rPr/>
            </w:pPr>
            <w:r>
              <w:rPr/>
              <w:t> </w:t>
            </w:r>
          </w:p>
        </w:tc>
        <w:tc>
          <w:tcPr>
            <w:tcW w:w="202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Fixed with Inflation Adjustments</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Columbia Center</w:t>
            </w:r>
          </w:p>
        </w:tc>
        <w:tc>
          <w:tcPr>
            <w:tcW w:w="32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Office</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Washington, DC</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2120 / 2120</w:t>
            </w:r>
          </w:p>
        </w:tc>
        <w:tc>
          <w:tcPr>
            <w:tcW w:w="326" w:type="dxa"/>
            <w:tcBorders/>
            <w:shd w:fill="CCEEFF" w:val="clear"/>
            <w:vAlign w:val="center"/>
          </w:tcPr>
          <w:p>
            <w:pPr>
              <w:pStyle w:val="TableContents"/>
              <w:bidi w:val="0"/>
              <w:spacing w:before="0" w:after="1"/>
              <w:ind w:left="0" w:right="0" w:hanging="0"/>
              <w:jc w:val="left"/>
              <w:rPr/>
            </w:pPr>
            <w:r>
              <w:rPr/>
              <w:t>​</w:t>
            </w:r>
          </w:p>
        </w:tc>
        <w:tc>
          <w:tcPr>
            <w:tcW w:w="202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Fixed</w:t>
            </w:r>
          </w:p>
        </w:tc>
        <w:tc>
          <w:tcPr>
            <w:tcW w:w="32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100 Cambridgeside</w:t>
            </w:r>
          </w:p>
        </w:tc>
        <w:tc>
          <w:tcPr>
            <w:tcW w:w="32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Mixed Use and Other</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Cambridge, MA</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2121 / 2121</w:t>
            </w:r>
          </w:p>
        </w:tc>
        <w:tc>
          <w:tcPr>
            <w:tcW w:w="326" w:type="dxa"/>
            <w:tcBorders/>
            <w:vAlign w:val="center"/>
          </w:tcPr>
          <w:p>
            <w:pPr>
              <w:pStyle w:val="TableContents"/>
              <w:bidi w:val="0"/>
              <w:spacing w:before="0" w:after="1"/>
              <w:ind w:left="0" w:right="0" w:hanging="0"/>
              <w:jc w:val="left"/>
              <w:rPr/>
            </w:pPr>
            <w:r>
              <w:rPr/>
              <w:t>​</w:t>
            </w:r>
          </w:p>
        </w:tc>
        <w:tc>
          <w:tcPr>
            <w:tcW w:w="202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Fixed with Inflation Adjustments</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bl>
    <w:tbl>
      <w:tblPr>
        <w:tblW w:w="7292" w:type="dxa"/>
        <w:jc w:val="left"/>
        <w:tblInd w:w="0" w:type="dxa"/>
        <w:tblLayout w:type="fixed"/>
        <w:tblCellMar>
          <w:top w:w="0" w:type="dxa"/>
          <w:left w:w="0" w:type="dxa"/>
          <w:bottom w:w="0" w:type="dxa"/>
          <w:right w:w="0" w:type="dxa"/>
        </w:tblCellMar>
      </w:tblPr>
      <w:tblGrid>
        <w:gridCol w:w="331"/>
        <w:gridCol w:w="696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69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Gross book value represents the historical purchase price plus accrued interest on sales-type leases.</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Gross book value for this property represents our pro rata share of the gross book value of our unconsolidated venture (refer to Note 8 to the consolidated financial statements).</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9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Park Hotels Portfolio consists of five properties and is subject to a single master lease, but with individual asset extension rights. A majority of the land underlying one of these properties is owned by a third party and is ground leased to us through 2044 subject to changes in the CPI; however, our tenant at the property pays this cost directly to the third party.</w:t>
            </w:r>
          </w:p>
        </w:tc>
      </w:tr>
    </w:tbl>
    <w:p>
      <w:pPr>
        <w:pStyle w:val="TextBody"/>
        <w:bidi w:val="0"/>
        <w:spacing w:before="0" w:after="0"/>
        <w:ind w:left="36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following tables show our portfolio by top 10 markets and property type as of June 30, 2025, excluding unfunded commitments: </w:t>
      </w:r>
    </w:p>
    <w:p>
      <w:pPr>
        <w:pStyle w:val="TextBody"/>
        <w:bidi w:val="0"/>
        <w:spacing w:before="0" w:after="0"/>
        <w:ind w:left="0" w:right="0" w:hanging="0"/>
        <w:jc w:val="left"/>
        <w:rPr/>
      </w:pPr>
      <w:r>
        <w:rPr/>
        <w:t>​</w:t>
      </w:r>
    </w:p>
    <w:tbl>
      <w:tblPr>
        <w:tblW w:w="3089" w:type="dxa"/>
        <w:jc w:val="left"/>
        <w:tblInd w:w="0" w:type="dxa"/>
        <w:tblLayout w:type="fixed"/>
        <w:tblCellMar>
          <w:top w:w="0" w:type="dxa"/>
          <w:left w:w="0" w:type="dxa"/>
          <w:bottom w:w="0" w:type="dxa"/>
          <w:right w:w="0" w:type="dxa"/>
        </w:tblCellMar>
      </w:tblPr>
      <w:tblGrid>
        <w:gridCol w:w="1471"/>
        <w:gridCol w:w="326"/>
        <w:gridCol w:w="976"/>
        <w:gridCol w:w="316"/>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934085" cy="175260"/>
                      <wp:effectExtent l="0" t="0" r="0" b="0"/>
                      <wp:wrapNone/>
                      <wp:docPr id="546" name="Frame546"/>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207010" cy="175260"/>
                      <wp:effectExtent l="0" t="0" r="0" b="0"/>
                      <wp:wrapNone/>
                      <wp:docPr id="547" name="Frame5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619760" cy="175260"/>
                      <wp:effectExtent l="0" t="0" r="0" b="0"/>
                      <wp:wrapNone/>
                      <wp:docPr id="548" name="Frame548"/>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200660" cy="175260"/>
                      <wp:effectExtent l="0" t="0" r="0" b="0"/>
                      <wp:wrapNone/>
                      <wp:docPr id="549" name="Frame54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Gross </w:t>
            </w:r>
          </w:p>
        </w:tc>
        <w:tc>
          <w:tcPr>
            <w:tcW w:w="316" w:type="dxa"/>
            <w:tcBorders/>
            <w:vAlign w:val="center"/>
          </w:tcPr>
          <w:p>
            <w:pPr>
              <w:pStyle w:val="TableContents"/>
              <w:bidi w:val="0"/>
              <w:spacing w:before="0" w:after="1"/>
              <w:ind w:left="0" w:right="0" w:hanging="0"/>
              <w:jc w:val="center"/>
              <w:rPr/>
            </w:pPr>
            <w:r>
              <w:rPr/>
              <w:t> </w:t>
            </w:r>
          </w:p>
        </w:tc>
      </w:tr>
      <w:tr>
        <w:trPr/>
        <w:tc>
          <w:tcPr>
            <w:tcW w:w="14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Market</w:t>
            </w:r>
          </w:p>
        </w:tc>
        <w:tc>
          <w:tcPr>
            <w:tcW w:w="326" w:type="dxa"/>
            <w:tcBorders/>
            <w:vAlign w:val="center"/>
          </w:tcPr>
          <w:p>
            <w:pPr>
              <w:pStyle w:val="TableContents"/>
              <w:bidi w:val="0"/>
              <w:spacing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Book Value</w:t>
            </w:r>
          </w:p>
        </w:tc>
        <w:tc>
          <w:tcPr>
            <w:tcW w:w="316" w:type="dxa"/>
            <w:tcBorders/>
            <w:vAlign w:val="center"/>
          </w:tcPr>
          <w:p>
            <w:pPr>
              <w:pStyle w:val="TableContents"/>
              <w:bidi w:val="0"/>
              <w:spacing w:before="0" w:after="1"/>
              <w:ind w:left="0" w:right="0" w:hanging="0"/>
              <w:jc w:val="center"/>
              <w:rPr/>
            </w:pPr>
            <w:r>
              <w:rPr/>
              <w:t>​</w:t>
            </w:r>
          </w:p>
        </w:tc>
      </w:tr>
      <w:tr>
        <w:trPr/>
        <w:tc>
          <w:tcPr>
            <w:tcW w:w="147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Manhattan</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Washington, DC</w:t>
            </w:r>
          </w:p>
        </w:tc>
        <w:tc>
          <w:tcPr>
            <w:tcW w:w="32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vAlign w:val="center"/>
          </w:tcPr>
          <w:p>
            <w:pPr>
              <w:pStyle w:val="TableContents"/>
              <w:bidi w:val="0"/>
              <w:spacing w:before="0" w:after="1"/>
              <w:ind w:left="0" w:right="0" w:hanging="0"/>
              <w:jc w:val="left"/>
              <w:rPr/>
            </w:pPr>
            <w:r>
              <w:rPr/>
              <w:t>​</w:t>
            </w:r>
          </w:p>
        </w:tc>
      </w:tr>
      <w:tr>
        <w:trPr/>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Boston</w:t>
            </w:r>
          </w:p>
        </w:tc>
        <w:tc>
          <w:tcPr>
            <w:tcW w:w="32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 Angeles</w:t>
            </w:r>
          </w:p>
        </w:tc>
        <w:tc>
          <w:tcPr>
            <w:tcW w:w="32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16" w:type="dxa"/>
            <w:tcBorders/>
            <w:vAlign w:val="center"/>
          </w:tcPr>
          <w:p>
            <w:pPr>
              <w:pStyle w:val="TableContents"/>
              <w:bidi w:val="0"/>
              <w:spacing w:before="0" w:after="1"/>
              <w:ind w:left="0" w:right="0" w:hanging="0"/>
              <w:jc w:val="left"/>
              <w:rPr/>
            </w:pPr>
            <w:r>
              <w:rPr/>
              <w:t>​</w:t>
            </w:r>
          </w:p>
        </w:tc>
      </w:tr>
      <w:tr>
        <w:trPr/>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San Francisco</w:t>
            </w:r>
          </w:p>
        </w:tc>
        <w:tc>
          <w:tcPr>
            <w:tcW w:w="32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Denver</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vAlign w:val="center"/>
          </w:tcPr>
          <w:p>
            <w:pPr>
              <w:pStyle w:val="TableContents"/>
              <w:bidi w:val="0"/>
              <w:spacing w:before="0" w:after="1"/>
              <w:ind w:left="0" w:right="0" w:hanging="0"/>
              <w:jc w:val="left"/>
              <w:rPr/>
            </w:pPr>
            <w:r>
              <w:rPr/>
              <w:t>​</w:t>
            </w:r>
          </w:p>
        </w:tc>
      </w:tr>
      <w:tr>
        <w:trPr/>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Honolulu</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Nashville</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vAlign w:val="center"/>
          </w:tcPr>
          <w:p>
            <w:pPr>
              <w:pStyle w:val="TableContents"/>
              <w:bidi w:val="0"/>
              <w:spacing w:before="0" w:after="1"/>
              <w:ind w:left="0" w:right="0" w:hanging="0"/>
              <w:jc w:val="left"/>
              <w:rPr/>
            </w:pPr>
            <w:r>
              <w:rPr/>
              <w:t>​</w:t>
            </w:r>
          </w:p>
        </w:tc>
      </w:tr>
      <w:tr>
        <w:trPr/>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Miami</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Atlanta</w:t>
            </w:r>
          </w:p>
        </w:tc>
        <w:tc>
          <w:tcPr>
            <w:tcW w:w="32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vAlign w:val="center"/>
          </w:tcPr>
          <w:p>
            <w:pPr>
              <w:pStyle w:val="TableContents"/>
              <w:bidi w:val="0"/>
              <w:spacing w:before="0" w:after="1"/>
              <w:ind w:left="0" w:right="0" w:hanging="0"/>
              <w:jc w:val="left"/>
              <w:rPr/>
            </w:pPr>
            <w:r>
              <w:rPr/>
              <w:t>​</w:t>
            </w:r>
          </w:p>
        </w:tc>
      </w:tr>
    </w:tbl>
    <w:tbl>
      <w:tblPr>
        <w:tblW w:w="8672" w:type="dxa"/>
        <w:jc w:val="left"/>
        <w:tblInd w:w="0" w:type="dxa"/>
        <w:tblLayout w:type="fixed"/>
        <w:tblCellMar>
          <w:top w:w="0" w:type="dxa"/>
          <w:left w:w="0" w:type="dxa"/>
          <w:bottom w:w="0" w:type="dxa"/>
          <w:right w:w="0" w:type="dxa"/>
        </w:tblCellMar>
      </w:tblPr>
      <w:tblGrid>
        <w:gridCol w:w="331"/>
        <w:gridCol w:w="834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83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New York metropolitan statistical area including areas outside of Manhattan makes up 28% of gross book value.</w:t>
            </w:r>
          </w:p>
        </w:tc>
      </w:tr>
    </w:tbl>
    <w:p>
      <w:pPr>
        <w:pStyle w:val="TextBody"/>
        <w:bidi w:val="0"/>
        <w:spacing w:before="0" w:after="0"/>
        <w:ind w:left="0" w:right="0" w:hanging="0"/>
        <w:jc w:val="left"/>
        <w:rPr/>
      </w:pPr>
      <w:r>
        <w:rPr/>
        <w:t>​</w:t>
      </w:r>
    </w:p>
    <w:tbl>
      <w:tblPr>
        <w:tblW w:w="3464" w:type="dxa"/>
        <w:jc w:val="left"/>
        <w:tblInd w:w="0" w:type="dxa"/>
        <w:tblLayout w:type="fixed"/>
        <w:tblCellMar>
          <w:top w:w="0" w:type="dxa"/>
          <w:left w:w="0" w:type="dxa"/>
          <w:bottom w:w="0" w:type="dxa"/>
          <w:right w:w="0" w:type="dxa"/>
        </w:tblCellMar>
      </w:tblPr>
      <w:tblGrid>
        <w:gridCol w:w="1846"/>
        <w:gridCol w:w="326"/>
        <w:gridCol w:w="976"/>
        <w:gridCol w:w="31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1172210" cy="175260"/>
                      <wp:effectExtent l="0" t="0" r="0" b="0"/>
                      <wp:wrapNone/>
                      <wp:docPr id="550" name="Frame550"/>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07010" cy="175260"/>
                      <wp:effectExtent l="0" t="0" r="0" b="0"/>
                      <wp:wrapNone/>
                      <wp:docPr id="551" name="Frame5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619760" cy="175260"/>
                      <wp:effectExtent l="0" t="0" r="0" b="0"/>
                      <wp:wrapNone/>
                      <wp:docPr id="552" name="Frame552"/>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200660" cy="175260"/>
                      <wp:effectExtent l="0" t="0" r="0" b="0"/>
                      <wp:wrapNone/>
                      <wp:docPr id="553" name="Frame55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Gross </w:t>
            </w:r>
          </w:p>
        </w:tc>
        <w:tc>
          <w:tcPr>
            <w:tcW w:w="316" w:type="dxa"/>
            <w:tcBorders/>
            <w:vAlign w:val="center"/>
          </w:tcPr>
          <w:p>
            <w:pPr>
              <w:pStyle w:val="TableContents"/>
              <w:bidi w:val="0"/>
              <w:spacing w:before="0" w:after="0"/>
              <w:ind w:left="0" w:right="0" w:hanging="0"/>
              <w:jc w:val="center"/>
              <w:rPr/>
            </w:pPr>
            <w:r>
              <w:rPr/>
              <w:t> </w:t>
            </w:r>
          </w:p>
        </w:tc>
      </w:tr>
      <w:tr>
        <w:trPr/>
        <w:tc>
          <w:tcPr>
            <w:tcW w:w="18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Property Type</w:t>
            </w:r>
          </w:p>
        </w:tc>
        <w:tc>
          <w:tcPr>
            <w:tcW w:w="32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Book Value</w:t>
            </w:r>
          </w:p>
        </w:tc>
        <w:tc>
          <w:tcPr>
            <w:tcW w:w="316" w:type="dxa"/>
            <w:tcBorders/>
            <w:vAlign w:val="center"/>
          </w:tcPr>
          <w:p>
            <w:pPr>
              <w:pStyle w:val="TableContents"/>
              <w:bidi w:val="0"/>
              <w:spacing w:before="0" w:after="0"/>
              <w:ind w:left="0" w:right="0" w:hanging="0"/>
              <w:jc w:val="center"/>
              <w:rPr/>
            </w:pPr>
            <w:r>
              <w:rPr/>
              <w:t>​</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Multifamily</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16" w:type="dxa"/>
            <w:tcBorders/>
            <w:vAlign w:val="center"/>
          </w:tcPr>
          <w:p>
            <w:pPr>
              <w:pStyle w:val="TableContents"/>
              <w:bidi w:val="0"/>
              <w:spacing w:before="0" w:after="0"/>
              <w:ind w:left="0" w:right="0" w:hanging="0"/>
              <w:jc w:val="left"/>
              <w:rPr/>
            </w:pPr>
            <w:r>
              <w:rPr/>
              <w:t>​</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Hotel</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Life Science</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vAlign w:val="center"/>
          </w:tcPr>
          <w:p>
            <w:pPr>
              <w:pStyle w:val="TableContents"/>
              <w:bidi w:val="0"/>
              <w:spacing w:before="0" w:after="0"/>
              <w:ind w:left="0" w:right="0" w:hanging="0"/>
              <w:jc w:val="left"/>
              <w:rPr/>
            </w:pPr>
            <w:r>
              <w:rPr/>
              <w:t>​</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Mixed Use and Other</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Unfunded Commitments</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have unfunded commitments to certain of our Ground Lease tenants related to leasehold improvement allowances that we expect to fund upon the completion of certain conditions. As of June 30, 2025, we had $90.5 million of such commitments, excluding commitments to be funded by noncontrolling interests.</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have an unfunded forward commitment of $35.0 million related to an agreement that we entered into for the addition to an existing Ground Lease if certain conditions are met (refer to Note 15 to the consolidated financial statements). There can be no assurance that the conditions for closing this transaction will be satisfied and that we will fund the addition to the Ground Lease.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w:t>
      </w:r>
      <w:r>
        <w:rPr>
          <w:rFonts w:ascii="Times New Roman;Times;serif" w:hAnsi="Times New Roman;Times;serif"/>
          <w:sz w:val="20"/>
          <w:shd w:fill="FFFFFF" w:val="clear"/>
        </w:rPr>
        <w:t xml:space="preserve"> fund construction and development loans and build-outs of space in real estate assets over a period of time, both individually and </w:t>
      </w:r>
      <w:r>
        <w:rPr>
          <w:rFonts w:ascii="Times New Roman;Times;serif" w:hAnsi="Times New Roman;Times;serif"/>
          <w:sz w:val="20"/>
        </w:rPr>
        <w:t>through the Leasehold Loan Fund,</w:t>
      </w:r>
      <w:r>
        <w:rPr>
          <w:rFonts w:ascii="Times New Roman;Times;serif" w:hAnsi="Times New Roman;Times;serif"/>
          <w:sz w:val="20"/>
          <w:shd w:fill="FFFFFF" w:val="clear"/>
        </w:rPr>
        <w:t xml:space="preserve"> if and when the borrowers and tenants meet established milestones and other performance criteria. We refer to these arrangements as performance-based commitments. As of June 30, 2025, we had $195.9 million of such commitments.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also entered into a discretionary commitment to fund up to $9.0 million of preferred equity in an entity that owned the leasehold interest under one of our office Ground Leases located in Washington, DC and through March 31, 2025, we funded $1.5 million of the commitment amount. At inception in April 2024, we incurred $0.4 million of costs creating the entity formed to own the leasehold interest, which resulted in a total investment balance of $1.9 million and was included in “Deferred expenses and other assets” on our consolidated balance sheet as of December 31, 2024. In May 2025, the leasehold interest was acquired by a new sponsor and we determined our investment was not recoverable, which resulted in a $1.9 million write-off of our preferred equity investment as of March 31, 2025. The write-off is included in “Other expense” in our consolidated statement of operations. We recognized $3.4 million of interest income from sales-type leases from the Ground Lease in our consolidated statements of operations for the six months ended June 30, 2025.</w:t>
      </w:r>
    </w:p>
    <w:p>
      <w:pPr>
        <w:pStyle w:val="TextBody"/>
        <w:bidi w:val="0"/>
        <w:spacing w:before="0" w:after="0"/>
        <w:ind w:left="0" w:right="0" w:firstLine="720"/>
        <w:jc w:val="both"/>
        <w:rPr/>
      </w:pPr>
      <w:r>
        <w:rPr/>
        <w:t>​</w:t>
      </w:r>
    </w:p>
    <w:p>
      <w:pPr>
        <w:pStyle w:val="TextBody"/>
        <w:bidi w:val="0"/>
        <w:spacing w:before="0" w:after="120"/>
        <w:ind w:left="0"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Results of Operations for the Three Months Ended June 30, 2025 compared to the Three Months Ended June 30, 2024</w:t>
      </w:r>
    </w:p>
    <w:tbl>
      <w:tblPr>
        <w:tblW w:w="8315" w:type="dxa"/>
        <w:jc w:val="left"/>
        <w:tblInd w:w="0" w:type="dxa"/>
        <w:tblLayout w:type="fixed"/>
        <w:tblCellMar>
          <w:top w:w="0" w:type="dxa"/>
          <w:left w:w="0" w:type="dxa"/>
          <w:bottom w:w="0" w:type="dxa"/>
          <w:right w:w="0" w:type="dxa"/>
        </w:tblCellMar>
      </w:tblPr>
      <w:tblGrid>
        <w:gridCol w:w="4156"/>
        <w:gridCol w:w="326"/>
        <w:gridCol w:w="245"/>
        <w:gridCol w:w="787"/>
        <w:gridCol w:w="170"/>
        <w:gridCol w:w="245"/>
        <w:gridCol w:w="787"/>
        <w:gridCol w:w="326"/>
        <w:gridCol w:w="211"/>
        <w:gridCol w:w="691"/>
        <w:gridCol w:w="371"/>
      </w:tblGrid>
      <w:tr>
        <w:trPr/>
        <w:tc>
          <w:tcPr>
            <w:tcW w:w="4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2639060" cy="175260"/>
                      <wp:effectExtent l="0" t="0" r="0" b="0"/>
                      <wp:wrapNone/>
                      <wp:docPr id="554" name="Frame554"/>
                      <a:graphic xmlns:a="http://schemas.openxmlformats.org/drawingml/2006/main">
                        <a:graphicData uri="http://schemas.microsoft.com/office/word/2010/wordprocessingShape">
                          <wps:wsp>
                            <wps:cNvSpPr txBox="1"/>
                            <wps:spPr>
                              <a:xfrm>
                                <a:off x="0" y="0"/>
                                <a:ext cx="2639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207010" cy="175260"/>
                      <wp:effectExtent l="0" t="0" r="0" b="0"/>
                      <wp:wrapNone/>
                      <wp:docPr id="555" name="Frame5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155575" cy="175260"/>
                      <wp:effectExtent l="0" t="0" r="0" b="0"/>
                      <wp:wrapNone/>
                      <wp:docPr id="556" name="Frame556"/>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499745" cy="175260"/>
                      <wp:effectExtent l="0" t="0" r="0" b="0"/>
                      <wp:wrapNone/>
                      <wp:docPr id="557" name="Frame557"/>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107950" cy="175260"/>
                      <wp:effectExtent l="0" t="0" r="0" b="0"/>
                      <wp:wrapNone/>
                      <wp:docPr id="558" name="Frame558"/>
                      <a:graphic xmlns:a="http://schemas.openxmlformats.org/drawingml/2006/main">
                        <a:graphicData uri="http://schemas.microsoft.com/office/word/2010/wordprocessingShape">
                          <wps:wsp>
                            <wps:cNvSpPr txBox="1"/>
                            <wps:spPr>
                              <a:xfrm>
                                <a:off x="0" y="0"/>
                                <a:ext cx="107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155575" cy="175260"/>
                      <wp:effectExtent l="0" t="0" r="0" b="0"/>
                      <wp:wrapNone/>
                      <wp:docPr id="559" name="Frame559"/>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499745" cy="175260"/>
                      <wp:effectExtent l="0" t="0" r="0" b="0"/>
                      <wp:wrapNone/>
                      <wp:docPr id="560" name="Frame560"/>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207010" cy="175260"/>
                      <wp:effectExtent l="0" t="0" r="0" b="0"/>
                      <wp:wrapNone/>
                      <wp:docPr id="561" name="Frame5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133985" cy="175260"/>
                      <wp:effectExtent l="0" t="0" r="0" b="0"/>
                      <wp:wrapNone/>
                      <wp:docPr id="562" name="Frame5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438785" cy="175260"/>
                      <wp:effectExtent l="0" t="0" r="0" b="0"/>
                      <wp:wrapNone/>
                      <wp:docPr id="563" name="Frame56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235585" cy="175260"/>
                      <wp:effectExtent l="0" t="0" r="0" b="0"/>
                      <wp:wrapNone/>
                      <wp:docPr id="564" name="Frame564"/>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23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71" w:type="dxa"/>
            <w:tcBorders/>
            <w:vAlign w:val="center"/>
          </w:tcPr>
          <w:p>
            <w:pPr>
              <w:pStyle w:val="TableContents"/>
              <w:bidi w:val="0"/>
              <w:spacing w:before="0" w:after="0"/>
              <w:ind w:left="0" w:right="0" w:hanging="0"/>
              <w:jc w:val="left"/>
              <w:rPr/>
            </w:pPr>
            <w:r>
              <w:rPr/>
              <w:t>    </w:t>
            </w:r>
          </w:p>
        </w:tc>
      </w:tr>
      <w:tr>
        <w:trPr/>
        <w:tc>
          <w:tcPr>
            <w:tcW w:w="41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3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71" w:type="dxa"/>
            <w:tcBorders/>
            <w:vAlign w:val="center"/>
          </w:tcPr>
          <w:p>
            <w:pPr>
              <w:pStyle w:val="TableContents"/>
              <w:bidi w:val="0"/>
              <w:spacing w:before="0" w:after="0"/>
              <w:ind w:left="0" w:right="0" w:hanging="0"/>
              <w:jc w:val="left"/>
              <w:rPr/>
            </w:pPr>
            <w:r>
              <w:rPr/>
              <w:t>​</w:t>
            </w:r>
          </w:p>
        </w:tc>
      </w:tr>
      <w:tr>
        <w:trPr/>
        <w:tc>
          <w:tcPr>
            <w:tcW w:w="41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70" w:type="dxa"/>
            <w:tcBorders/>
            <w:vAlign w:val="center"/>
          </w:tcPr>
          <w:p>
            <w:pPr>
              <w:pStyle w:val="TableContents"/>
              <w:bidi w:val="0"/>
              <w:spacing w:before="0" w:after="0"/>
              <w:ind w:left="0" w:right="0" w:hanging="0"/>
              <w:jc w:val="left"/>
              <w:rPr/>
            </w:pPr>
            <w:r>
              <w:rPr/>
              <w:t>​</w:t>
            </w:r>
          </w:p>
        </w:tc>
        <w:tc>
          <w:tcPr>
            <w:tcW w:w="10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71" w:type="dxa"/>
            <w:tcBorders/>
            <w:vAlign w:val="center"/>
          </w:tcPr>
          <w:p>
            <w:pPr>
              <w:pStyle w:val="TableContents"/>
              <w:bidi w:val="0"/>
              <w:spacing w:before="0" w:after="0"/>
              <w:ind w:left="0" w:right="0" w:hanging="0"/>
              <w:jc w:val="left"/>
              <w:rPr/>
            </w:pPr>
            <w:r>
              <w:rPr/>
              <w:t>​</w:t>
            </w:r>
          </w:p>
        </w:tc>
      </w:tr>
      <w:tr>
        <w:trPr/>
        <w:tc>
          <w:tcPr>
            <w:tcW w:w="8315"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41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62"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71" w:type="dxa"/>
            <w:tcBorders/>
            <w:vAlign w:val="center"/>
          </w:tcPr>
          <w:p>
            <w:pPr>
              <w:pStyle w:val="TableContents"/>
              <w:bidi w:val="0"/>
              <w:spacing w:before="0" w:after="0"/>
              <w:ind w:left="0" w:right="0" w:hanging="0"/>
              <w:jc w:val="left"/>
              <w:rPr/>
            </w:pPr>
            <w:r>
              <w:rPr/>
              <w:t>​</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2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pPr>
            <w:r>
              <w:rPr/>
              <w:t>  </w:t>
            </w:r>
          </w:p>
        </w:tc>
        <w:tc>
          <w:tcPr>
            <w:tcW w:w="170"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  </w:t>
            </w:r>
          </w:p>
        </w:tc>
        <w:tc>
          <w:tcPr>
            <w:tcW w:w="371" w:type="dxa"/>
            <w:tcBorders/>
            <w:vAlign w:val="center"/>
          </w:tcPr>
          <w:p>
            <w:pPr>
              <w:pStyle w:val="TableContents"/>
              <w:bidi w:val="0"/>
              <w:spacing w:before="0" w:after="0"/>
              <w:ind w:left="0" w:right="0" w:hanging="0"/>
              <w:jc w:val="left"/>
              <w:rPr/>
            </w:pPr>
            <w:r>
              <w:rPr/>
              <w:t> </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sales-type leases</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70,642</w:t>
            </w:r>
          </w:p>
        </w:tc>
        <w:tc>
          <w:tcPr>
            <w:tcW w:w="170"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5,407</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income</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16,706</w:t>
            </w:r>
          </w:p>
        </w:tc>
        <w:tc>
          <w:tcPr>
            <w:tcW w:w="170"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16,691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71" w:type="dxa"/>
            <w:tcBorders/>
            <w:vAlign w:val="center"/>
          </w:tcPr>
          <w:p>
            <w:pPr>
              <w:pStyle w:val="TableContents"/>
              <w:bidi w:val="0"/>
              <w:spacing w:before="0" w:after="0"/>
              <w:ind w:left="0" w:right="0" w:hanging="0"/>
              <w:jc w:val="left"/>
              <w:rPr/>
            </w:pPr>
            <w:r>
              <w:rPr/>
              <w:t>​</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2,712</w:t>
            </w:r>
          </w:p>
        </w:tc>
        <w:tc>
          <w:tcPr>
            <w:tcW w:w="170"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26"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3,782</w:t>
            </w:r>
          </w:p>
        </w:tc>
        <w:tc>
          <w:tcPr>
            <w:tcW w:w="170"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(1,830)</w:t>
            </w:r>
          </w:p>
        </w:tc>
        <w:tc>
          <w:tcPr>
            <w:tcW w:w="371" w:type="dxa"/>
            <w:tcBorders/>
            <w:vAlign w:val="center"/>
          </w:tcPr>
          <w:p>
            <w:pPr>
              <w:pStyle w:val="TableContents"/>
              <w:bidi w:val="0"/>
              <w:spacing w:before="0" w:after="0"/>
              <w:ind w:left="0" w:right="0" w:hanging="0"/>
              <w:jc w:val="left"/>
              <w:rPr/>
            </w:pPr>
            <w:r>
              <w:rPr/>
              <w:t>​</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93,842</w:t>
            </w:r>
          </w:p>
        </w:tc>
        <w:tc>
          <w:tcPr>
            <w:tcW w:w="170"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3,947</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Costs and expenses:</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pPr>
            <w:r>
              <w:rPr/>
              <w:t>  </w:t>
            </w:r>
          </w:p>
        </w:tc>
        <w:tc>
          <w:tcPr>
            <w:tcW w:w="170"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51,265</w:t>
            </w:r>
          </w:p>
        </w:tc>
        <w:tc>
          <w:tcPr>
            <w:tcW w:w="170"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2,158</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expense</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881</w:t>
            </w:r>
          </w:p>
        </w:tc>
        <w:tc>
          <w:tcPr>
            <w:tcW w:w="170"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c>
          <w:tcPr>
            <w:tcW w:w="371" w:type="dxa"/>
            <w:tcBorders/>
            <w:vAlign w:val="center"/>
          </w:tcPr>
          <w:p>
            <w:pPr>
              <w:pStyle w:val="TableContents"/>
              <w:bidi w:val="0"/>
              <w:spacing w:before="0" w:after="0"/>
              <w:ind w:left="0" w:right="0" w:hanging="0"/>
              <w:jc w:val="left"/>
              <w:rPr/>
            </w:pPr>
            <w:r>
              <w:rPr/>
              <w:t>​</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2,127</w:t>
            </w:r>
          </w:p>
        </w:tc>
        <w:tc>
          <w:tcPr>
            <w:tcW w:w="170"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12,954</w:t>
            </w:r>
          </w:p>
        </w:tc>
        <w:tc>
          <w:tcPr>
            <w:tcW w:w="170"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12,276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w:t>
            </w:r>
          </w:p>
        </w:tc>
        <w:tc>
          <w:tcPr>
            <w:tcW w:w="371" w:type="dxa"/>
            <w:tcBorders/>
            <w:vAlign w:val="center"/>
          </w:tcPr>
          <w:p>
            <w:pPr>
              <w:pStyle w:val="TableContents"/>
              <w:bidi w:val="0"/>
              <w:spacing w:before="0" w:after="0"/>
              <w:ind w:left="0" w:right="0" w:hanging="0"/>
              <w:jc w:val="left"/>
              <w:rPr/>
            </w:pPr>
            <w:r>
              <w:rPr/>
              <w:t>​</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(recovery of) credit losses</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2,350</w:t>
            </w:r>
          </w:p>
        </w:tc>
        <w:tc>
          <w:tcPr>
            <w:tcW w:w="170"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26"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c>
          <w:tcPr>
            <w:tcW w:w="170"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71" w:type="dxa"/>
            <w:tcBorders/>
            <w:vAlign w:val="center"/>
          </w:tcPr>
          <w:p>
            <w:pPr>
              <w:pStyle w:val="TableContents"/>
              <w:bidi w:val="0"/>
              <w:spacing w:before="0" w:after="0"/>
              <w:ind w:left="0" w:right="0" w:hanging="0"/>
              <w:jc w:val="left"/>
              <w:rPr/>
            </w:pPr>
            <w:r>
              <w:rPr/>
              <w:t>​</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costs and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69,923</w:t>
            </w:r>
          </w:p>
        </w:tc>
        <w:tc>
          <w:tcPr>
            <w:tcW w:w="170"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(losses) from equity method investments</w:t>
            </w:r>
          </w:p>
        </w:tc>
        <w:tc>
          <w:tcPr>
            <w:tcW w:w="326"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4,912</w:t>
            </w:r>
          </w:p>
        </w:tc>
        <w:tc>
          <w:tcPr>
            <w:tcW w:w="170"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(1,557)</w:t>
            </w:r>
          </w:p>
        </w:tc>
        <w:tc>
          <w:tcPr>
            <w:tcW w:w="371" w:type="dxa"/>
            <w:tcBorders/>
            <w:vAlign w:val="center"/>
          </w:tcPr>
          <w:p>
            <w:pPr>
              <w:pStyle w:val="TableContents"/>
              <w:bidi w:val="0"/>
              <w:spacing w:before="0" w:after="0"/>
              <w:ind w:left="0" w:right="0" w:hanging="0"/>
              <w:jc w:val="left"/>
              <w:rPr/>
            </w:pPr>
            <w:r>
              <w:rPr/>
              <w:t>​</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28,831</w:t>
            </w:r>
          </w:p>
        </w:tc>
        <w:tc>
          <w:tcPr>
            <w:tcW w:w="170"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w:t>
            </w:r>
          </w:p>
        </w:tc>
        <w:tc>
          <w:tcPr>
            <w:tcW w:w="170"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71" w:type="dxa"/>
            <w:tcBorders/>
            <w:vAlign w:val="center"/>
          </w:tcPr>
          <w:p>
            <w:pPr>
              <w:pStyle w:val="TableContents"/>
              <w:bidi w:val="0"/>
              <w:spacing w:before="0" w:after="0"/>
              <w:ind w:left="0" w:right="0" w:hanging="0"/>
              <w:jc w:val="left"/>
              <w:rPr/>
            </w:pPr>
            <w:r>
              <w:rPr/>
              <w:t>​</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27,969</w:t>
            </w:r>
          </w:p>
        </w:tc>
        <w:tc>
          <w:tcPr>
            <w:tcW w:w="170" w:type="dxa"/>
            <w:tcBorders/>
            <w:shd w:fill="CCEEFF" w:val="clear"/>
            <w:vAlign w:val="center"/>
          </w:tcPr>
          <w:p>
            <w:pPr>
              <w:pStyle w:val="TableContents"/>
              <w:bidi w:val="0"/>
              <w:spacing w:before="0" w:after="0"/>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(1,586)</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Interest income from sales-type leases increased to $70.6 million for the three months ended June 30, 2025 from $65.2 million for the same period in 2024. The increase was due primarily to originations of Ground Leases and additional fundings on existing Ground Leases classified as sales-type leases and Ground Lease receivables.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Operating lease income was $16.7 million for both the three months ended June 30, 2025 and 2024. Operating lease income consists of rent from our operating leases and percentage rent from certain properties, including our Park Hotels Portfolio.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Interest income relates to the Star Holdings Term Loan Facility (refer to Note 7 to the consolidated financial statements) and three leasehold loans we originated during the three months ended June 30, 2025 in connection with Ground Leases. The increase in 2025 was due primarily to the origination of leasehold loans.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Other income for the three months ended June 30, 2025 and 2024 includes $2.7 million and $4.4 million, respectively, of management fees from Star Holdings. Other income for both the three months ended June 30, 2025 and 2024 also includes $0.1 million of other income relating to a Ground Lease in which we are the lessee but our tenant at the property pays this expense directly under the terms of a master lease. Other income for the three months ended June 30, 2025 and 2024 also includes $1.0 million and 1.1 million, respectively, of other ancillary income from our investments. Other ancillary income primarily includes sublease income, recoverable expenses and interest income earned on our cash balances.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three months ended June 30, 2025 and 2024, we incurred interest expense from our debt obligations of $51.3 million and $49.1 million, respectively. The increase in 2025 was primarily the result of increased indebtedness to fund acquisition activity.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During the three months ended June 30, 2025 and 2024, we incurred real estate expense of $0.9 million and $1.0 million, respectively, which consisted primarily of the amortization of an operating lease right-of-use asset, legal fees, property taxes and insurance expense. In addition, during both the three months ended June 30, 2025 and 2024, we also recorded $0.1 million of real estate expense relating to a Ground Lease in which we are the lessee but our tenant at the property pays this expense directly under the terms of a master lease.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Depreciation and amortization during the three months ended June 30, 2025 and 2024 was $2.1 million and $2.5 million, respectively. Depreciation and amortization primarily relates to our ownership of the Park Hotels Portfolio and a multi-family property, the amortization of in-place lease assets and depreciation of corporate fixed assets. The decrease in 2025 was primarily the result of the tenant under our Park Hotels Portfolio electing to extend the leases underlying three of the five hotels under the lease past the initial lease maturity of December 2025.</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General and administrative expenses primarily includes public company costs such as compensation (including equity-based compensation), occupancy and other costs. The following table presents our general and administrative expenses for the three months ended June 30, 2025 and 2024 ($ in thousands):  </w:t>
      </w:r>
    </w:p>
    <w:tbl>
      <w:tblPr>
        <w:tblW w:w="6311" w:type="dxa"/>
        <w:jc w:val="left"/>
        <w:tblInd w:w="0" w:type="dxa"/>
        <w:tblLayout w:type="fixed"/>
        <w:tblCellMar>
          <w:top w:w="0" w:type="dxa"/>
          <w:left w:w="0" w:type="dxa"/>
          <w:bottom w:w="0" w:type="dxa"/>
          <w:right w:w="0" w:type="dxa"/>
        </w:tblCellMar>
      </w:tblPr>
      <w:tblGrid>
        <w:gridCol w:w="3706"/>
        <w:gridCol w:w="326"/>
        <w:gridCol w:w="218"/>
        <w:gridCol w:w="699"/>
        <w:gridCol w:w="337"/>
        <w:gridCol w:w="218"/>
        <w:gridCol w:w="807"/>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2353310" cy="175260"/>
                      <wp:effectExtent l="0" t="0" r="0" b="0"/>
                      <wp:wrapNone/>
                      <wp:docPr id="565" name="Frame565"/>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207010" cy="175260"/>
                      <wp:effectExtent l="0" t="0" r="0" b="0"/>
                      <wp:wrapNone/>
                      <wp:docPr id="566" name="Frame5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138430" cy="175260"/>
                      <wp:effectExtent l="0" t="0" r="0" b="0"/>
                      <wp:wrapNone/>
                      <wp:docPr id="567" name="Frame567"/>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443865" cy="175260"/>
                      <wp:effectExtent l="0" t="0" r="0" b="0"/>
                      <wp:wrapNone/>
                      <wp:docPr id="568" name="Frame568"/>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213995" cy="175260"/>
                      <wp:effectExtent l="0" t="0" r="0" b="0"/>
                      <wp:wrapNone/>
                      <wp:docPr id="569" name="Frame569"/>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138430" cy="175260"/>
                      <wp:effectExtent l="0" t="0" r="0" b="0"/>
                      <wp:wrapNone/>
                      <wp:docPr id="570" name="Frame570"/>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512445" cy="175260"/>
                      <wp:effectExtent l="0" t="0" r="0" b="0"/>
                      <wp:wrapNone/>
                      <wp:docPr id="571" name="Frame571"/>
                      <a:graphic xmlns:a="http://schemas.openxmlformats.org/drawingml/2006/main">
                        <a:graphicData uri="http://schemas.microsoft.com/office/word/2010/wordprocessingShape">
                          <wps:wsp>
                            <wps:cNvSpPr txBox="1"/>
                            <wps:spPr>
                              <a:xfrm>
                                <a:off x="0" y="0"/>
                                <a:ext cx="512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27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37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7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7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37" w:type="dxa"/>
            <w:tcBorders/>
            <w:vAlign w:val="center"/>
          </w:tcPr>
          <w:p>
            <w:pPr>
              <w:pStyle w:val="TableContents"/>
              <w:bidi w:val="0"/>
              <w:spacing w:before="0" w:after="1"/>
              <w:ind w:left="0" w:right="0" w:hanging="0"/>
              <w:jc w:val="left"/>
              <w:rPr/>
            </w:pPr>
            <w:r>
              <w:rPr/>
              <w:t>    </w:t>
            </w:r>
          </w:p>
        </w:tc>
        <w:tc>
          <w:tcPr>
            <w:tcW w:w="10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70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Public company and other costs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9,873</w:t>
            </w:r>
          </w:p>
        </w:tc>
        <w:tc>
          <w:tcPr>
            <w:tcW w:w="337"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10,383</w:t>
            </w:r>
          </w:p>
        </w:tc>
      </w:tr>
      <w:tr>
        <w:trPr/>
        <w:tc>
          <w:tcPr>
            <w:tcW w:w="37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3,081</w:t>
            </w:r>
          </w:p>
        </w:tc>
        <w:tc>
          <w:tcPr>
            <w:tcW w:w="337"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1,893</w:t>
            </w:r>
          </w:p>
        </w:tc>
      </w:tr>
      <w:tr>
        <w:trPr/>
        <w:tc>
          <w:tcPr>
            <w:tcW w:w="370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12,954</w:t>
            </w:r>
          </w:p>
        </w:tc>
        <w:tc>
          <w:tcPr>
            <w:tcW w:w="337" w:type="dxa"/>
            <w:tcBorders/>
            <w:shd w:fill="CCEEFF" w:val="clear"/>
            <w:vAlign w:val="center"/>
          </w:tcPr>
          <w:p>
            <w:pPr>
              <w:pStyle w:val="TableContents"/>
              <w:bidi w:val="0"/>
              <w:spacing w:before="0" w:after="1"/>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12,276</w:t>
            </w:r>
          </w:p>
        </w:tc>
      </w:tr>
    </w:tbl>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 the three months ended June 30, 2025 and 2024, public company and other costs primarily includes compensation, legal, insurance and occupancy costs.</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 the three months ended June 30, 2025 and 2024, general and administrative expenses were partially offset by $2.7 million and $4.4 million, respectively, of management fees earned from Star Holdings, which are included in “Other income” in our consolidated statements of operations.</w:t>
            </w:r>
          </w:p>
        </w:tc>
      </w:tr>
    </w:tbl>
    <w:p>
      <w:pPr>
        <w:pStyle w:val="TextBody"/>
        <w:bidi w:val="0"/>
        <w:spacing w:before="0" w:after="0"/>
        <w:ind w:left="36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shd w:fill="FFFFFF" w:val="clear"/>
        </w:rPr>
        <w:t xml:space="preserve">During the three months ended June 30, 2025, we recorded a provision for credit losses of $2.4 million. </w:t>
      </w:r>
      <w:r>
        <w:rPr>
          <w:rFonts w:ascii="Times New Roman;Times;serif" w:hAnsi="Times New Roman;Times;serif"/>
          <w:sz w:val="20"/>
        </w:rPr>
        <w:t xml:space="preserve">The provision for credit losses was due primarily to the origination of three leasehold loans (refer to Note 6 to the consolidated financial statements) during the three months ended June 30, 2025 and current market conditions, </w:t>
      </w:r>
      <w:r>
        <w:rPr>
          <w:rFonts w:ascii="Times New Roman;Times;serif" w:hAnsi="Times New Roman;Times;serif"/>
          <w:color w:val="212529"/>
          <w:sz w:val="20"/>
          <w:shd w:fill="FFFFFF" w:val="clear"/>
        </w:rPr>
        <w:t>including an increase in our Ground Lease cost to value ratios on certain of our assets,</w:t>
      </w:r>
      <w:r>
        <w:rPr>
          <w:rFonts w:ascii="Times New Roman;Times;serif" w:hAnsi="Times New Roman;Times;serif"/>
          <w:sz w:val="20"/>
        </w:rPr>
        <w:t xml:space="preserve"> and growth in the carrying value of the Ground Lease portfolio during the period.</w:t>
      </w:r>
      <w:r>
        <w:rPr>
          <w:rFonts w:ascii="Times New Roman;Times;serif" w:hAnsi="Times New Roman;Times;serif"/>
          <w:color w:val="212529"/>
          <w:sz w:val="20"/>
          <w:shd w:fill="FFFFFF" w:val="clear"/>
        </w:rPr>
        <w:t xml:space="preserve"> During the three months ended June 30, 2024, we recorded a provision for credit losses of $0.6 million. The provision was primarily the result of current market conditions, including an increase in our Ground Lease cost to value ratios on our Ground Lease portfolio.</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w:t>
      </w:r>
      <w:r>
        <w:rPr>
          <w:rFonts w:ascii="Times New Roman;Times;serif" w:hAnsi="Times New Roman;Times;serif"/>
          <w:sz w:val="20"/>
          <w:shd w:fill="FFFFFF" w:val="clear"/>
        </w:rPr>
        <w:t xml:space="preserve">uring the three months ended June 30, 2025, other expense consists primarily of legal fees. </w:t>
      </w:r>
      <w:r>
        <w:rPr>
          <w:rFonts w:ascii="Times New Roman;Times;serif" w:hAnsi="Times New Roman;Times;serif"/>
          <w:color w:val="212529"/>
          <w:sz w:val="20"/>
          <w:shd w:fill="FFFFFF" w:val="clear"/>
        </w:rPr>
        <w:t>During the three months ended June 30, 2024, other expense consists primarily of costs related to our debt obligations.</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During the three months ended June 30, 2025, earnings from equity method investments (refer to Note 8 to the consolidated financial statements) decreased to $4.9 million from $6.5 million for the same period in 2024. </w:t>
      </w:r>
      <w:r>
        <w:rPr>
          <w:rFonts w:ascii="Times New Roman;Times;serif" w:hAnsi="Times New Roman;Times;serif"/>
          <w:sz w:val="20"/>
          <w:shd w:fill="FFFFFF" w:val="clear"/>
        </w:rPr>
        <w:t>The decrease in 2025 was due primarily to a loan repayment at the Leasehold Loan Fund in March 2025.</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color w:val="212529"/>
          <w:sz w:val="20"/>
        </w:rPr>
        <w:t>During the three months ended June 30, 2025, we recorded consolidated income tax expense of $0.9 million, which was primarily attributable to a deferred tax expense at our taxable REIT subsidiary (“TRS”) and relates to equity-based compensation</w:t>
      </w:r>
      <w:r>
        <w:rPr>
          <w:rFonts w:ascii="Times New Roman;Times;serif" w:hAnsi="Times New Roman;Times;serif"/>
          <w:sz w:val="20"/>
        </w:rPr>
        <w:t xml:space="preserve"> expense and utilization of net operating loss </w:t>
      </w:r>
      <w:r>
        <w:rPr>
          <w:rFonts w:ascii="Times New Roman;Times;serif" w:hAnsi="Times New Roman;Times;serif"/>
          <w:color w:val="212529"/>
          <w:sz w:val="20"/>
        </w:rPr>
        <w:t>carryovers to which our TRS is a successor. Included in our consolidated income tax expense for the three months ended June 30, 2025, our TRS recorded current and deferred income tax expense in the amounts of $0.2 million and $0.7 million, respectively. During the three months ended June 30, 2024, we recorded consolidated income tax expense of $0.9 million, which was attributable to our TRS. Included in our consolidated income tax expense for the three months ended June 30, 2024, our TRS recorded current and deferred tax expense in the amounts of $0.7 million and $0.2 million, respectively. The deferred tax expense relates primarily to equity-based compensation expense and utilization of net operating loss carryovers to which our TRS is a successor. </w:t>
      </w:r>
    </w:p>
    <w:p>
      <w:pPr>
        <w:pStyle w:val="TextBody"/>
        <w:shd w:fill="FFFFFF" w:val="clear"/>
        <w:bidi w:val="0"/>
        <w:spacing w:before="0" w:after="0"/>
        <w:ind w:left="0" w:right="0" w:firstLine="720"/>
        <w:jc w:val="both"/>
        <w:rPr>
          <w:color w:val="212529"/>
        </w:rPr>
      </w:pPr>
      <w:r>
        <w:rPr>
          <w:color w:val="212529"/>
        </w:rPr>
        <w:t>​</w:t>
      </w:r>
    </w:p>
    <w:p>
      <w:pPr>
        <w:pStyle w:val="TextBody"/>
        <w:bidi w:val="0"/>
        <w:spacing w:before="0" w:after="120"/>
        <w:ind w:left="0"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 xml:space="preserve">Results of Operations for the Six Months Ended June 30, 2025 compared to the Six Months Ended June 30, 2024 </w:t>
      </w:r>
    </w:p>
    <w:tbl>
      <w:tblPr>
        <w:tblW w:w="8000" w:type="dxa"/>
        <w:jc w:val="left"/>
        <w:tblInd w:w="0" w:type="dxa"/>
        <w:tblLayout w:type="fixed"/>
        <w:tblCellMar>
          <w:top w:w="0" w:type="dxa"/>
          <w:left w:w="0" w:type="dxa"/>
          <w:bottom w:w="0" w:type="dxa"/>
          <w:right w:w="0" w:type="dxa"/>
        </w:tblCellMar>
      </w:tblPr>
      <w:tblGrid>
        <w:gridCol w:w="4156"/>
        <w:gridCol w:w="326"/>
        <w:gridCol w:w="211"/>
        <w:gridCol w:w="781"/>
        <w:gridCol w:w="146"/>
        <w:gridCol w:w="211"/>
        <w:gridCol w:w="781"/>
        <w:gridCol w:w="326"/>
        <w:gridCol w:w="326"/>
        <w:gridCol w:w="736"/>
      </w:tblGrid>
      <w:tr>
        <w:trPr/>
        <w:tc>
          <w:tcPr>
            <w:tcW w:w="4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2639060" cy="175260"/>
                      <wp:effectExtent l="0" t="0" r="0" b="0"/>
                      <wp:wrapNone/>
                      <wp:docPr id="572" name="Frame572"/>
                      <a:graphic xmlns:a="http://schemas.openxmlformats.org/drawingml/2006/main">
                        <a:graphicData uri="http://schemas.microsoft.com/office/word/2010/wordprocessingShape">
                          <wps:wsp>
                            <wps:cNvSpPr txBox="1"/>
                            <wps:spPr>
                              <a:xfrm>
                                <a:off x="0" y="0"/>
                                <a:ext cx="2639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207010" cy="175260"/>
                      <wp:effectExtent l="0" t="0" r="0" b="0"/>
                      <wp:wrapNone/>
                      <wp:docPr id="573" name="Frame5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133985" cy="175260"/>
                      <wp:effectExtent l="0" t="0" r="0" b="0"/>
                      <wp:wrapNone/>
                      <wp:docPr id="574" name="Frame5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495935" cy="175260"/>
                      <wp:effectExtent l="0" t="0" r="0" b="0"/>
                      <wp:wrapNone/>
                      <wp:docPr id="575" name="Frame57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92710" cy="175260"/>
                      <wp:effectExtent l="0" t="0" r="0" b="0"/>
                      <wp:wrapNone/>
                      <wp:docPr id="576" name="Frame57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133985" cy="175260"/>
                      <wp:effectExtent l="0" t="0" r="0" b="0"/>
                      <wp:wrapNone/>
                      <wp:docPr id="577" name="Frame5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495935" cy="175260"/>
                      <wp:effectExtent l="0" t="0" r="0" b="0"/>
                      <wp:wrapNone/>
                      <wp:docPr id="578" name="Frame57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207010" cy="175260"/>
                      <wp:effectExtent l="0" t="0" r="0" b="0"/>
                      <wp:wrapNone/>
                      <wp:docPr id="579" name="Frame5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207010" cy="175260"/>
                      <wp:effectExtent l="0" t="0" r="0" b="0"/>
                      <wp:wrapNone/>
                      <wp:docPr id="580" name="Frame5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467360" cy="175260"/>
                      <wp:effectExtent l="0" t="0" r="0" b="0"/>
                      <wp:wrapNone/>
                      <wp:docPr id="581" name="Frame58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center"/>
              <w:rPr/>
            </w:pPr>
            <w:r>
              <w:rPr/>
              <w:t>    </w:t>
            </w:r>
          </w:p>
        </w:tc>
        <w:tc>
          <w:tcPr>
            <w:tcW w:w="736" w:type="dxa"/>
            <w:tcBorders/>
            <w:vAlign w:val="center"/>
          </w:tcPr>
          <w:p>
            <w:pPr>
              <w:pStyle w:val="TableContents"/>
              <w:bidi w:val="0"/>
              <w:spacing w:before="0" w:after="0"/>
              <w:ind w:left="0" w:right="0" w:hanging="0"/>
              <w:jc w:val="center"/>
              <w:rPr/>
            </w:pPr>
            <w:r>
              <w:rPr/>
              <w:t>​</w:t>
            </w:r>
          </w:p>
        </w:tc>
      </w:tr>
      <w:tr>
        <w:trPr/>
        <w:tc>
          <w:tcPr>
            <w:tcW w:w="41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41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10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800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1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18"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  </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sales-type leases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140,306</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128,453</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11,853</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38,088</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37,694</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5,045</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4,714</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8,080</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12,247</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(4,167)</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191,519</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183,108</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8,411</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101,691</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97,738</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3,953</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2,039</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2,120</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4,323</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4,977</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27,086</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27,904</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(recovery of) credit losses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4,646</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3,311</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2,514</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2,064</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costs and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142,299</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134,524</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7,775</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(losses) from equity method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9,904</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13,381</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(3,477)</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59,124</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61,965</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(2,841)</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(1,745)</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(1,381)</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57,379</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60,584</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(3,205)</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Interest income from sales-type leases increased to $140.3 million for the six months ended June 30, 2025 from $128.5 million for the same period in 2024. The increase was due primarily to originations of Ground Leases and additional fundings on existing Ground Leases classified as sales-type leases and Ground Lease receivables.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lease income increased to $38.1 million for the six months ended June 30, 2025 from $37.7 million for the same period in 2024. Operating lease income consists of rent from our operating leases and percentage rent from certain properties, including our Park Hotels Portfolio. The increase was primarily the result of a $0.3 million increase in percentage rent at our Park Hotels Portfolio.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Interest income relates to the Star Holdings Term Loan Facility (refer to Note 7 to the consolidated financial statements) and three leasehold loans we originated during the six months ended June 30, 2025 in connection with Ground Leases. The increase in 2025 was due primarily to the origination of leasehold loans.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income for the six months ended June 30, 2025 and 2024 includes $6.3 million and $9.9 million, respectively, of management fees from Star Holdings. Other income for both the six months ended June 30, 2025 and 2024 also includes $0.3 million of other income relating to a Ground Lease in which we are the lessee but our tenant at the property pays this expense directly under the terms of a master lease. Other income for the six months ended June 30, 2025 and 2024 also includes $1.5 million and 2.0 million, respectively, of other ancillary income from our investments. Other ancillary income primarily includes sublease income, recoverable expenses and interest income earned on our cash balances.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six months ended June 30, 2025 and 2024, we incurred interest expense from our debt obligations of $101.7 million and $97.7 million, respectively. The increase in 2025 was primarily the result of increased indebtedness to fund acquisition activity.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During the six months ended June 30, 2025 and 2024, we incurred real estate expense of $2.0 million and $2.1 million, respectively, which consisted primarily of the amortization of an operating lease right-of-use asset, legal fees, property taxes and insurance expense. In addition, during both the six months ended June 30, 2025 and 2024, we also recorded $0.3 million of real estate expense relating to a Ground Lease in which we are the lessee but our tenant at the property pays this expense directly under the terms of a master lease.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Depreciation and amortization during the six months ended June 30, 2025 and 2024 was $4.3 million and $5.0 million, respectively. Depreciation and amortization primarily relates to our ownership of the Park Hotels Portfolio and a multi-family property, the amortization of in-place lease assets and depreciation of corporate fixed assets. The decrease in 2025 was primarily the result of the tenant under our Park Hotels Portfolio electing to extend the leases underlying three of the five hotels under the lease past the initial lease maturity of December 2025.</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General and administrative expenses primarily includes public company costs such as compensation (including equity-based compensation), occupancy and other costs. The following table presents our general and administrative expenses for the six months ended June 30, 2025 and 2024 ($ in thousands):  </w:t>
      </w:r>
    </w:p>
    <w:tbl>
      <w:tblPr>
        <w:tblW w:w="6237" w:type="dxa"/>
        <w:jc w:val="left"/>
        <w:tblInd w:w="0" w:type="dxa"/>
        <w:tblLayout w:type="fixed"/>
        <w:tblCellMar>
          <w:top w:w="0" w:type="dxa"/>
          <w:left w:w="0" w:type="dxa"/>
          <w:bottom w:w="0" w:type="dxa"/>
          <w:right w:w="0" w:type="dxa"/>
        </w:tblCellMar>
      </w:tblPr>
      <w:tblGrid>
        <w:gridCol w:w="3706"/>
        <w:gridCol w:w="326"/>
        <w:gridCol w:w="211"/>
        <w:gridCol w:w="676"/>
        <w:gridCol w:w="326"/>
        <w:gridCol w:w="211"/>
        <w:gridCol w:w="781"/>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2353310" cy="175260"/>
                      <wp:effectExtent l="0" t="0" r="0" b="0"/>
                      <wp:wrapNone/>
                      <wp:docPr id="582" name="Frame582"/>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207010" cy="175260"/>
                      <wp:effectExtent l="0" t="0" r="0" b="0"/>
                      <wp:wrapNone/>
                      <wp:docPr id="583" name="Frame5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133985" cy="175260"/>
                      <wp:effectExtent l="0" t="0" r="0" b="0"/>
                      <wp:wrapNone/>
                      <wp:docPr id="584" name="Frame5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429260" cy="175260"/>
                      <wp:effectExtent l="0" t="0" r="0" b="0"/>
                      <wp:wrapNone/>
                      <wp:docPr id="585" name="Frame58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207010" cy="175260"/>
                      <wp:effectExtent l="0" t="0" r="0" b="0"/>
                      <wp:wrapNone/>
                      <wp:docPr id="586" name="Frame5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133985" cy="175260"/>
                      <wp:effectExtent l="0" t="0" r="0" b="0"/>
                      <wp:wrapNone/>
                      <wp:docPr id="587" name="Frame5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495935" cy="175260"/>
                      <wp:effectExtent l="0" t="0" r="0" b="0"/>
                      <wp:wrapNone/>
                      <wp:docPr id="588" name="Frame58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20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37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7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70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Public company and other costs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20,518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21,246</w:t>
            </w:r>
          </w:p>
        </w:tc>
      </w:tr>
      <w:tr>
        <w:trPr/>
        <w:tc>
          <w:tcPr>
            <w:tcW w:w="37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6,568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6,658</w:t>
            </w:r>
          </w:p>
        </w:tc>
      </w:tr>
      <w:tr>
        <w:trPr/>
        <w:tc>
          <w:tcPr>
            <w:tcW w:w="370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27,086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27,904</w:t>
            </w:r>
          </w:p>
        </w:tc>
      </w:tr>
    </w:tbl>
    <w:tbl>
      <w:tblPr>
        <w:tblW w:w="10205" w:type="dxa"/>
        <w:jc w:val="left"/>
        <w:tblInd w:w="0" w:type="dxa"/>
        <w:tblLayout w:type="fixed"/>
        <w:tblCellMar>
          <w:top w:w="0" w:type="dxa"/>
          <w:left w:w="0" w:type="dxa"/>
          <w:bottom w:w="0" w:type="dxa"/>
          <w:right w:w="0" w:type="dxa"/>
        </w:tblCellMar>
      </w:tblPr>
      <w:tblGrid>
        <w:gridCol w:w="324"/>
        <w:gridCol w:w="9881"/>
      </w:tblGrid>
      <w:tr>
        <w:trPr/>
        <w:tc>
          <w:tcPr>
            <w:tcW w:w="32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 the six months ended June 30, 2025 and 2024, public company and other costs primarily includes compensation, legal, insurance and occupancy costs.</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 the six months ended June 30, 2025 and 2024, general and administrative expenses were partially offset by $6.3 million and $9.9 million, respectively, of management fees earned from Star Holdings, which are included in “Other income” in our consolidated statements of operations.</w:t>
            </w:r>
          </w:p>
        </w:tc>
      </w:tr>
    </w:tbl>
    <w:p>
      <w:pPr>
        <w:pStyle w:val="TextBody"/>
        <w:bidi w:val="0"/>
        <w:spacing w:before="0" w:after="0"/>
        <w:ind w:left="36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shd w:fill="FFFFFF" w:val="clear"/>
        </w:rPr>
        <w:t xml:space="preserve">During the six months ended June 30, 2025, we recorded a provision for credit losses of $4.6 million. </w:t>
      </w:r>
      <w:r>
        <w:rPr>
          <w:rFonts w:ascii="Times New Roman;Times;serif" w:hAnsi="Times New Roman;Times;serif"/>
          <w:sz w:val="20"/>
        </w:rPr>
        <w:t xml:space="preserve">The provision for credit losses was due primarily to the origination of three leasehold loans (refer to Note 6 to the consolidated financial statements) during the six months ended June 30, 2025 and current market conditions, </w:t>
      </w:r>
      <w:r>
        <w:rPr>
          <w:rFonts w:ascii="Times New Roman;Times;serif" w:hAnsi="Times New Roman;Times;serif"/>
          <w:color w:val="212529"/>
          <w:sz w:val="20"/>
          <w:shd w:fill="FFFFFF" w:val="clear"/>
        </w:rPr>
        <w:t>including an increase in our Ground Lease cost to value ratios on certain of our assets,</w:t>
      </w:r>
      <w:r>
        <w:rPr>
          <w:rFonts w:ascii="Times New Roman;Times;serif" w:hAnsi="Times New Roman;Times;serif"/>
          <w:sz w:val="20"/>
        </w:rPr>
        <w:t xml:space="preserve"> and growth in the carrying value of the Ground Lease portfolio during the period. </w:t>
      </w:r>
      <w:r>
        <w:rPr>
          <w:rFonts w:ascii="Times New Roman;Times;serif" w:hAnsi="Times New Roman;Times;serif"/>
          <w:color w:val="212529"/>
          <w:sz w:val="20"/>
          <w:shd w:fill="FFFFFF" w:val="clear"/>
        </w:rPr>
        <w:t>During the six months ended June 30, 2024, we recorded a provision for credit losses of $1.3 million. The provision in 2024 was primarily the result of current market conditions, including an increase in our Ground Lease to cost value ratios on our Ground Lease portfolio.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w:t>
      </w:r>
      <w:r>
        <w:rPr>
          <w:rFonts w:ascii="Times New Roman;Times;serif" w:hAnsi="Times New Roman;Times;serif"/>
          <w:sz w:val="20"/>
          <w:shd w:fill="FFFFFF" w:val="clear"/>
        </w:rPr>
        <w:t>uring the six months ended June 30, 2025, other expense consists primarily of a full write-off of a $1.9 million preferred equity investment in</w:t>
      </w:r>
      <w:r>
        <w:rPr>
          <w:rFonts w:ascii="Times New Roman;Times;serif" w:hAnsi="Times New Roman;Times;serif"/>
          <w:sz w:val="20"/>
        </w:rPr>
        <w:t xml:space="preserve"> an entity that owned the leasehold interest under one of our Ground Leases (refer to Note 15 to the consolidated financial statements). </w:t>
      </w:r>
      <w:r>
        <w:rPr>
          <w:rFonts w:ascii="Times New Roman;Times;serif" w:hAnsi="Times New Roman;Times;serif"/>
          <w:color w:val="212529"/>
          <w:sz w:val="20"/>
          <w:shd w:fill="FFFFFF" w:val="clear"/>
        </w:rPr>
        <w:t>During the six months ended June 30, 2024, other expense consists primarily of costs related to our debt obligations.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During the six months ended June 30, 2025, earnings from equity method investments (refer to Note 8 to the consolidated financial statements) decreased to $9.9 million from $13.4 million for the same period in 2024. </w:t>
      </w:r>
      <w:r>
        <w:rPr>
          <w:rFonts w:ascii="Times New Roman;Times;serif" w:hAnsi="Times New Roman;Times;serif"/>
          <w:sz w:val="20"/>
          <w:shd w:fill="FFFFFF" w:val="clear"/>
        </w:rPr>
        <w:t xml:space="preserve">The decrease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in 2025 was due primarily to loan repayments at the Leasehold Loan Fund and us buying one asset from the Ground Lease Plus Fund in January 2024.</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color w:val="212529"/>
          <w:sz w:val="20"/>
        </w:rPr>
        <w:t>During the six months ended June 30, 2025, we recorded consolidated income tax expense of $1.7 million, which was primarily attributable to a deferred tax expense at our TRS and relates to equity-based compensation</w:t>
      </w:r>
      <w:r>
        <w:rPr>
          <w:rFonts w:ascii="Times New Roman;Times;serif" w:hAnsi="Times New Roman;Times;serif"/>
          <w:sz w:val="20"/>
        </w:rPr>
        <w:t xml:space="preserve"> expense and utilization of net operating loss carryovers to which our TRS is a successor. </w:t>
      </w:r>
      <w:r>
        <w:rPr>
          <w:rFonts w:ascii="Times New Roman;Times;serif" w:hAnsi="Times New Roman;Times;serif"/>
          <w:color w:val="212529"/>
          <w:sz w:val="20"/>
        </w:rPr>
        <w:t>Included in our consolidated income tax expense for the six months ended June 30, 2025, our TRS recorded current and deferred tax expense in the amounts of $0.2 million and $1.5 million, respectively. During the six months ended June 30, 2024, we recorded consolidated income tax expense of $1.4 million, of which $1.3 million was attributable to our TRS. Included in our consolidated income tax expense for the six months ended June 30, 2024, our TRS recorded a deferred tax expense in the amount of $1.0 million. The net deferred tax expense relates primarily to equity-based compensation expense and utilization of net operating loss carryovers to which our TRS is a successor. </w:t>
      </w:r>
    </w:p>
    <w:p>
      <w:pPr>
        <w:pStyle w:val="TextBody"/>
        <w:shd w:fill="FFFFFF" w:val="clear"/>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Liquidity is a measure of our ability to meet potential cash requirements, including to pay interest and repay borrowings, fund and maintain our assets and operations, complete acquisitions and originations of investments, make distributions to our shareholders and meet other general business needs. In order to qualify as a REIT, we are required under the Internal Revenue Code of 1986 to distribute to our shareholders, on an annual basis, at least 90% of our REIT taxable income, determined without regard to the deduction for dividends paid and excluding net capital gains. We expect to make quarterly cash distributions to our shareholders sufficient to meet REIT qualification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the strong credit profile we have established utilizing our modern Ground Leases and our current investment-grade credit ratings from Moody's Investors Services of A3, Fitch Ratings of A- and S&amp;P Global Ratings of BBB+ facilitate our ability to bring commercial real estate owners, developers and sponsors more efficiently priced capital and allows us significant operational and financial flexibility and supports our ability to scale our Ground Lease platform.</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February 4, 2025, our Board authorized the repurchase of up to $50.0 million of our common stock. W</w:t>
      </w:r>
      <w:r>
        <w:rPr>
          <w:rFonts w:ascii="Times New Roman;Times;serif" w:hAnsi="Times New Roman;Times;serif"/>
          <w:sz w:val="20"/>
          <w:shd w:fill="FFFFFF" w:val="clear"/>
        </w:rPr>
        <w:t xml:space="preserve">e have no obligation to repurchase additional shares, and the timing, actual number and value of the shares that are repurchased, if any, will be at the discretion of management and will depend on a number of factors, including market conditions, the cost of repurchasing shares, the availability of alternative investment opportunities, liquidity, and other factors deemed appropriate. Repurchases may be suspended, terminated or modified at any time for any reason. </w:t>
      </w:r>
      <w:r>
        <w:rPr>
          <w:rFonts w:ascii="Times New Roman;Times;serif" w:hAnsi="Times New Roman;Times;serif"/>
          <w:sz w:val="20"/>
        </w:rPr>
        <w:t xml:space="preserve">The share repurchase program does not have an expiration date. </w:t>
      </w:r>
      <w:r>
        <w:rPr>
          <w:rFonts w:ascii="Times New Roman;Times;serif" w:hAnsi="Times New Roman;Times;serif"/>
          <w:sz w:val="20"/>
          <w:shd w:fill="FFFFFF" w:val="clear"/>
        </w:rPr>
        <w:t>Any repurchased shares will be returned to the status of authorized but unissued shares of common stock.</w:t>
      </w:r>
    </w:p>
    <w:p>
      <w:pPr>
        <w:pStyle w:val="TextBody"/>
        <w:bidi w:val="0"/>
        <w:spacing w:before="0" w:after="0"/>
        <w:ind w:left="0" w:right="0" w:firstLine="72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November 2024 and February 2024, Portfolio Holdings (as issuer) and we (as guarantor), issued an aggregate $700.0 million principal amount of senior notes. In November 2024, we issued $400.0 million aggregate principal amount of 5.65% senior notes due January 2035 (the “5.65% Notes”). The 5.65% Notes were issued at 98.812% of the principal amount. In February 2024, we issued $300.0 million aggregate principal amount of 6.10% senior notes due April 2034 (the “6.10% Notes”). The 6.10% Notes were issued at 98.957% of the principal amount. </w:t>
      </w:r>
    </w:p>
    <w:p>
      <w:pPr>
        <w:pStyle w:val="TextBody"/>
        <w:bidi w:val="0"/>
        <w:spacing w:before="0" w:after="0"/>
        <w:ind w:left="0" w:right="0" w:firstLine="720"/>
        <w:jc w:val="both"/>
        <w:rPr>
          <w:shd w:fill="FFFFFF" w:val="clear"/>
        </w:rPr>
      </w:pPr>
      <w:r>
        <w:rPr>
          <w:shd w:fill="FFFFFF" w:val="clear"/>
        </w:rPr>
        <w:t>​</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June 2024, we entered into a U.S. commercial paper program (the “Commercial Paper Program”) on a private placement basis, pursuant to which we may issue up to $750.0 million of short-term, unsecured commercial paper notes outstanding at any time, which are guaranteed by us. Under the Commercial Paper Program, we may issue the commercial paper notes from time to time and intend to use the proceeds for general corporate purposes. The Commercial Paper Program is backed by our 2024 Unsecured Revolver (see below). As of June 30, 2025, we had no outstanding balance under the Commercial Paper Program. Borrowings under the Commercial Paper Program reduce amounts otherwise available under the 2024 Unsecured Revolver.</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April 2024, we closed on a new $2.0 billion unsecured revolving credit facility (the “2024 Unsecured Revolver”), which replaced our 2021 Unsecured Revolver and 2023 Unsecured Revolver (refer to Note 10 to the consolidated financial statements), each of which were terminated. At the time of termination, $916 million was drawn on the 2021 Unsecured Revolver, all of which rolled over into the 2024 Unsecured Revolver. The 2024 Unsecured Revolver has a borrowing rate of Adjusted SOFR, as defined in the applicable agreement, plus 0.85%, subject to our credit ratings,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with an extended maturity date of May 1, 2029, which includes two six-month extension options. The 2024 Unsecured Revolver replaced our nearest term maturities, reduces the overall facility cost and increased our liquidity by $150 million. Additionally, we gained greater financial flexibility through changes to certain financial covenants. As of June 30, 2025, there was $1.2 billion of undrawn capacity on the 2024 Unsecured Revolver.</w:t>
      </w:r>
    </w:p>
    <w:p>
      <w:pPr>
        <w:pStyle w:val="TextBody"/>
        <w:shd w:fill="FFFFFF" w:val="clear"/>
        <w:bidi w:val="0"/>
        <w:spacing w:before="0" w:after="0"/>
        <w:ind w:left="0" w:right="0" w:firstLine="720"/>
        <w:jc w:val="both"/>
        <w:rPr>
          <w:shd w:fill="FFFF00" w:val="clear"/>
        </w:rPr>
      </w:pPr>
      <w:r>
        <w:rPr>
          <w:shd w:fill="FFFF00" w:val="clea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April 2023, we entered into an at-the-market equity offering (the “ATM”) pursuant to which we may sell shares of our common stock up to an aggregate purchase price of $300.0 million. We may sell such shares in amounts and at times to be determined by us from time to time, but we have no obligation to sell any of the shares. Actual sales, if any, will depend on a variety of factors to be determined by us from time to time, including, among other things, market conditions, the trading price of our common stock, capital needs, and our determinations of the appropriate sources of funding. As of June 30, 2025, we had not sold any shares under the ATM.</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of June 30, 2025, we had $13.9 million of unrestricted cash. We also have an aggregate $1.2 billion of undrawn capacity on our 2024 Unsecured Revolver (refer to Note 10 to the consolidated financial statements). We refer to this unrestricted cash and additional borrowing capacity on our 2024 Unsecured Revolver as our “equity” liquidity which can be used for general corporate purposes or leveraged to acquire or originate new Ground Lease assets. Our primary sources of cash to date have been proceeds from equity offerings and private placements, proceeds from our initial capitalization by iStar and two institutional investors and borrowings from our debt facilities, unsecured notes,</w:t>
      </w:r>
      <w:r>
        <w:rPr>
          <w:rFonts w:ascii="Times New Roman;Times;serif" w:hAnsi="Times New Roman;Times;serif"/>
          <w:sz w:val="20"/>
          <w:shd w:fill="FFFFFF" w:val="clear"/>
        </w:rPr>
        <w:t xml:space="preserve"> Commercial Paper Program</w:t>
      </w:r>
      <w:r>
        <w:rPr>
          <w:rFonts w:ascii="Times New Roman;Times;serif" w:hAnsi="Times New Roman;Times;serif"/>
          <w:sz w:val="20"/>
        </w:rPr>
        <w:t xml:space="preserve"> and mortgages. Our primary uses of cash to date have been the acquisition/origination of Ground Leases, repayments on our debt facilities and distributions to our shareholders.</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expect our short-term liquidity requirements to include debt service on our debt obligations (refer to Note 10 to the consolidated financial statements), distributions to our shareholders, working capital, new acquisitions and originations of Ground Lease and leasehold loan investments and additional fundings on existing Ground Leases and leasehold loan investments. We expect our long-term liquidity requirements to include debt service on our debt obligations (refer to Note 10 to the consolidated financial statements), distributions to our shareholders, working capital, new acquisitions and originations of Ground Lease and leasehold loan investments (including in respect of unfunded commitments – refer to Note 11 to the consolidated financial statements) and debt maturities. Our primary sources of liquidity going forward will generally consist of cash on hand and cash flows from operations, new financings, funds from our joint venture partners, unused borrowing capacity under our 2024 Unsecured Revolver (subject to the conditions set forth in the applicable loan agreement) and Commercial Paper Program, and common and/or preferred equity issuances. We expect that we will be able to meet our liquidity requirements over the next 12 months and beyond.</w:t>
      </w:r>
    </w:p>
    <w:p>
      <w:pPr>
        <w:pStyle w:val="TextBody"/>
        <w:shd w:fill="FFFFFF" w:val="clear"/>
        <w:bidi w:val="0"/>
        <w:spacing w:before="0" w:after="0"/>
        <w:ind w:left="0" w:right="0" w:firstLine="720"/>
        <w:jc w:val="both"/>
        <w:rPr/>
      </w:pPr>
      <w:r>
        <w:rPr/>
        <w:t>​</w:t>
      </w:r>
    </w:p>
    <w:p>
      <w:pPr>
        <w:pStyle w:val="TextBody"/>
        <w:shd w:fill="FFFFFF" w:val="clear"/>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 xml:space="preserve">The following table outlines our cash flows provided by (used in) operating activities, cash flows used in investing activities and cash flows provided by financing activities for the six months ended June 30, 2025 and 2024 ($ in thousands): </w:t>
      </w:r>
    </w:p>
    <w:tbl>
      <w:tblPr>
        <w:tblW w:w="7658" w:type="dxa"/>
        <w:jc w:val="left"/>
        <w:tblInd w:w="0" w:type="dxa"/>
        <w:tblLayout w:type="fixed"/>
        <w:tblCellMar>
          <w:top w:w="0" w:type="dxa"/>
          <w:left w:w="0" w:type="dxa"/>
          <w:bottom w:w="0" w:type="dxa"/>
          <w:right w:w="0" w:type="dxa"/>
        </w:tblCellMar>
      </w:tblPr>
      <w:tblGrid>
        <w:gridCol w:w="4411"/>
        <w:gridCol w:w="326"/>
        <w:gridCol w:w="211"/>
        <w:gridCol w:w="901"/>
        <w:gridCol w:w="326"/>
        <w:gridCol w:w="211"/>
        <w:gridCol w:w="901"/>
        <w:gridCol w:w="371"/>
      </w:tblGrid>
      <w:tr>
        <w:trPr/>
        <w:tc>
          <w:tcPr>
            <w:tcW w:w="4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2800985" cy="175260"/>
                      <wp:effectExtent l="0" t="0" r="0" b="0"/>
                      <wp:wrapNone/>
                      <wp:docPr id="589" name="Frame589"/>
                      <a:graphic xmlns:a="http://schemas.openxmlformats.org/drawingml/2006/main">
                        <a:graphicData uri="http://schemas.microsoft.com/office/word/2010/wordprocessingShape">
                          <wps:wsp>
                            <wps:cNvSpPr txBox="1"/>
                            <wps:spPr>
                              <a:xfrm>
                                <a:off x="0" y="0"/>
                                <a:ext cx="2800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207010" cy="175260"/>
                      <wp:effectExtent l="0" t="0" r="0" b="0"/>
                      <wp:wrapNone/>
                      <wp:docPr id="590" name="Frame5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133985" cy="175260"/>
                      <wp:effectExtent l="0" t="0" r="0" b="0"/>
                      <wp:wrapNone/>
                      <wp:docPr id="591" name="Frame5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572135" cy="175260"/>
                      <wp:effectExtent l="0" t="0" r="0" b="0"/>
                      <wp:wrapNone/>
                      <wp:docPr id="592" name="Frame59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207010" cy="175260"/>
                      <wp:effectExtent l="0" t="0" r="0" b="0"/>
                      <wp:wrapNone/>
                      <wp:docPr id="593" name="Frame5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133985" cy="175260"/>
                      <wp:effectExtent l="0" t="0" r="0" b="0"/>
                      <wp:wrapNone/>
                      <wp:docPr id="594" name="Frame5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572135" cy="175260"/>
                      <wp:effectExtent l="0" t="0" r="0" b="0"/>
                      <wp:wrapNone/>
                      <wp:docPr id="595" name="Frame59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235585" cy="175260"/>
                      <wp:effectExtent l="0" t="0" r="0" b="0"/>
                      <wp:wrapNone/>
                      <wp:docPr id="596" name="Frame596"/>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55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71" w:type="dxa"/>
            <w:tcBorders/>
            <w:vAlign w:val="center"/>
          </w:tcPr>
          <w:p>
            <w:pPr>
              <w:pStyle w:val="TableContents"/>
              <w:bidi w:val="0"/>
              <w:spacing w:before="0" w:after="0"/>
              <w:ind w:left="0" w:right="0" w:hanging="0"/>
              <w:jc w:val="center"/>
              <w:rPr/>
            </w:pPr>
            <w:r>
              <w:rPr/>
              <w:t>​</w:t>
            </w:r>
          </w:p>
        </w:tc>
      </w:tr>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71"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71" w:type="dxa"/>
            <w:tcBorders/>
            <w:vAlign w:val="center"/>
          </w:tcPr>
          <w:p>
            <w:pPr>
              <w:pStyle w:val="TableContents"/>
              <w:bidi w:val="0"/>
              <w:spacing w:before="0" w:after="0"/>
              <w:ind w:left="0" w:right="0" w:hanging="0"/>
              <w:jc w:val="left"/>
              <w:rPr/>
            </w:pPr>
            <w:r>
              <w:rPr/>
              <w:t>    </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provided by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21,695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provided by (used in) 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(123,961)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(136,823)</w:t>
            </w:r>
          </w:p>
        </w:tc>
        <w:tc>
          <w:tcPr>
            <w:tcW w:w="371" w:type="dxa"/>
            <w:tcBorders/>
            <w:vAlign w:val="center"/>
          </w:tcPr>
          <w:p>
            <w:pPr>
              <w:pStyle w:val="TableContents"/>
              <w:bidi w:val="0"/>
              <w:spacing w:before="0" w:after="0"/>
              <w:ind w:left="0" w:right="0" w:hanging="0"/>
              <w:jc w:val="lef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provided by (used in)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92,878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90,410</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shd w:fill="FFFFFF" w:val="clear"/>
        <w:bidi w:val="0"/>
        <w:spacing w:before="0" w:after="0"/>
        <w:ind w:left="0" w:right="0" w:hanging="0"/>
        <w:jc w:val="both"/>
        <w:rPr/>
      </w:pPr>
      <w:r>
        <w:rPr/>
        <w:t>​</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increase in cash flows provided by operating activities during 2025 was due primarily to proceeds received from the settlement of derivatives and from an increase in accrued expenses, primarily interest expense, that were not yet paid as of June 30, 2025. The decrease in cash flows used in investing activities during 2025 was due primarily to a decrease in the origination of Ground Leases in 2025 and the payment of temporary cash collateral for debt obligations in 2024, which was partially offset by the origination of leasehold loans in 2025 and a decrease in distributions from equity method investments in 2025. The increase in cash flows provided by financing activities during 2025 was due primarily to activity in 2024, including the redemption of noncontrolling interests and the payment of finance costs, which was partially offset by a decrease in contributions from noncontrolling interests.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Supplemental Guarantor Disclosure </w:t>
      </w:r>
    </w:p>
    <w:p>
      <w:pPr>
        <w:pStyle w:val="TextBody"/>
        <w:pBdr/>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In March 2020, the Securities and Exchange Commission (“SEC”) adopted amendments to Rule 3-10 of Regulation S-X and created Rule 13-01 to simplify disclosure requirements related to certain registered securities. The amendments became effective on January 4, 2021. In April 2023, we and Portfolio Holdings filed a registration statement on Form S-3 with the SEC registering, among other securities, debt securities of Portfolio Holdings, which will be fully and unconditionally guaranteed by us. As of June 30, 2025, Portfolio Holdings had issued and outstanding four tranches of unsecured senior notes with varying fixed-rates and maturities ranging from June 2031 to January 2035, which were registered on the Form S-3 filed in April 2023 or on a Form S-3 filed by Safehold Inc. and Portfolio Holdings (then known as Safehold Operating Partnership LP) prior to its merger with the Company (then known as iStar Inc.). The obligations of Portfolio Holdings to pay principal, premiums, if any, and interest on these unsecured senior notes are guaranteed on a senior basis by us. The guarantee is full and unconditional, and Portfolio Holdings is a consolidated subsidiary of ours.</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of the amendments to Rule 3-10 of Regulation S-X, subsidiary issuers of obligations guaranteed by the parent are not required to provide separate financial statements, provided that the subsidiary obligor is consolidated into the parent company’s consolidated financial statements, the parent guarantee is “full and unconditional” and, subject to certain exceptions as set forth below, the alternative disclosure required by Rule 13-01 is provided, which includes narrative disclosure and summarized financial information. Accordingly, separate consolidated financial statements of Portfolio Holdings have not been presented. Furthermore, as permitted under Rule 13-01(a)(4)(vi) of Regulation S-X, we have excluded the summarized financial information for Portfolio Holdings because the assets, liabilities and results of operations of Portfolio Holdings are not materially different than the corresponding amounts in our consolidated financial statements, and management believes such summarized financial information would be repetitive and would not provide incremental value to investors.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preparation of financial statements in accordance with generally accepted accounting principles in the United States of America (“GAAP”) requires management to make estimates and judgments in certain circumstances that affect amounts reported as assets, liabilities, revenues and expenses. We have established detailed policies and control procedures intended to ensure that valuation methods, including any judgments made as part of such methods, are well controlled, reviewed and applied consistently from period to period. We base our estimates on historical corporate and industry experience and various other assumptions that we believe to be appropriate under the circumstances. For all of these estimates, we caution that future events rarely develop exactly as forecasted, and, therefore, routinely require adjustment.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Loans receivable, net</w:t>
      </w:r>
      <w:r>
        <w:rPr>
          <w:rFonts w:ascii="Times New Roman;Times;serif" w:hAnsi="Times New Roman;Times;serif"/>
          <w:sz w:val="20"/>
        </w:rPr>
        <w:t>—Loans receivable, net includes senior mortgages that we originated to certain of our Ground Lease tenants in connection with Ground Leases (refer to Note 6 to the consolidated financial statements). Our loans receivable are classified as held-for-investment and are reported at their outstanding unpaid principal balance net of any unamortized acquisition premiums or discounts, unamortized deferred loan costs or fees and credit loss allowances.</w:t>
      </w:r>
    </w:p>
    <w:p>
      <w:pPr>
        <w:pStyle w:val="TextBody"/>
        <w:bidi w:val="0"/>
        <w:spacing w:before="0" w:after="0"/>
        <w:ind w:left="0" w:right="0" w:firstLine="720"/>
        <w:jc w:val="both"/>
        <w:rPr/>
      </w:pPr>
      <w:r>
        <w:rPr/>
        <w:t>​</w:t>
      </w:r>
    </w:p>
    <w:p>
      <w:pPr>
        <w:pStyle w:val="TextBody"/>
        <w:bidi w:val="0"/>
        <w:spacing w:before="0" w:after="0"/>
        <w:ind w:left="0" w:right="0" w:firstLine="810"/>
        <w:jc w:val="both"/>
        <w:rPr>
          <w:rFonts w:ascii="Times New Roman;Times;serif" w:hAnsi="Times New Roman;Times;serif"/>
          <w:sz w:val="20"/>
        </w:rPr>
      </w:pPr>
      <w:r>
        <w:rPr>
          <w:rFonts w:ascii="Times New Roman;Times;serif" w:hAnsi="Times New Roman;Times;serif"/>
          <w:sz w:val="20"/>
        </w:rPr>
        <w:t>We perform a quarterly analysis of our loans receivable that incorporates management’s current judgments about credit quality based on all known and relevant internal and external factors that may affect collectability. We consider, among other things, payment status, lien position, borrower financial resources and investment collateral, collateral type, project economics and other economic factors. We estimate the expected loss on our loans receivable (including unfunded commitments) based on relevant information including current market conditions and reasonable and supportable forecasts that affect the collectability of our investments. The estimate of our expected loss requires significant judgment. We calculate our expected loss through the use of third-party historical market data for loans with similar characteristics to our loan portfolio. We also utilize a third-party to provide forecasts to incorporate current and future economic conditions that may impact the performance of the commercial real estate assets securing our investments.</w:t>
      </w:r>
    </w:p>
    <w:p>
      <w:pPr>
        <w:pStyle w:val="TextBody"/>
        <w:bidi w:val="0"/>
        <w:spacing w:before="0" w:after="0"/>
        <w:ind w:left="0" w:right="0" w:firstLine="81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a discussion of our remaining critical accounting policies, refer to Note 3 to the consolidated financial statements of our 2024 Annual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802" w:name="Item3QuantitativeandQualitativeDisclosur"/>
      <w:bookmarkStart w:id="1803" w:name="_49435faf_71f1_4317_934f_5f071336de5d"/>
      <w:bookmarkEnd w:id="1802"/>
      <w:bookmarkEnd w:id="1803"/>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Market Risks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future income, cash flows and fair values relevant to financial instruments are dependent upon prevalent market prices and interest rates. Market risk refers to the risk of loss from adverse changes in market prices and interest rates. One of the principal market risks facing us is interest rate risk on our floating rate indebtedness.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qualifying and maintaining our qualification as a REIT for U.S. federal income tax purposes, we may mitigate the risk of interest rate volatility through the use of hedging instruments, such as interest rate swap agreements and interest rate cap agreements. Our primary objectives when undertaking hedging transactions will be to reduce our floating rate exposure and to fix a portion of the interest rate for anticipated financing and refinancing transactions. However, we can provide no assurances that our efforts to manage interest rate volatility will successfully mitigate the risks of such volatility on our portfolio. Our current portfolio is not subject to foreign currency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objectives with respect to interest rate risk are to limit the impact of interest rate changes on operations and cash flows, and to lower our overall borrowing costs. To achieve these objectives, we may borrow at fixed rates and may enter into hedging instruments such as interest rate swap agreements and interest rate cap agreements in order to mitigate our interest rate risk on a related floating rate financial instrument. We do not enter into derivative or interest rate transactions for speculative purposes.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June 30, 2025, we had $3.6 billion principal amount of fixed-rate debt outstanding and $0.9 billion principal amount of floating-rate debt outstanding. The following table quantifies the potential changes in annual net income should interest rates decrease or increase by 10, 50 and 100 basis points, assuming no change in our interest earning assets, interest bearing liabilities, derivative contracts or the shape of the yield curve (i.e., relative interest rates). Actual results could differ significantly from those estimated in the table.</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Estimated Change In Net Income </w:t>
      </w:r>
    </w:p>
    <w:p>
      <w:pPr>
        <w:pStyle w:val="TextBody"/>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in thousands)</w:t>
      </w:r>
      <w:r>
        <w:rPr>
          <w:rFonts w:ascii="Times New Roman;Times;serif" w:hAnsi="Times New Roman;Times;serif"/>
          <w:sz w:val="15"/>
        </w:rPr>
        <w:t xml:space="preserve">(1) </w:t>
      </w:r>
    </w:p>
    <w:p>
      <w:pPr>
        <w:pStyle w:val="TextBody"/>
        <w:bidi w:val="0"/>
        <w:spacing w:before="0" w:after="0"/>
        <w:ind w:left="0" w:right="0" w:hanging="0"/>
        <w:jc w:val="left"/>
        <w:rPr/>
      </w:pPr>
      <w:r>
        <w:rPr/>
        <w:t>​</w:t>
      </w:r>
    </w:p>
    <w:tbl>
      <w:tblPr>
        <w:tblW w:w="3687" w:type="dxa"/>
        <w:jc w:val="left"/>
        <w:tblInd w:w="0" w:type="dxa"/>
        <w:tblLayout w:type="fixed"/>
        <w:tblCellMar>
          <w:top w:w="0" w:type="dxa"/>
          <w:left w:w="0" w:type="dxa"/>
          <w:bottom w:w="0" w:type="dxa"/>
          <w:right w:w="0" w:type="dxa"/>
        </w:tblCellMar>
      </w:tblPr>
      <w:tblGrid>
        <w:gridCol w:w="1906"/>
        <w:gridCol w:w="326"/>
        <w:gridCol w:w="346"/>
        <w:gridCol w:w="1109"/>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1210310" cy="175260"/>
                      <wp:effectExtent l="0" t="0" r="0" b="0"/>
                      <wp:wrapNone/>
                      <wp:docPr id="597" name="Frame597"/>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207010" cy="175260"/>
                      <wp:effectExtent l="0" t="0" r="0" b="0"/>
                      <wp:wrapNone/>
                      <wp:docPr id="598" name="Frame5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219710" cy="175260"/>
                      <wp:effectExtent l="0" t="0" r="0" b="0"/>
                      <wp:wrapNone/>
                      <wp:docPr id="599" name="Frame5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704215" cy="175260"/>
                      <wp:effectExtent l="0" t="0" r="0" b="0"/>
                      <wp:wrapNone/>
                      <wp:docPr id="600" name="Frame600"/>
                      <a:graphic xmlns:a="http://schemas.openxmlformats.org/drawingml/2006/main">
                        <a:graphicData uri="http://schemas.microsoft.com/office/word/2010/wordprocessingShape">
                          <wps:wsp>
                            <wps:cNvSpPr txBox="1"/>
                            <wps:spPr>
                              <a:xfrm>
                                <a:off x="0" y="0"/>
                                <a:ext cx="704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 in Interest Rates</w:t>
            </w:r>
          </w:p>
        </w:tc>
        <w:tc>
          <w:tcPr>
            <w:tcW w:w="326" w:type="dxa"/>
            <w:tcBorders/>
            <w:vAlign w:val="center"/>
          </w:tcPr>
          <w:p>
            <w:pPr>
              <w:pStyle w:val="TableContents"/>
              <w:bidi w:val="0"/>
              <w:spacing w:before="0" w:after="0"/>
              <w:ind w:left="0" w:right="0" w:hanging="0"/>
              <w:jc w:val="left"/>
              <w:rPr/>
            </w:pPr>
            <w:r>
              <w:rPr/>
              <w:t>    </w:t>
            </w:r>
          </w:p>
        </w:tc>
        <w:tc>
          <w:tcPr>
            <w:tcW w:w="1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Income (Loss)</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 Basis Points</w:t>
            </w:r>
          </w:p>
        </w:tc>
        <w:tc>
          <w:tcPr>
            <w:tcW w:w="3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3,478</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-50 Basis Points</w:t>
            </w:r>
          </w:p>
        </w:tc>
        <w:tc>
          <w:tcPr>
            <w:tcW w:w="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1,700</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 Basis Points</w:t>
            </w:r>
          </w:p>
        </w:tc>
        <w:tc>
          <w:tcPr>
            <w:tcW w:w="3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 Interest Rate</w:t>
            </w:r>
          </w:p>
        </w:tc>
        <w:tc>
          <w:tcPr>
            <w:tcW w:w="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109" w:type="dxa"/>
            <w:tcBorders/>
            <w:vAlign w:val="center"/>
          </w:tcPr>
          <w:p>
            <w:pPr>
              <w:pStyle w:val="TableContents"/>
              <w:bidi w:val="0"/>
              <w:spacing w:before="0" w:after="0"/>
              <w:ind w:left="0" w:right="0" w:hanging="0"/>
              <w:jc w:val="right"/>
              <w:rPr/>
            </w:pPr>
            <w:r>
              <w:rPr/>
              <w:t>—</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 Basis Points</w:t>
            </w:r>
          </w:p>
        </w:tc>
        <w:tc>
          <w:tcPr>
            <w:tcW w:w="3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+ 50 Basis Points</w:t>
            </w:r>
          </w:p>
        </w:tc>
        <w:tc>
          <w:tcPr>
            <w:tcW w:w="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1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(1,689)</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 Basis Points</w:t>
            </w:r>
          </w:p>
        </w:tc>
        <w:tc>
          <w:tcPr>
            <w:tcW w:w="3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(3,378)</w:t>
            </w:r>
          </w:p>
        </w:tc>
      </w:tr>
    </w:tbl>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table above includes the effect of our floating-rate debt obligations, interest rate swaps, floating-rate loans and our share of the impact of floating-rate loans in our Leasehold Loan Fund.</w:t>
            </w:r>
          </w:p>
        </w:tc>
      </w:tr>
    </w:tbl>
    <w:p>
      <w:pPr>
        <w:pStyle w:val="TextBody"/>
        <w:bidi w:val="0"/>
        <w:spacing w:before="0" w:after="240"/>
        <w:ind w:left="0" w:right="0" w:hanging="0"/>
        <w:jc w:val="left"/>
        <w:rPr/>
      </w:pPr>
      <w:bookmarkStart w:id="1804" w:name="_dcee4d77_2391_4313_ac26_ab5325aad8de"/>
      <w:bookmarkEnd w:id="1804"/>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805" w:name="Item4ControlsandProcedures_125705"/>
      <w:bookmarkEnd w:id="1805"/>
      <w:r>
        <w:rPr>
          <w:rFonts w:ascii="Times New Roman;Times;serif" w:hAnsi="Times New Roman;Times;serif"/>
          <w:b/>
          <w:sz w:val="20"/>
        </w:rPr>
        <w:t>Item 4.   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maintains disclosure controls and procedures that are designed to ensure that information required to be disclosed in the Company’s Exchange Act reports is recorded, processed, summarized and reported within the time periods specified in the Securities and Exchange Commission’s rules and forms, and that such information is accumulated and communicated to the Company’s management, including its Chief Executive Officer and its Chief Financial Officer</w:t>
      </w:r>
      <w:r>
        <w:rPr>
          <w:rFonts w:ascii="Times New Roman;Times;serif" w:hAnsi="Times New Roman;Times;serif"/>
          <w:sz w:val="20"/>
          <w:shd w:fill="FFFFFF" w:val="clear"/>
        </w:rPr>
        <w:t xml:space="preserve">, </w:t>
      </w:r>
      <w:r>
        <w:rPr>
          <w:rFonts w:ascii="Times New Roman;Times;serif" w:hAnsi="Times New Roman;Times;serif"/>
          <w:sz w:val="20"/>
        </w:rPr>
        <w:t xml:space="preserve">as appropriate, to allow timely decisions regarding required disclosure. The Company has formed a disclosure committee that is responsible for considering the materiality of information and determining the disclosure obligations of the Company on a timely basis. The disclosure committee reports directly to the Company’s Chief Executive Officer and </w:t>
      </w:r>
      <w:r>
        <w:rPr>
          <w:rFonts w:ascii="Times New Roman;Times;serif" w:hAnsi="Times New Roman;Times;serif"/>
          <w:sz w:val="20"/>
          <w:shd w:fill="FFFFFF" w:val="clear"/>
        </w:rPr>
        <w:t>Chief Financial Officer</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the end of the period covered by this report, the Company carried out an evaluation, under the supervision and with the participation of the disclosure committee and other members of management, including its Chief Executive Officer and Chief Financial Officer</w:t>
      </w:r>
      <w:r>
        <w:rPr>
          <w:rFonts w:ascii="Times New Roman;Times;serif" w:hAnsi="Times New Roman;Times;serif"/>
          <w:sz w:val="20"/>
          <w:shd w:fill="FFFFFF" w:val="clear"/>
        </w:rPr>
        <w:t xml:space="preserve">, </w:t>
      </w:r>
      <w:r>
        <w:rPr>
          <w:rFonts w:ascii="Times New Roman;Times;serif" w:hAnsi="Times New Roman;Times;serif"/>
          <w:sz w:val="20"/>
        </w:rPr>
        <w:t>of the effectiveness of the Company’s disclosure controls and procedures pursuant to Exchange Act Rule 13a-15(b) or Rule 15d-15. Based upon that evaluation, the Chief Executive Officer and Chief Financial Officer concluded that the Company’s disclosure controls and procedures, as of the end of the period covered by this report, were effective to provide reasonable assurance that the information required to be disclosed by the Company in the reports that it files or submits under the Exchange Act is: (i) recorded, processed, summarized and reported within the time periods specified in SEC rules and forms; and (ii) accumulated and communicated to management, including the Chief Executive Officer and Chief Financial Officer, as appropriate, to allow timely decisions regarding disclosure.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have been no changes in the Company’s internal control over financial reporting during the period covered by this quarterly report that has materially affected, or is reasonably likely to materially affect, the Company’s internal control over financial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Notwithstanding the foregoing, a control system, no matter how well designed and operated, can provide only reasonable, not absolute, assurance that it will detect or uncover failures within the Company to disclose material information otherwise required to be set forth in the Company’s periodic reports.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806" w:name="PARTIIOTHERINFORMATION_821823"/>
      <w:bookmarkStart w:id="1807" w:name="_81ead49c_3278_4466_be65_cbd11e6c6fb5"/>
      <w:bookmarkEnd w:id="1806"/>
      <w:bookmarkEnd w:id="1807"/>
      <w:r>
        <w:rPr>
          <w:rFonts w:ascii="Times New Roman;Times;serif" w:hAnsi="Times New Roman;Times;serif"/>
          <w:b/>
          <w:sz w:val="20"/>
        </w:rPr>
        <w:t>PART II. OTHER INFORMATION</w:t>
      </w:r>
    </w:p>
    <w:p>
      <w:pPr>
        <w:pStyle w:val="TextBody"/>
        <w:pBdr/>
        <w:bidi w:val="0"/>
        <w:spacing w:before="0" w:after="0"/>
        <w:ind w:left="0" w:right="0" w:hanging="0"/>
        <w:jc w:val="left"/>
        <w:rPr>
          <w:rFonts w:ascii="Times New Roman;Times;serif" w:hAnsi="Times New Roman;Times;serif"/>
          <w:b/>
          <w:sz w:val="20"/>
        </w:rPr>
      </w:pPr>
      <w:bookmarkStart w:id="1808" w:name="Item1LegalProceedings_241327"/>
      <w:bookmarkEnd w:id="1808"/>
      <w:r>
        <w:rPr>
          <w:rFonts w:ascii="Times New Roman;Times;serif" w:hAnsi="Times New Roman;Times;serif"/>
          <w:b/>
          <w:sz w:val="20"/>
        </w:rPr>
        <w:t>Item 1.   Legal Proceedings</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are not currently party to any pending legal proceedings that we believe could have a material adverse effect on our business or financial condition. However, we may be subject to various claims and legal actions arising in the ordinary course of business from time to time.</w:t>
      </w:r>
    </w:p>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809" w:name="Item1aRiskFactors_934934"/>
      <w:bookmarkStart w:id="1810" w:name="_7b9cd7cd_8d7c_4f3d_8468_8a83c00f03d5"/>
      <w:bookmarkEnd w:id="1809"/>
      <w:bookmarkEnd w:id="1810"/>
      <w:r>
        <w:rPr>
          <w:rFonts w:ascii="Times New Roman;Times;serif" w:hAnsi="Times New Roman;Times;serif"/>
          <w:b/>
          <w:sz w:val="20"/>
        </w:rPr>
        <w:t>Item 1A.   Risk Factors</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There were no material changes from the risk factors previously disclosed in our 2024 Annual Report.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811" w:name="Item2UnregisteredSalesofEquitySecurities"/>
      <w:bookmarkStart w:id="1812" w:name="_f4e9db8b_70e1_4c6d_a36e_238708026bc4"/>
      <w:bookmarkEnd w:id="1811"/>
      <w:bookmarkEnd w:id="1812"/>
      <w:r>
        <w:rPr>
          <w:rFonts w:ascii="Times New Roman;Times;serif" w:hAnsi="Times New Roman;Times;serif"/>
          <w:b/>
          <w:sz w:val="20"/>
        </w:rPr>
        <w:t xml:space="preserve">Item 2.   Unregistered Sales of Equity Securities and Use of Proceeds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Unregistered Sales of Equity Securities</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We did not have any sales of unregistered shares of our common stock during the three months ended June 30, 2025.</w:t>
      </w:r>
    </w:p>
    <w:p>
      <w:pPr>
        <w:pStyle w:val="TextBody"/>
        <w:bidi w:val="0"/>
        <w:spacing w:before="0" w:after="240"/>
        <w:ind w:left="0" w:right="0" w:hanging="0"/>
        <w:jc w:val="both"/>
        <w:rPr>
          <w:shd w:fill="FFFFFF" w:val="clear"/>
        </w:rPr>
      </w:pPr>
      <w:r>
        <w:rPr>
          <w:shd w:fill="FFFFFF" w:val="clea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Issuer Purchases of Equity Securities</w:t>
      </w:r>
    </w:p>
    <w:tbl>
      <w:tblPr>
        <w:tblW w:w="9304" w:type="dxa"/>
        <w:jc w:val="left"/>
        <w:tblInd w:w="0" w:type="dxa"/>
        <w:tblLayout w:type="fixed"/>
        <w:tblCellMar>
          <w:top w:w="0" w:type="dxa"/>
          <w:left w:w="0" w:type="dxa"/>
          <w:bottom w:w="0" w:type="dxa"/>
          <w:right w:w="0" w:type="dxa"/>
        </w:tblCellMar>
      </w:tblPr>
      <w:tblGrid>
        <w:gridCol w:w="1621"/>
        <w:gridCol w:w="326"/>
        <w:gridCol w:w="1381"/>
        <w:gridCol w:w="326"/>
        <w:gridCol w:w="449"/>
        <w:gridCol w:w="737"/>
        <w:gridCol w:w="326"/>
        <w:gridCol w:w="1891"/>
        <w:gridCol w:w="326"/>
        <w:gridCol w:w="297"/>
        <w:gridCol w:w="1624"/>
      </w:tblGrid>
      <w:tr>
        <w:trPr/>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1029335" cy="175260"/>
                      <wp:effectExtent l="0" t="0" r="0" b="0"/>
                      <wp:wrapNone/>
                      <wp:docPr id="601" name="Frame601"/>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207010" cy="175260"/>
                      <wp:effectExtent l="0" t="0" r="0" b="0"/>
                      <wp:wrapNone/>
                      <wp:docPr id="602" name="Frame6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876935" cy="175260"/>
                      <wp:effectExtent l="0" t="0" r="0" b="0"/>
                      <wp:wrapNone/>
                      <wp:docPr id="603" name="Frame603"/>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207010" cy="175260"/>
                      <wp:effectExtent l="0" t="0" r="0" b="0"/>
                      <wp:wrapNone/>
                      <wp:docPr id="604" name="Frame6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285115" cy="175260"/>
                      <wp:effectExtent l="0" t="0" r="0" b="0"/>
                      <wp:wrapNone/>
                      <wp:docPr id="605" name="Frame605"/>
                      <a:graphic xmlns:a="http://schemas.openxmlformats.org/drawingml/2006/main">
                        <a:graphicData uri="http://schemas.microsoft.com/office/word/2010/wordprocessingShape">
                          <wps:wsp>
                            <wps:cNvSpPr txBox="1"/>
                            <wps:spPr>
                              <a:xfrm>
                                <a:off x="0" y="0"/>
                                <a:ext cx="285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467995" cy="175260"/>
                      <wp:effectExtent l="0" t="0" r="0" b="0"/>
                      <wp:wrapNone/>
                      <wp:docPr id="606" name="Frame606"/>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207010" cy="175260"/>
                      <wp:effectExtent l="0" t="0" r="0" b="0"/>
                      <wp:wrapNone/>
                      <wp:docPr id="607" name="Frame6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1200785" cy="175260"/>
                      <wp:effectExtent l="0" t="0" r="0" b="0"/>
                      <wp:wrapNone/>
                      <wp:docPr id="608" name="Frame608"/>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207010" cy="175260"/>
                      <wp:effectExtent l="0" t="0" r="0" b="0"/>
                      <wp:wrapNone/>
                      <wp:docPr id="609" name="Frame6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188595" cy="175260"/>
                      <wp:effectExtent l="0" t="0" r="0" b="0"/>
                      <wp:wrapNone/>
                      <wp:docPr id="610" name="Frame610"/>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1031240" cy="175260"/>
                      <wp:effectExtent l="0" t="0" r="0" b="0"/>
                      <wp:wrapNone/>
                      <wp:docPr id="611" name="Frame611"/>
                      <a:graphic xmlns:a="http://schemas.openxmlformats.org/drawingml/2006/main">
                        <a:graphicData uri="http://schemas.microsoft.com/office/word/2010/wordprocessingShape">
                          <wps:wsp>
                            <wps:cNvSpPr txBox="1"/>
                            <wps:spPr>
                              <a:xfrm>
                                <a:off x="0" y="0"/>
                                <a:ext cx="1031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3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449" w:type="dxa"/>
            <w:tcBorders/>
            <w:vAlign w:val="center"/>
          </w:tcPr>
          <w:p>
            <w:pPr>
              <w:pStyle w:val="TableContents"/>
              <w:bidi w:val="0"/>
              <w:spacing w:before="0" w:after="0"/>
              <w:ind w:left="0" w:right="0" w:hanging="0"/>
              <w:jc w:val="center"/>
              <w:rPr/>
            </w:pPr>
            <w:r>
              <w:rPr/>
              <w:t>​</w:t>
            </w:r>
          </w:p>
        </w:tc>
        <w:tc>
          <w:tcPr>
            <w:tcW w:w="73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8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 Shares </w:t>
            </w:r>
          </w:p>
        </w:tc>
        <w:tc>
          <w:tcPr>
            <w:tcW w:w="326" w:type="dxa"/>
            <w:tcBorders/>
            <w:vAlign w:val="center"/>
          </w:tcPr>
          <w:p>
            <w:pPr>
              <w:pStyle w:val="TableContents"/>
              <w:bidi w:val="0"/>
              <w:spacing w:before="0" w:after="0"/>
              <w:ind w:left="0" w:right="0" w:hanging="0"/>
              <w:jc w:val="center"/>
              <w:rPr/>
            </w:pPr>
            <w:r>
              <w:rPr/>
              <w:t>    </w:t>
            </w:r>
          </w:p>
        </w:tc>
        <w:tc>
          <w:tcPr>
            <w:tcW w:w="19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 Dollar Value </w:t>
            </w:r>
          </w:p>
        </w:tc>
      </w:tr>
      <w:tr>
        <w:trPr/>
        <w:tc>
          <w:tcPr>
            <w:tcW w:w="16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449" w:type="dxa"/>
            <w:tcBorders/>
            <w:vAlign w:val="center"/>
          </w:tcPr>
          <w:p>
            <w:pPr>
              <w:pStyle w:val="TableContents"/>
              <w:bidi w:val="0"/>
              <w:spacing w:before="0" w:after="0"/>
              <w:ind w:left="0" w:right="0" w:hanging="0"/>
              <w:jc w:val="center"/>
              <w:rPr/>
            </w:pPr>
            <w:r>
              <w:rPr/>
              <w:t>​</w:t>
            </w:r>
          </w:p>
        </w:tc>
        <w:tc>
          <w:tcPr>
            <w:tcW w:w="73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8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 as Part of a </w:t>
            </w:r>
          </w:p>
        </w:tc>
        <w:tc>
          <w:tcPr>
            <w:tcW w:w="326" w:type="dxa"/>
            <w:tcBorders/>
            <w:vAlign w:val="center"/>
          </w:tcPr>
          <w:p>
            <w:pPr>
              <w:pStyle w:val="TableContents"/>
              <w:bidi w:val="0"/>
              <w:spacing w:before="0" w:after="0"/>
              <w:ind w:left="0" w:right="0" w:hanging="0"/>
              <w:jc w:val="center"/>
              <w:rPr/>
            </w:pPr>
            <w:r>
              <w:rPr/>
              <w:t>​</w:t>
            </w:r>
          </w:p>
        </w:tc>
        <w:tc>
          <w:tcPr>
            <w:tcW w:w="19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 that May Yet </w:t>
            </w:r>
          </w:p>
        </w:tc>
      </w:tr>
      <w:tr>
        <w:trPr/>
        <w:tc>
          <w:tcPr>
            <w:tcW w:w="16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 </w:t>
            </w:r>
          </w:p>
        </w:tc>
        <w:tc>
          <w:tcPr>
            <w:tcW w:w="326" w:type="dxa"/>
            <w:tcBorders/>
            <w:vAlign w:val="center"/>
          </w:tcPr>
          <w:p>
            <w:pPr>
              <w:pStyle w:val="TableContents"/>
              <w:bidi w:val="0"/>
              <w:spacing w:before="0" w:after="0"/>
              <w:ind w:left="0" w:right="0" w:hanging="0"/>
              <w:jc w:val="center"/>
              <w:rPr/>
            </w:pPr>
            <w:r>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Price </w:t>
            </w:r>
          </w:p>
        </w:tc>
        <w:tc>
          <w:tcPr>
            <w:tcW w:w="326" w:type="dxa"/>
            <w:tcBorders/>
            <w:vAlign w:val="center"/>
          </w:tcPr>
          <w:p>
            <w:pPr>
              <w:pStyle w:val="TableContents"/>
              <w:bidi w:val="0"/>
              <w:spacing w:before="0" w:after="0"/>
              <w:ind w:left="0" w:right="0" w:hanging="0"/>
              <w:jc w:val="center"/>
              <w:rPr/>
            </w:pPr>
            <w:r>
              <w:rPr/>
              <w:t>​</w:t>
            </w:r>
          </w:p>
        </w:tc>
        <w:tc>
          <w:tcPr>
            <w:tcW w:w="18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Publicly Announced </w:t>
            </w:r>
          </w:p>
        </w:tc>
        <w:tc>
          <w:tcPr>
            <w:tcW w:w="326" w:type="dxa"/>
            <w:tcBorders/>
            <w:vAlign w:val="center"/>
          </w:tcPr>
          <w:p>
            <w:pPr>
              <w:pStyle w:val="TableContents"/>
              <w:bidi w:val="0"/>
              <w:spacing w:before="0" w:after="0"/>
              <w:ind w:left="0" w:right="0" w:hanging="0"/>
              <w:jc w:val="center"/>
              <w:rPr/>
            </w:pPr>
            <w:r>
              <w:rPr/>
              <w:t>​</w:t>
            </w:r>
          </w:p>
        </w:tc>
        <w:tc>
          <w:tcPr>
            <w:tcW w:w="19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 Purchased Under the </w:t>
            </w:r>
          </w:p>
        </w:tc>
      </w:tr>
      <w:tr>
        <w:trPr/>
        <w:tc>
          <w:tcPr>
            <w:tcW w:w="16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w:t>
            </w:r>
          </w:p>
        </w:tc>
        <w:tc>
          <w:tcPr>
            <w:tcW w:w="326" w:type="dxa"/>
            <w:tcBorders/>
            <w:vAlign w:val="center"/>
          </w:tcPr>
          <w:p>
            <w:pPr>
              <w:pStyle w:val="TableContents"/>
              <w:bidi w:val="0"/>
              <w:spacing w:before="0" w:after="0"/>
              <w:ind w:left="0" w:right="0" w:hanging="0"/>
              <w:jc w:val="center"/>
              <w:rPr/>
            </w:pPr>
            <w:r>
              <w:rPr/>
              <w:t>​</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per Share</w:t>
            </w:r>
          </w:p>
        </w:tc>
        <w:tc>
          <w:tcPr>
            <w:tcW w:w="326" w:type="dxa"/>
            <w:tcBorders/>
            <w:vAlign w:val="center"/>
          </w:tcPr>
          <w:p>
            <w:pPr>
              <w:pStyle w:val="TableContents"/>
              <w:bidi w:val="0"/>
              <w:spacing w:before="0" w:after="0"/>
              <w:ind w:left="0" w:right="0" w:hanging="0"/>
              <w:jc w:val="center"/>
              <w:rPr/>
            </w:pPr>
            <w:r>
              <w:rPr/>
              <w:t>​</w:t>
            </w:r>
          </w:p>
        </w:tc>
        <w:tc>
          <w:tcPr>
            <w:tcW w:w="18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Plans or Programs</w:t>
            </w:r>
          </w:p>
        </w:tc>
        <w:tc>
          <w:tcPr>
            <w:tcW w:w="326" w:type="dxa"/>
            <w:tcBorders/>
            <w:vAlign w:val="center"/>
          </w:tcPr>
          <w:p>
            <w:pPr>
              <w:pStyle w:val="TableContents"/>
              <w:bidi w:val="0"/>
              <w:spacing w:before="0" w:after="0"/>
              <w:ind w:left="0" w:right="0" w:hanging="0"/>
              <w:jc w:val="center"/>
              <w:rPr/>
            </w:pPr>
            <w:r>
              <w:rPr/>
              <w:t>​</w:t>
            </w:r>
          </w:p>
        </w:tc>
        <w:tc>
          <w:tcPr>
            <w:tcW w:w="1921"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Plans or Programs</w:t>
            </w:r>
            <w:r>
              <w:rPr>
                <w:rFonts w:ascii="Times New Roman;Times;serif" w:hAnsi="Times New Roman;Times;serif"/>
                <w:b/>
                <w:sz w:val="12"/>
              </w:rPr>
              <w:t>(1)</w:t>
            </w:r>
          </w:p>
        </w:tc>
      </w:tr>
      <w:tr>
        <w:trPr/>
        <w:tc>
          <w:tcPr>
            <w:tcW w:w="1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 to April 30</w:t>
            </w:r>
          </w:p>
        </w:tc>
        <w:tc>
          <w:tcPr>
            <w:tcW w:w="32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8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50,000,000</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 to May 31</w:t>
            </w:r>
          </w:p>
        </w:tc>
        <w:tc>
          <w:tcPr>
            <w:tcW w:w="32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8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50,000,000</w:t>
            </w:r>
          </w:p>
        </w:tc>
      </w:tr>
      <w:tr>
        <w:trPr/>
        <w:tc>
          <w:tcPr>
            <w:tcW w:w="1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1 to June 30</w:t>
            </w:r>
          </w:p>
        </w:tc>
        <w:tc>
          <w:tcPr>
            <w:tcW w:w="32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8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24"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50,000,000</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On February 4, 2025, our Board authorized the repurchase of up to $50.0 million of our common stock. We have no obligation to repurchase additional shares, and the timing, actual number and value of the shares that are repurchased, if any, will be at the discretion of management and will depend on a number of factors, including market conditions, the cost of repurchasing shares, the availability of alternative investment opportunities, liquidity, and other factors deemed appropriate. Repurchases may be suspended, terminated or modified at any time for any reason. The share repurchase program does not have an expiration date. Any repurchased shares will be returned to the status of authorized but unissued shares of common stock. </w:t>
            </w:r>
          </w:p>
        </w:tc>
      </w:tr>
    </w:tbl>
    <w:p>
      <w:pPr>
        <w:pStyle w:val="TextBody"/>
        <w:bidi w:val="0"/>
        <w:spacing w:before="0" w:after="240"/>
        <w:ind w:left="45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813" w:name="Item3DefaultsUponSeniorSecurities_688805"/>
      <w:bookmarkStart w:id="1814" w:name="_83b0c985_3e0a_41b8_8c33_be7a991c3598"/>
      <w:bookmarkEnd w:id="1813"/>
      <w:bookmarkEnd w:id="1814"/>
      <w:r>
        <w:rPr>
          <w:rFonts w:ascii="Times New Roman;Times;serif" w:hAnsi="Times New Roman;Times;serif"/>
          <w:b/>
          <w:sz w:val="20"/>
        </w:rPr>
        <w:t>Item 3.   Defaults Upon Senior Securities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815" w:name="Item4MineSafetyDisclosures_271149"/>
      <w:bookmarkStart w:id="1816" w:name="_c2ddde52_c3b7_4bcd_bf28_7fc59d2b5b66"/>
      <w:bookmarkEnd w:id="1815"/>
      <w:bookmarkEnd w:id="1816"/>
      <w:r>
        <w:rPr>
          <w:rFonts w:ascii="Times New Roman;Times;serif" w:hAnsi="Times New Roman;Times;serif"/>
          <w:b/>
          <w:sz w:val="20"/>
        </w:rPr>
        <w:t>Item 4.   Mine Safety Disclosures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817" w:name="Item5OtherInformation_293388"/>
      <w:bookmarkStart w:id="1818" w:name="_5702b8a2_a923_4ba1_a090_d915f56ea10f"/>
      <w:bookmarkEnd w:id="1817"/>
      <w:bookmarkEnd w:id="1818"/>
      <w:r>
        <w:rPr>
          <w:rFonts w:ascii="Times New Roman;Times;serif" w:hAnsi="Times New Roman;Times;serif"/>
          <w:b/>
          <w:sz w:val="20"/>
        </w:rPr>
        <w:t>Item 5.   Other Information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819" w:name="Item6Exhibits_331758"/>
      <w:bookmarkStart w:id="1820" w:name="_f32d18a4_f32c_4f8e_a054_d71a1893d626"/>
      <w:bookmarkEnd w:id="1819"/>
      <w:bookmarkEnd w:id="1820"/>
      <w:r>
        <w:rPr>
          <w:rFonts w:ascii="Times New Roman;Times;serif" w:hAnsi="Times New Roman;Times;serif"/>
          <w:b/>
          <w:sz w:val="20"/>
        </w:rPr>
        <w:t>Item 6.   Exhibits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INDEX TO EXHIBITS</w:t>
      </w:r>
    </w:p>
    <w:tbl>
      <w:tblPr>
        <w:tblW w:w="10205" w:type="dxa"/>
        <w:jc w:val="left"/>
        <w:tblInd w:w="0" w:type="dxa"/>
        <w:tblLayout w:type="fixed"/>
        <w:tblCellMar>
          <w:top w:w="0" w:type="dxa"/>
          <w:left w:w="0" w:type="dxa"/>
          <w:bottom w:w="0" w:type="dxa"/>
          <w:right w:w="0" w:type="dxa"/>
        </w:tblCellMar>
      </w:tblPr>
      <w:tblGrid>
        <w:gridCol w:w="841"/>
        <w:gridCol w:w="206"/>
        <w:gridCol w:w="9158"/>
      </w:tblGrid>
      <w:tr>
        <w:trPr/>
        <w:tc>
          <w:tcPr>
            <w:tcW w:w="84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158" w:type="dxa"/>
            <w:tcBorders/>
            <w:vAlign w:val="center"/>
          </w:tcPr>
          <w:p>
            <w:pPr>
              <w:pStyle w:val="TableContents"/>
              <w:bidi w:val="0"/>
              <w:spacing w:before="0" w:after="0"/>
              <w:ind w:left="0" w:right="0" w:hanging="0"/>
              <w:jc w:val="left"/>
              <w:rPr/>
            </w:pPr>
            <w:r>
              <w:rPr/>
              <w:t>​</w:t>
            </w:r>
          </w:p>
        </w:tc>
      </w:tr>
      <w:tr>
        <w:trPr/>
        <w:tc>
          <w:tcPr>
            <w:tcW w:w="84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br/>
              <w:t>Number</w:t>
            </w:r>
          </w:p>
        </w:tc>
        <w:tc>
          <w:tcPr>
            <w:tcW w:w="206" w:type="dxa"/>
            <w:tcBorders/>
            <w:vAlign w:val="center"/>
          </w:tcPr>
          <w:p>
            <w:pPr>
              <w:pStyle w:val="TableContents"/>
              <w:bidi w:val="0"/>
              <w:spacing w:before="0" w:after="30"/>
              <w:ind w:left="0" w:right="0" w:hanging="0"/>
              <w:jc w:val="center"/>
              <w:rPr/>
            </w:pPr>
            <w:r>
              <w:rPr/>
              <w:t>  </w:t>
            </w:r>
          </w:p>
        </w:tc>
        <w:tc>
          <w:tcPr>
            <w:tcW w:w="9158" w:type="dxa"/>
            <w:tcBorders/>
            <w:vAlign w:val="center"/>
          </w:tcPr>
          <w:p>
            <w:pPr>
              <w:pStyle w:val="TableContents"/>
              <w:bidi w:val="0"/>
              <w:spacing w:before="0" w:after="30"/>
              <w:ind w:left="0" w:right="0" w:hanging="0"/>
              <w:jc w:val="center"/>
              <w:rPr>
                <w:rFonts w:ascii="Times New Roman;Times;serif" w:hAnsi="Times New Roman;Times;serif"/>
                <w:b/>
                <w:sz w:val="20"/>
              </w:rPr>
            </w:pPr>
            <w:r>
              <w:rPr>
                <w:rFonts w:ascii="Times New Roman;Times;serif" w:hAnsi="Times New Roman;Times;serif"/>
                <w:b/>
                <w:sz w:val="20"/>
              </w:rPr>
              <w:t>Document Description</w:t>
            </w:r>
          </w:p>
        </w:tc>
      </w:tr>
      <w:tr>
        <w:trPr/>
        <w:tc>
          <w:tcPr>
            <w:tcW w:w="84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2.1</w:t>
            </w:r>
          </w:p>
        </w:tc>
        <w:tc>
          <w:tcPr>
            <w:tcW w:w="206" w:type="dxa"/>
            <w:tcBorders/>
            <w:vAlign w:val="center"/>
          </w:tcPr>
          <w:p>
            <w:pPr>
              <w:pStyle w:val="TableContents"/>
              <w:bidi w:val="0"/>
              <w:spacing w:before="0" w:after="30"/>
              <w:ind w:left="0" w:right="0" w:hanging="0"/>
              <w:jc w:val="left"/>
              <w:rPr/>
            </w:pPr>
            <w:r>
              <w:rPr/>
              <w:t>​</w:t>
            </w:r>
          </w:p>
        </w:tc>
        <w:tc>
          <w:tcPr>
            <w:tcW w:w="9158"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 xml:space="preserve">Agreement and Plan of Merger, dated as of August 10, 2022, by and between iStar Inc. and Safehold Inc. </w:t>
              </w:r>
            </w:hyperlink>
            <w:hyperlink r:id="rId3">
              <w:r>
                <w:rPr>
                  <w:rStyle w:val="InternetLink"/>
                  <w:rFonts w:ascii="Times New Roman;Times;serif" w:hAnsi="Times New Roman;Times;serif"/>
                  <w:b w:val="false"/>
                  <w:i w:val="false"/>
                  <w:caps w:val="false"/>
                  <w:smallCaps w:val="false"/>
                  <w:sz w:val="20"/>
                  <w:shd w:fill="FFFFFF" w:val="clear"/>
                </w:rPr>
                <w:t>(incorporated by reference to Exhibit 2.1 of our Current Report on Form 8-K, filed August 11, 2022)</w:t>
              </w:r>
            </w:hyperlink>
            <w:r>
              <w:rPr>
                <w:rFonts w:ascii="Times New Roman;Times;serif" w:hAnsi="Times New Roman;Times;serif"/>
                <w:sz w:val="20"/>
                <w:shd w:fill="FFFFFF" w:val="clear"/>
              </w:rPr>
              <w:t>.</w:t>
            </w:r>
          </w:p>
        </w:tc>
      </w:tr>
      <w:tr>
        <w:trPr/>
        <w:tc>
          <w:tcPr>
            <w:tcW w:w="84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3.1</w:t>
            </w:r>
          </w:p>
        </w:tc>
        <w:tc>
          <w:tcPr>
            <w:tcW w:w="206" w:type="dxa"/>
            <w:tcBorders/>
            <w:vAlign w:val="center"/>
          </w:tcPr>
          <w:p>
            <w:pPr>
              <w:pStyle w:val="TableContents"/>
              <w:bidi w:val="0"/>
              <w:spacing w:before="0" w:after="30"/>
              <w:ind w:left="0" w:right="0" w:hanging="0"/>
              <w:jc w:val="left"/>
              <w:rPr/>
            </w:pPr>
            <w:r>
              <w:rPr/>
              <w:t>​</w:t>
            </w:r>
          </w:p>
        </w:tc>
        <w:tc>
          <w:tcPr>
            <w:tcW w:w="9158"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Amended and Restated Charter of Safehold Inc. (incorporated by reference to Exhibit 3.3 to our Current Report on Form 8-K, filed April 4, 2023).</w:t>
              </w:r>
            </w:hyperlink>
          </w:p>
        </w:tc>
      </w:tr>
      <w:tr>
        <w:trPr/>
        <w:tc>
          <w:tcPr>
            <w:tcW w:w="84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3.2</w:t>
            </w:r>
          </w:p>
        </w:tc>
        <w:tc>
          <w:tcPr>
            <w:tcW w:w="206" w:type="dxa"/>
            <w:tcBorders/>
            <w:vAlign w:val="center"/>
          </w:tcPr>
          <w:p>
            <w:pPr>
              <w:pStyle w:val="TableContents"/>
              <w:bidi w:val="0"/>
              <w:spacing w:before="0" w:after="30"/>
              <w:ind w:left="0" w:right="0" w:hanging="0"/>
              <w:jc w:val="left"/>
              <w:rPr/>
            </w:pPr>
            <w:r>
              <w:rPr/>
              <w:t>​</w:t>
            </w:r>
          </w:p>
        </w:tc>
        <w:tc>
          <w:tcPr>
            <w:tcW w:w="9158"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Amended and Restated Bylaws of Safehold Inc. (incorporated by reference to Exhibit 3.4 to our Current Report on Form 8-K, filed April 4, 2023)</w:t>
              </w:r>
            </w:hyperlink>
            <w:r>
              <w:rPr>
                <w:rFonts w:ascii="Times New Roman;Times;serif" w:hAnsi="Times New Roman;Times;serif"/>
                <w:sz w:val="20"/>
              </w:rPr>
              <w:t>.</w:t>
            </w:r>
          </w:p>
        </w:tc>
      </w:tr>
      <w:tr>
        <w:trPr/>
        <w:tc>
          <w:tcPr>
            <w:tcW w:w="84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22.1*</w:t>
            </w:r>
          </w:p>
        </w:tc>
        <w:tc>
          <w:tcPr>
            <w:tcW w:w="206" w:type="dxa"/>
            <w:tcBorders/>
            <w:vAlign w:val="center"/>
          </w:tcPr>
          <w:p>
            <w:pPr>
              <w:pStyle w:val="TableContents"/>
              <w:bidi w:val="0"/>
              <w:spacing w:before="0" w:after="30"/>
              <w:ind w:left="0" w:right="0" w:hanging="0"/>
              <w:jc w:val="left"/>
              <w:rPr/>
            </w:pPr>
            <w:r>
              <w:rPr/>
              <w:t>​</w:t>
            </w:r>
          </w:p>
        </w:tc>
        <w:tc>
          <w:tcPr>
            <w:tcW w:w="9158" w:type="dxa"/>
            <w:tcBorders/>
            <w:vAlign w:val="center"/>
          </w:tcPr>
          <w:p>
            <w:pPr>
              <w:pStyle w:val="TableContents"/>
              <w:bidi w:val="0"/>
              <w:spacing w:before="0" w:after="30"/>
              <w:ind w:left="0" w:right="0" w:hanging="0"/>
              <w:jc w:val="left"/>
              <w:rPr/>
            </w:pPr>
            <w:hyperlink w:anchor="safe-20250630xex22d1.htm">
              <w:r>
                <w:rPr>
                  <w:rStyle w:val="InternetLink"/>
                  <w:rFonts w:ascii="Times New Roman;Times;serif" w:hAnsi="Times New Roman;Times;serif"/>
                  <w:b w:val="false"/>
                  <w:i w:val="false"/>
                  <w:caps w:val="false"/>
                  <w:smallCaps w:val="false"/>
                  <w:sz w:val="20"/>
                </w:rPr>
                <w:t>Subsidiary Guarantors and Issuers of Guaranteed Securities</w:t>
              </w:r>
            </w:hyperlink>
            <w:r>
              <w:rPr>
                <w:rFonts w:ascii="Times New Roman;Times;serif" w:hAnsi="Times New Roman;Times;serif"/>
                <w:sz w:val="20"/>
              </w:rPr>
              <w:t>.</w:t>
            </w:r>
          </w:p>
        </w:tc>
      </w:tr>
      <w:tr>
        <w:trPr/>
        <w:tc>
          <w:tcPr>
            <w:tcW w:w="84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31.0*</w:t>
            </w:r>
          </w:p>
        </w:tc>
        <w:tc>
          <w:tcPr>
            <w:tcW w:w="206" w:type="dxa"/>
            <w:tcBorders/>
            <w:vAlign w:val="center"/>
          </w:tcPr>
          <w:p>
            <w:pPr>
              <w:pStyle w:val="TableContents"/>
              <w:bidi w:val="0"/>
              <w:spacing w:before="0" w:after="30"/>
              <w:ind w:left="0" w:right="0" w:hanging="0"/>
              <w:jc w:val="left"/>
              <w:rPr/>
            </w:pPr>
            <w:r>
              <w:rPr/>
              <w:t>​</w:t>
            </w:r>
          </w:p>
        </w:tc>
        <w:tc>
          <w:tcPr>
            <w:tcW w:w="9158" w:type="dxa"/>
            <w:tcBorders/>
            <w:vAlign w:val="center"/>
          </w:tcPr>
          <w:p>
            <w:pPr>
              <w:pStyle w:val="TableContents"/>
              <w:bidi w:val="0"/>
              <w:spacing w:before="0" w:after="30"/>
              <w:ind w:left="0" w:right="0" w:hanging="0"/>
              <w:jc w:val="left"/>
              <w:rPr/>
            </w:pPr>
            <w:hyperlink w:anchor="safe-20250630xex31d0.htm">
              <w:r>
                <w:rPr>
                  <w:rStyle w:val="InternetLink"/>
                  <w:rFonts w:ascii="Times New Roman;Times;serif" w:hAnsi="Times New Roman;Times;serif"/>
                  <w:b w:val="false"/>
                  <w:i w:val="false"/>
                  <w:caps w:val="false"/>
                  <w:smallCaps w:val="false"/>
                  <w:sz w:val="20"/>
                </w:rPr>
                <w:t>Certifications pursuant to Section 302 of the Sarbanes-Oxley Act.</w:t>
              </w:r>
            </w:hyperlink>
          </w:p>
        </w:tc>
      </w:tr>
      <w:tr>
        <w:trPr/>
        <w:tc>
          <w:tcPr>
            <w:tcW w:w="84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32.0**</w:t>
            </w:r>
          </w:p>
        </w:tc>
        <w:tc>
          <w:tcPr>
            <w:tcW w:w="206" w:type="dxa"/>
            <w:tcBorders/>
            <w:vAlign w:val="center"/>
          </w:tcPr>
          <w:p>
            <w:pPr>
              <w:pStyle w:val="TableContents"/>
              <w:bidi w:val="0"/>
              <w:spacing w:before="0" w:after="30"/>
              <w:ind w:left="0" w:right="0" w:hanging="0"/>
              <w:jc w:val="left"/>
              <w:rPr/>
            </w:pPr>
            <w:r>
              <w:rPr/>
              <w:t>​</w:t>
            </w:r>
          </w:p>
        </w:tc>
        <w:tc>
          <w:tcPr>
            <w:tcW w:w="9158" w:type="dxa"/>
            <w:tcBorders/>
            <w:vAlign w:val="center"/>
          </w:tcPr>
          <w:p>
            <w:pPr>
              <w:pStyle w:val="TableContents"/>
              <w:bidi w:val="0"/>
              <w:spacing w:before="0" w:after="30"/>
              <w:ind w:left="0" w:right="0" w:hanging="0"/>
              <w:jc w:val="left"/>
              <w:rPr/>
            </w:pPr>
            <w:hyperlink w:anchor="safe-20250630xex32d0.htm">
              <w:r>
                <w:rPr>
                  <w:rStyle w:val="InternetLink"/>
                  <w:rFonts w:ascii="Times New Roman;Times;serif" w:hAnsi="Times New Roman;Times;serif"/>
                  <w:b w:val="false"/>
                  <w:i w:val="false"/>
                  <w:caps w:val="false"/>
                  <w:smallCaps w:val="false"/>
                  <w:sz w:val="20"/>
                </w:rPr>
                <w:t>Certifications pursuant to Section 906 of the Sarbanes-Oxley Act</w:t>
              </w:r>
            </w:hyperlink>
            <w:r>
              <w:rPr>
                <w:rFonts w:ascii="Times New Roman;Times;serif" w:hAnsi="Times New Roman;Times;serif"/>
                <w:sz w:val="20"/>
              </w:rPr>
              <w:t>.</w:t>
            </w:r>
          </w:p>
        </w:tc>
      </w:tr>
      <w:tr>
        <w:trPr/>
        <w:tc>
          <w:tcPr>
            <w:tcW w:w="84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101.INS</w:t>
            </w:r>
          </w:p>
        </w:tc>
        <w:tc>
          <w:tcPr>
            <w:tcW w:w="206" w:type="dxa"/>
            <w:tcBorders/>
            <w:vAlign w:val="center"/>
          </w:tcPr>
          <w:p>
            <w:pPr>
              <w:pStyle w:val="TableContents"/>
              <w:bidi w:val="0"/>
              <w:spacing w:before="0" w:after="30"/>
              <w:ind w:left="0" w:right="0" w:hanging="0"/>
              <w:jc w:val="left"/>
              <w:rPr/>
            </w:pPr>
            <w:r>
              <w:rPr/>
              <w:t>​</w:t>
            </w:r>
          </w:p>
        </w:tc>
        <w:tc>
          <w:tcPr>
            <w:tcW w:w="9158"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84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101.SCH</w:t>
            </w:r>
          </w:p>
        </w:tc>
        <w:tc>
          <w:tcPr>
            <w:tcW w:w="206" w:type="dxa"/>
            <w:tcBorders/>
            <w:vAlign w:val="center"/>
          </w:tcPr>
          <w:p>
            <w:pPr>
              <w:pStyle w:val="TableContents"/>
              <w:bidi w:val="0"/>
              <w:spacing w:before="0" w:after="30"/>
              <w:ind w:left="0" w:right="0" w:hanging="0"/>
              <w:jc w:val="left"/>
              <w:rPr/>
            </w:pPr>
            <w:r>
              <w:rPr/>
              <w:t>​</w:t>
            </w:r>
          </w:p>
        </w:tc>
        <w:tc>
          <w:tcPr>
            <w:tcW w:w="9158"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4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101.CAL</w:t>
            </w:r>
          </w:p>
        </w:tc>
        <w:tc>
          <w:tcPr>
            <w:tcW w:w="206" w:type="dxa"/>
            <w:tcBorders/>
            <w:vAlign w:val="center"/>
          </w:tcPr>
          <w:p>
            <w:pPr>
              <w:pStyle w:val="TableContents"/>
              <w:bidi w:val="0"/>
              <w:spacing w:before="0" w:after="30"/>
              <w:ind w:left="0" w:right="0" w:hanging="0"/>
              <w:jc w:val="left"/>
              <w:rPr/>
            </w:pPr>
            <w:r>
              <w:rPr/>
              <w:t>​</w:t>
            </w:r>
          </w:p>
        </w:tc>
        <w:tc>
          <w:tcPr>
            <w:tcW w:w="9158"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4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101.DEF</w:t>
            </w:r>
          </w:p>
        </w:tc>
        <w:tc>
          <w:tcPr>
            <w:tcW w:w="206" w:type="dxa"/>
            <w:tcBorders/>
            <w:vAlign w:val="center"/>
          </w:tcPr>
          <w:p>
            <w:pPr>
              <w:pStyle w:val="TableContents"/>
              <w:bidi w:val="0"/>
              <w:spacing w:before="0" w:after="30"/>
              <w:ind w:left="0" w:right="0" w:hanging="0"/>
              <w:jc w:val="left"/>
              <w:rPr/>
            </w:pPr>
            <w:r>
              <w:rPr/>
              <w:t>​</w:t>
            </w:r>
          </w:p>
        </w:tc>
        <w:tc>
          <w:tcPr>
            <w:tcW w:w="9158"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4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101.LAB</w:t>
            </w:r>
          </w:p>
        </w:tc>
        <w:tc>
          <w:tcPr>
            <w:tcW w:w="206" w:type="dxa"/>
            <w:tcBorders/>
            <w:vAlign w:val="center"/>
          </w:tcPr>
          <w:p>
            <w:pPr>
              <w:pStyle w:val="TableContents"/>
              <w:bidi w:val="0"/>
              <w:spacing w:before="0" w:after="30"/>
              <w:ind w:left="0" w:right="0" w:hanging="0"/>
              <w:jc w:val="left"/>
              <w:rPr/>
            </w:pPr>
            <w:r>
              <w:rPr/>
              <w:t>​</w:t>
            </w:r>
          </w:p>
        </w:tc>
        <w:tc>
          <w:tcPr>
            <w:tcW w:w="9158"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Labels Linkbase Document</w:t>
            </w:r>
          </w:p>
        </w:tc>
      </w:tr>
      <w:tr>
        <w:trPr/>
        <w:tc>
          <w:tcPr>
            <w:tcW w:w="84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101.PRE</w:t>
            </w:r>
          </w:p>
        </w:tc>
        <w:tc>
          <w:tcPr>
            <w:tcW w:w="206" w:type="dxa"/>
            <w:tcBorders/>
            <w:vAlign w:val="center"/>
          </w:tcPr>
          <w:p>
            <w:pPr>
              <w:pStyle w:val="TableContents"/>
              <w:bidi w:val="0"/>
              <w:spacing w:before="0" w:after="30"/>
              <w:ind w:left="0" w:right="0" w:hanging="0"/>
              <w:jc w:val="left"/>
              <w:rPr/>
            </w:pPr>
            <w:r>
              <w:rPr/>
              <w:t>​</w:t>
            </w:r>
          </w:p>
        </w:tc>
        <w:tc>
          <w:tcPr>
            <w:tcW w:w="9158"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4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104</w:t>
            </w:r>
          </w:p>
        </w:tc>
        <w:tc>
          <w:tcPr>
            <w:tcW w:w="206" w:type="dxa"/>
            <w:tcBorders/>
            <w:vAlign w:val="center"/>
          </w:tcPr>
          <w:p>
            <w:pPr>
              <w:pStyle w:val="TableContents"/>
              <w:bidi w:val="0"/>
              <w:spacing w:before="0" w:after="30"/>
              <w:ind w:left="0" w:right="0" w:hanging="0"/>
              <w:jc w:val="left"/>
              <w:rPr/>
            </w:pPr>
            <w:r>
              <w:rPr/>
              <w:t>​</w:t>
            </w:r>
          </w:p>
        </w:tc>
        <w:tc>
          <w:tcPr>
            <w:tcW w:w="9158"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in iXBRL and contained in Exhibit 101)</w:t>
            </w:r>
          </w:p>
        </w:tc>
      </w:tr>
    </w:tbl>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Filed herewith.</w:t>
            </w:r>
          </w:p>
        </w:tc>
      </w:tr>
    </w:tbl>
    <w:tbl>
      <w:tblPr>
        <w:tblW w:w="2132" w:type="dxa"/>
        <w:jc w:val="left"/>
        <w:tblInd w:w="0" w:type="dxa"/>
        <w:tblLayout w:type="fixed"/>
        <w:tblCellMar>
          <w:top w:w="0" w:type="dxa"/>
          <w:left w:w="0" w:type="dxa"/>
          <w:bottom w:w="0" w:type="dxa"/>
          <w:right w:w="0" w:type="dxa"/>
        </w:tblCellMar>
      </w:tblPr>
      <w:tblGrid>
        <w:gridCol w:w="331"/>
        <w:gridCol w:w="1801"/>
      </w:tblGrid>
      <w:tr>
        <w:trPr/>
        <w:tc>
          <w:tcPr>
            <w:tcW w:w="3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18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Furnished herewith. </w:t>
            </w:r>
          </w:p>
        </w:tc>
      </w:tr>
    </w:tbl>
    <w:p>
      <w:pPr>
        <w:pStyle w:val="TextBody"/>
        <w:pBdr/>
        <w:bidi w:val="0"/>
        <w:spacing w:before="0" w:after="240"/>
        <w:ind w:left="0" w:right="0" w:hanging="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821" w:name="SIGNATURES_913228"/>
      <w:bookmarkStart w:id="1822" w:name="_ab060f83_6acb_454d_9f61_aed39ae1871a"/>
      <w:bookmarkEnd w:id="1821"/>
      <w:bookmarkEnd w:id="1822"/>
      <w:r>
        <w:rPr>
          <w:rFonts w:ascii="Times New Roman;Times;serif" w:hAnsi="Times New Roman;Times;serif"/>
          <w:b/>
          <w:sz w:val="20"/>
        </w:rPr>
        <w:t>SIGNATURES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40"/>
        <w:ind w:left="0" w:right="0" w:firstLine="720"/>
        <w:jc w:val="both"/>
        <w:rPr/>
      </w:pPr>
      <w:r>
        <w:rPr/>
        <w:t>​</w:t>
      </w:r>
    </w:p>
    <w:tbl>
      <w:tblPr>
        <w:tblW w:w="5868" w:type="dxa"/>
        <w:jc w:val="left"/>
        <w:tblInd w:w="0" w:type="dxa"/>
        <w:tblLayout w:type="fixed"/>
        <w:tblCellMar>
          <w:top w:w="0" w:type="dxa"/>
          <w:left w:w="0" w:type="dxa"/>
          <w:bottom w:w="0" w:type="dxa"/>
          <w:right w:w="0" w:type="dxa"/>
        </w:tblCellMar>
      </w:tblPr>
      <w:tblGrid>
        <w:gridCol w:w="601"/>
        <w:gridCol w:w="1351"/>
        <w:gridCol w:w="3916"/>
      </w:tblGrid>
      <w:tr>
        <w:trPr/>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381635" cy="175260"/>
                      <wp:effectExtent l="0" t="0" r="0" b="0"/>
                      <wp:wrapNone/>
                      <wp:docPr id="612" name="Frame61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857885" cy="175260"/>
                      <wp:effectExtent l="0" t="0" r="0" b="0"/>
                      <wp:wrapNone/>
                      <wp:docPr id="613" name="Frame613"/>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2486660" cy="175260"/>
                      <wp:effectExtent l="0" t="0" r="0" b="0"/>
                      <wp:wrapNone/>
                      <wp:docPr id="614" name="Frame614"/>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2"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1239520" cy="175260"/>
                      <wp:effectExtent l="0" t="0" r="0" b="0"/>
                      <wp:wrapNone/>
                      <wp:docPr id="615" name="Frame615"/>
                      <a:graphic xmlns:a="http://schemas.openxmlformats.org/drawingml/2006/main">
                        <a:graphicData uri="http://schemas.microsoft.com/office/word/2010/wordprocessingShape">
                          <wps:wsp>
                            <wps:cNvSpPr txBox="1"/>
                            <wps:spPr>
                              <a:xfrm>
                                <a:off x="0" y="0"/>
                                <a:ext cx="1239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2486660" cy="175260"/>
                      <wp:effectExtent l="0" t="0" r="0" b="0"/>
                      <wp:wrapNone/>
                      <wp:docPr id="616" name="Frame616"/>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2" w:type="dxa"/>
            <w:gridSpan w:val="2"/>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Safehold Inc.</w:t>
            </w:r>
          </w:p>
        </w:tc>
      </w:tr>
      <w:tr>
        <w:trPr/>
        <w:tc>
          <w:tcPr>
            <w:tcW w:w="1952" w:type="dxa"/>
            <w:gridSpan w:val="2"/>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Registrant</w:t>
            </w:r>
          </w:p>
        </w:tc>
      </w:tr>
      <w:tr>
        <w:trPr/>
        <w:tc>
          <w:tcPr>
            <w:tcW w:w="1952" w:type="dxa"/>
            <w:gridSpan w:val="2"/>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pPr>
            <w:r>
              <w:rPr/>
              <w:t>​</w:t>
            </w:r>
          </w:p>
        </w:tc>
      </w:tr>
      <w:tr>
        <w:trPr/>
        <w:tc>
          <w:tcPr>
            <w:tcW w:w="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w:t>
            </w:r>
          </w:p>
        </w:tc>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6, 2025</w:t>
            </w:r>
          </w:p>
        </w:tc>
        <w:tc>
          <w:tcPr>
            <w:tcW w:w="3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JAY SUGARMAN</w:t>
            </w:r>
          </w:p>
        </w:tc>
      </w:tr>
      <w:tr>
        <w:trPr/>
        <w:tc>
          <w:tcPr>
            <w:tcW w:w="1952" w:type="dxa"/>
            <w:gridSpan w:val="2"/>
            <w:tcBorders/>
            <w:vAlign w:val="center"/>
          </w:tcPr>
          <w:p>
            <w:pPr>
              <w:pStyle w:val="TableContents"/>
              <w:bidi w:val="0"/>
              <w:spacing w:before="0" w:after="0"/>
              <w:ind w:left="0" w:right="0" w:hanging="0"/>
              <w:jc w:val="left"/>
              <w:rPr/>
            </w:pPr>
            <w:r>
              <w:rPr/>
              <w:t>​</w:t>
            </w:r>
          </w:p>
        </w:tc>
        <w:tc>
          <w:tcPr>
            <w:tcW w:w="39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Jay Sugarman</w:t>
            </w:r>
          </w:p>
        </w:tc>
      </w:tr>
      <w:tr>
        <w:trPr/>
        <w:tc>
          <w:tcPr>
            <w:tcW w:w="1952" w:type="dxa"/>
            <w:gridSpan w:val="2"/>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Chairman of the Board of Directors and Chief</w:t>
            </w:r>
          </w:p>
        </w:tc>
      </w:tr>
      <w:tr>
        <w:trPr/>
        <w:tc>
          <w:tcPr>
            <w:tcW w:w="1952" w:type="dxa"/>
            <w:gridSpan w:val="2"/>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Executive Officer (principal executive officer)</w:t>
            </w:r>
          </w:p>
        </w:tc>
      </w:tr>
      <w:tr>
        <w:trPr/>
        <w:tc>
          <w:tcPr>
            <w:tcW w:w="1952" w:type="dxa"/>
            <w:gridSpan w:val="2"/>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pPr>
            <w:r>
              <w:rPr/>
              <w:t>​</w:t>
            </w:r>
          </w:p>
        </w:tc>
      </w:tr>
      <w:tr>
        <w:trPr/>
        <w:tc>
          <w:tcPr>
            <w:tcW w:w="1952" w:type="dxa"/>
            <w:gridSpan w:val="2"/>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center"/>
              <w:rPr/>
            </w:pPr>
            <w:r>
              <w:rPr/>
              <w:t>​</w:t>
            </w:r>
          </w:p>
        </w:tc>
      </w:tr>
      <w:tr>
        <w:trPr/>
        <w:tc>
          <w:tcPr>
            <w:tcW w:w="1952" w:type="dxa"/>
            <w:gridSpan w:val="2"/>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pPr>
            <w:r>
              <w:rPr/>
              <w:t>​</w:t>
            </w:r>
          </w:p>
        </w:tc>
      </w:tr>
      <w:tr>
        <w:trPr/>
        <w:tc>
          <w:tcPr>
            <w:tcW w:w="1952" w:type="dxa"/>
            <w:gridSpan w:val="2"/>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Safehold Inc.</w:t>
            </w:r>
          </w:p>
        </w:tc>
      </w:tr>
      <w:tr>
        <w:trPr/>
        <w:tc>
          <w:tcPr>
            <w:tcW w:w="1952" w:type="dxa"/>
            <w:gridSpan w:val="2"/>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Registrant</w:t>
            </w:r>
          </w:p>
        </w:tc>
      </w:tr>
      <w:tr>
        <w:trPr/>
        <w:tc>
          <w:tcPr>
            <w:tcW w:w="1952" w:type="dxa"/>
            <w:gridSpan w:val="2"/>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pPr>
            <w:r>
              <w:rPr/>
              <w:t>​</w:t>
            </w:r>
          </w:p>
        </w:tc>
      </w:tr>
      <w:tr>
        <w:trPr/>
        <w:tc>
          <w:tcPr>
            <w:tcW w:w="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w:t>
            </w:r>
          </w:p>
        </w:tc>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6, 2025</w:t>
            </w:r>
          </w:p>
        </w:tc>
        <w:tc>
          <w:tcPr>
            <w:tcW w:w="3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BRETT ASNAS</w:t>
            </w:r>
          </w:p>
        </w:tc>
      </w:tr>
      <w:tr>
        <w:trPr/>
        <w:tc>
          <w:tcPr>
            <w:tcW w:w="1952" w:type="dxa"/>
            <w:gridSpan w:val="2"/>
            <w:tcBorders/>
            <w:vAlign w:val="center"/>
          </w:tcPr>
          <w:p>
            <w:pPr>
              <w:pStyle w:val="TableContents"/>
              <w:bidi w:val="0"/>
              <w:spacing w:before="0" w:after="0"/>
              <w:ind w:left="0" w:right="0" w:hanging="0"/>
              <w:jc w:val="left"/>
              <w:rPr/>
            </w:pPr>
            <w:r>
              <w:rPr/>
              <w:t>​</w:t>
            </w:r>
          </w:p>
        </w:tc>
        <w:tc>
          <w:tcPr>
            <w:tcW w:w="39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Brett Asnas</w:t>
            </w:r>
          </w:p>
        </w:tc>
      </w:tr>
      <w:tr>
        <w:trPr/>
        <w:tc>
          <w:tcPr>
            <w:tcW w:w="1952" w:type="dxa"/>
            <w:gridSpan w:val="2"/>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Chief Financial Officer</w:t>
            </w:r>
          </w:p>
        </w:tc>
      </w:tr>
      <w:tr>
        <w:trPr/>
        <w:tc>
          <w:tcPr>
            <w:tcW w:w="1952" w:type="dxa"/>
            <w:gridSpan w:val="2"/>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officer)</w:t>
            </w:r>
          </w:p>
        </w:tc>
      </w:tr>
      <w:tr>
        <w:trPr/>
        <w:tc>
          <w:tcPr>
            <w:tcW w:w="1952" w:type="dxa"/>
            <w:gridSpan w:val="2"/>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pPr>
            <w:r>
              <w:rPr/>
              <w:t>​</w:t>
            </w:r>
          </w:p>
        </w:tc>
      </w:tr>
      <w:tr>
        <w:trPr/>
        <w:tc>
          <w:tcPr>
            <w:tcW w:w="1952" w:type="dxa"/>
            <w:gridSpan w:val="2"/>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pPr>
            <w:r>
              <w:rPr/>
              <w:t>​</w:t>
            </w:r>
          </w:p>
        </w:tc>
      </w:tr>
      <w:tr>
        <w:trPr/>
        <w:tc>
          <w:tcPr>
            <w:tcW w:w="1952" w:type="dxa"/>
            <w:gridSpan w:val="2"/>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pPr>
            <w:r>
              <w:rPr/>
              <w:t>​</w:t>
            </w:r>
          </w:p>
        </w:tc>
      </w:tr>
      <w:tr>
        <w:trPr/>
        <w:tc>
          <w:tcPr>
            <w:tcW w:w="1952" w:type="dxa"/>
            <w:gridSpan w:val="2"/>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pPr>
            <w:r>
              <w:rPr/>
              <w:t>​</w:t>
            </w:r>
          </w:p>
        </w:tc>
      </w:tr>
      <w:tr>
        <w:trPr/>
        <w:tc>
          <w:tcPr>
            <w:tcW w:w="1952" w:type="dxa"/>
            <w:gridSpan w:val="2"/>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pPr>
            <w:r>
              <w:rPr/>
              <w:t>​</w:t>
            </w:r>
          </w:p>
        </w:tc>
      </w:tr>
      <w:tr>
        <w:trPr/>
        <w:tc>
          <w:tcPr>
            <w:tcW w:w="1952" w:type="dxa"/>
            <w:gridSpan w:val="2"/>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pPr>
            <w:r>
              <w:rPr/>
              <w:t>​</w:t>
            </w:r>
          </w:p>
        </w:tc>
      </w:tr>
      <w:tr>
        <w:trPr/>
        <w:tc>
          <w:tcPr>
            <w:tcW w:w="601"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center"/>
              <w:rPr/>
            </w:pPr>
            <w:r>
              <w:rPr/>
              <w:t>​</w:t>
            </w:r>
          </w:p>
        </w:tc>
      </w:tr>
      <w:tr>
        <w:trPr/>
        <w:tc>
          <w:tcPr>
            <w:tcW w:w="1952" w:type="dxa"/>
            <w:gridSpan w:val="2"/>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center"/>
              <w:rPr/>
            </w:pPr>
            <w:r>
              <w:rPr/>
              <w:t>​</w:t>
            </w:r>
          </w:p>
        </w:tc>
      </w:tr>
      <w:tr>
        <w:trPr/>
        <w:tc>
          <w:tcPr>
            <w:tcW w:w="1952" w:type="dxa"/>
            <w:gridSpan w:val="2"/>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center"/>
              <w:rPr/>
            </w:pPr>
            <w:r>
              <w:rPr/>
              <w:t>​</w:t>
            </w:r>
          </w:p>
        </w:tc>
      </w:tr>
      <w:tr>
        <w:trPr/>
        <w:tc>
          <w:tcPr>
            <w:tcW w:w="1952" w:type="dxa"/>
            <w:gridSpan w:val="2"/>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lineRule="auto" w:line="285" w:before="0" w:after="240"/>
        <w:ind w:left="0" w:right="0" w:hanging="0"/>
        <w:jc w:val="right"/>
        <w:rPr>
          <w:rFonts w:ascii="Times New Roman;Times;serif" w:hAnsi="Times New Roman;Times;serif"/>
          <w:b/>
          <w:sz w:val="24"/>
        </w:rPr>
      </w:pPr>
      <w:bookmarkStart w:id="1823" w:name="safe-20250630xex22d1.htm"/>
      <w:bookmarkStart w:id="1824" w:name="kssafe20250630xex22d1"/>
      <w:bookmarkEnd w:id="1823"/>
      <w:bookmarkEnd w:id="1824"/>
      <w:r>
        <w:rPr>
          <w:rFonts w:ascii="Times New Roman;Times;serif" w:hAnsi="Times New Roman;Times;serif"/>
          <w:b/>
          <w:sz w:val="24"/>
        </w:rPr>
        <w:t>Exhibit 22.1</w:t>
      </w:r>
      <w:r>
        <w:br w:type="page"/>
      </w:r>
    </w:p>
    <w:p>
      <w:pPr>
        <w:pStyle w:val="TextBody"/>
        <w:bidi w:val="0"/>
        <w:spacing w:lineRule="auto" w:line="285" w:before="0" w:after="240"/>
        <w:ind w:left="0" w:right="0" w:hanging="0"/>
        <w:jc w:val="center"/>
        <w:rPr>
          <w:rFonts w:ascii="Times New Roman;Times;serif" w:hAnsi="Times New Roman;Times;serif"/>
          <w:b/>
          <w:sz w:val="24"/>
        </w:rPr>
      </w:pPr>
      <w:r>
        <w:rPr>
          <w:rFonts w:ascii="Times New Roman;Times;serif" w:hAnsi="Times New Roman;Times;serif"/>
          <w:b/>
          <w:sz w:val="24"/>
        </w:rPr>
        <w:t>List of Issuers of Guaranteed Securities</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As of June 30, 2025, the following subsidiary was the issuer of the 2.80% senior notes due June 2031, the 2.85% senior notes due January 2032, the 6.10% senior notes due April 2034 and the 5.65% senior notes due January 2035 guaranteed by Safehold Inc.</w:t>
      </w:r>
    </w:p>
    <w:tbl>
      <w:tblPr>
        <w:tblW w:w="5807" w:type="dxa"/>
        <w:jc w:val="center"/>
        <w:tblInd w:w="0" w:type="dxa"/>
        <w:tblLayout w:type="fixed"/>
        <w:tblCellMar>
          <w:top w:w="0" w:type="dxa"/>
          <w:left w:w="0" w:type="dxa"/>
          <w:bottom w:w="0" w:type="dxa"/>
          <w:right w:w="0" w:type="dxa"/>
        </w:tblCellMar>
      </w:tblPr>
      <w:tblGrid>
        <w:gridCol w:w="2806"/>
        <w:gridCol w:w="3001"/>
      </w:tblGrid>
      <w:tr>
        <w:trPr/>
        <w:tc>
          <w:tcPr>
            <w:tcW w:w="2806" w:type="dxa"/>
            <w:tcBorders/>
            <w:vAlign w:val="center"/>
          </w:tcPr>
          <w:p>
            <w:pPr>
              <w:pStyle w:val="TableContents"/>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Name of Subsidiary</w:t>
            </w:r>
          </w:p>
        </w:tc>
        <w:tc>
          <w:tcPr>
            <w:tcW w:w="3001" w:type="dxa"/>
            <w:tcBorders/>
            <w:vAlign w:val="center"/>
          </w:tcPr>
          <w:p>
            <w:pPr>
              <w:pStyle w:val="TableContents"/>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Jurisdiction of Organization</w:t>
            </w:r>
          </w:p>
        </w:tc>
      </w:tr>
      <w:tr>
        <w:trPr/>
        <w:tc>
          <w:tcPr>
            <w:tcW w:w="2806" w:type="dxa"/>
            <w:tcBorders/>
            <w:vAlign w:val="center"/>
          </w:tcPr>
          <w:p>
            <w:pPr>
              <w:pStyle w:val="TableContents"/>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Safehold GL Holdings LLC</w:t>
            </w:r>
          </w:p>
        </w:tc>
        <w:tc>
          <w:tcPr>
            <w:tcW w:w="3001" w:type="dxa"/>
            <w:tcBorders/>
            <w:vAlign w:val="center"/>
          </w:tcPr>
          <w:p>
            <w:pPr>
              <w:pStyle w:val="TableContents"/>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Delaware</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825" w:name="safe-20250630xex31d0.htm"/>
      <w:bookmarkStart w:id="1826" w:name="kssafe20250630xex31d0"/>
      <w:bookmarkEnd w:id="1825"/>
      <w:bookmarkEnd w:id="1826"/>
      <w:r>
        <w:rPr>
          <w:rFonts w:ascii="Times New Roman;Times;serif" w:hAnsi="Times New Roman;Times;serif"/>
          <w:b/>
          <w:sz w:val="20"/>
        </w:rPr>
        <w:t>Exhibit 31.0</w:t>
      </w:r>
      <w:r>
        <w:br w:type="page"/>
      </w:r>
    </w:p>
    <w:p>
      <w:pPr>
        <w:pStyle w:val="TextBody"/>
        <w:bidi w:val="0"/>
        <w:spacing w:before="0" w:after="100"/>
        <w:ind w:left="0" w:right="0" w:hanging="0"/>
        <w:jc w:val="right"/>
        <w:rPr/>
      </w:pPr>
      <w:r>
        <w:rPr/>
        <w: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 Jay Sugarman, certify that: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1. I have reviewed this quarterly report on Form 10-Q of Safehold Inc.;</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00"/>
        <w:ind w:left="360" w:right="0" w:firstLine="36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00"/>
        <w:ind w:left="360" w:right="0" w:firstLine="36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00"/>
        <w:ind w:left="360" w:right="0" w:firstLine="36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00"/>
        <w:ind w:left="360" w:right="0" w:firstLine="36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00"/>
        <w:ind w:left="360" w:right="0" w:firstLine="36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360" w:right="0" w:firstLine="36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360" w:right="0" w:firstLine="360"/>
        <w:jc w:val="both"/>
        <w:rPr/>
      </w:pPr>
      <w:r>
        <w:rPr/>
        <w:t>​</w:t>
      </w:r>
    </w:p>
    <w:tbl>
      <w:tblPr>
        <w:tblW w:w="5000" w:type="dxa"/>
        <w:jc w:val="center"/>
        <w:tblInd w:w="0" w:type="dxa"/>
        <w:tblLayout w:type="fixed"/>
        <w:tblCellMar>
          <w:top w:w="0" w:type="dxa"/>
          <w:left w:w="0" w:type="dxa"/>
          <w:bottom w:w="0" w:type="dxa"/>
          <w:right w:w="0" w:type="dxa"/>
        </w:tblCellMar>
      </w:tblPr>
      <w:tblGrid>
        <w:gridCol w:w="556"/>
        <w:gridCol w:w="1351"/>
        <w:gridCol w:w="406"/>
        <w:gridCol w:w="631"/>
        <w:gridCol w:w="2056"/>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353060" cy="175260"/>
                      <wp:effectExtent l="0" t="0" r="0" b="0"/>
                      <wp:wrapNone/>
                      <wp:docPr id="617" name="Frame617"/>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857885" cy="175260"/>
                      <wp:effectExtent l="0" t="0" r="0" b="0"/>
                      <wp:wrapNone/>
                      <wp:docPr id="618" name="Frame618"/>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257810" cy="175260"/>
                      <wp:effectExtent l="0" t="0" r="0" b="0"/>
                      <wp:wrapNone/>
                      <wp:docPr id="619" name="Frame61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7"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1706880" cy="175260"/>
                      <wp:effectExtent l="0" t="0" r="0" b="0"/>
                      <wp:wrapNone/>
                      <wp:docPr id="620" name="Frame620"/>
                      <a:graphic xmlns:a="http://schemas.openxmlformats.org/drawingml/2006/main">
                        <a:graphicData uri="http://schemas.microsoft.com/office/word/2010/wordprocessingShape">
                          <wps:wsp>
                            <wps:cNvSpPr txBox="1"/>
                            <wps:spPr>
                              <a:xfrm>
                                <a:off x="0" y="0"/>
                                <a:ext cx="170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6, 2025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68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JAY SUGARMAN</w:t>
            </w:r>
          </w:p>
        </w:tc>
      </w:tr>
      <w:tr>
        <w:trPr/>
        <w:tc>
          <w:tcPr>
            <w:tcW w:w="1907"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Jay Sugarman</w:t>
            </w:r>
          </w:p>
        </w:tc>
      </w:tr>
      <w:tr>
        <w:trPr/>
        <w:tc>
          <w:tcPr>
            <w:tcW w:w="1907"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5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00"/>
        <w:ind w:left="0" w:right="0" w:hanging="0"/>
        <w:jc w:val="left"/>
        <w:rPr/>
      </w:pPr>
      <w:r>
        <w:rPr/>
        <w: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 Brett Asnas, certify that: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1. I have reviewed this quarterly report on Form 10-Q of Safehold Inc.;</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00"/>
        <w:ind w:left="360" w:right="0" w:firstLine="36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00"/>
        <w:ind w:left="360" w:right="0" w:firstLine="36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00"/>
        <w:ind w:left="360" w:right="0" w:firstLine="36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00"/>
        <w:ind w:left="360" w:right="0" w:firstLine="36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00"/>
        <w:ind w:left="360" w:right="0" w:firstLine="36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360" w:right="0" w:firstLine="36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360" w:right="0" w:firstLine="360"/>
        <w:jc w:val="both"/>
        <w:rPr/>
      </w:pPr>
      <w:r>
        <w:rPr/>
        <w:t>​</w:t>
      </w:r>
    </w:p>
    <w:tbl>
      <w:tblPr>
        <w:tblW w:w="7325" w:type="dxa"/>
        <w:jc w:val="center"/>
        <w:tblInd w:w="0" w:type="dxa"/>
        <w:tblLayout w:type="fixed"/>
        <w:tblCellMar>
          <w:top w:w="0" w:type="dxa"/>
          <w:left w:w="0" w:type="dxa"/>
          <w:bottom w:w="0" w:type="dxa"/>
          <w:right w:w="0" w:type="dxa"/>
        </w:tblCellMar>
      </w:tblPr>
      <w:tblGrid>
        <w:gridCol w:w="556"/>
        <w:gridCol w:w="1351"/>
        <w:gridCol w:w="406"/>
        <w:gridCol w:w="631"/>
        <w:gridCol w:w="4381"/>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353060" cy="175260"/>
                      <wp:effectExtent l="0" t="0" r="0" b="0"/>
                      <wp:wrapNone/>
                      <wp:docPr id="621" name="Frame621"/>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857885" cy="175260"/>
                      <wp:effectExtent l="0" t="0" r="0" b="0"/>
                      <wp:wrapNone/>
                      <wp:docPr id="622" name="Frame622"/>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257810" cy="175260"/>
                      <wp:effectExtent l="0" t="0" r="0" b="0"/>
                      <wp:wrapNone/>
                      <wp:docPr id="623" name="Frame623"/>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12"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3182620" cy="175260"/>
                      <wp:effectExtent l="0" t="0" r="0" b="0"/>
                      <wp:wrapNone/>
                      <wp:docPr id="624" name="Frame624"/>
                      <a:graphic xmlns:a="http://schemas.openxmlformats.org/drawingml/2006/main">
                        <a:graphicData uri="http://schemas.microsoft.com/office/word/2010/wordprocessingShape">
                          <wps:wsp>
                            <wps:cNvSpPr txBox="1"/>
                            <wps:spPr>
                              <a:xfrm>
                                <a:off x="0" y="0"/>
                                <a:ext cx="3182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6, 2025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01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BRETT ASNAS</w:t>
            </w:r>
          </w:p>
        </w:tc>
      </w:tr>
      <w:tr>
        <w:trPr/>
        <w:tc>
          <w:tcPr>
            <w:tcW w:w="1907"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3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Brett Asnas</w:t>
            </w:r>
          </w:p>
        </w:tc>
      </w:tr>
      <w:tr>
        <w:trPr/>
        <w:tc>
          <w:tcPr>
            <w:tcW w:w="1907"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38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 (principal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827" w:name="safe-20250630xex32d0.htm"/>
      <w:bookmarkStart w:id="1828" w:name="kssafe20250630xex32d0"/>
      <w:bookmarkEnd w:id="1827"/>
      <w:bookmarkEnd w:id="1828"/>
      <w:r>
        <w:rPr>
          <w:rFonts w:ascii="Times New Roman;Times;serif" w:hAnsi="Times New Roman;Times;serif"/>
          <w:b/>
          <w:sz w:val="20"/>
        </w:rPr>
        <w:t>Exhibit 32.0</w:t>
      </w:r>
      <w:r>
        <w:br w:type="page"/>
      </w:r>
    </w:p>
    <w:p>
      <w:pPr>
        <w:pStyle w:val="TextBody"/>
        <w:bidi w:val="0"/>
        <w:spacing w:before="0" w:after="100"/>
        <w:ind w:left="0" w:right="0" w:hanging="0"/>
        <w:jc w:val="right"/>
        <w:rPr/>
      </w:pPr>
      <w:r>
        <w:rPr/>
        <w: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undersigned, the Chief Executive Officer of Safehold Inc. (the "Company"), hereby certifies on the date hereof, pursuant to 18 U.S.C. 1350, as adopted pursuant to Section 906 of The Sarbanes-Oxley Act of 2002, that the Quarterly Report on Form 10-Q for the quarter ended June 30, 2025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pStyle w:val="TextBody"/>
        <w:bidi w:val="0"/>
        <w:spacing w:before="0" w:after="0"/>
        <w:ind w:left="0" w:right="0" w:hanging="0"/>
        <w:jc w:val="left"/>
        <w:rPr/>
      </w:pPr>
      <w:r>
        <w:rPr/>
        <w:t>​</w:t>
      </w:r>
    </w:p>
    <w:tbl>
      <w:tblPr>
        <w:tblW w:w="5000" w:type="dxa"/>
        <w:jc w:val="center"/>
        <w:tblInd w:w="0" w:type="dxa"/>
        <w:tblLayout w:type="fixed"/>
        <w:tblCellMar>
          <w:top w:w="0" w:type="dxa"/>
          <w:left w:w="0" w:type="dxa"/>
          <w:bottom w:w="0" w:type="dxa"/>
          <w:right w:w="0" w:type="dxa"/>
        </w:tblCellMar>
      </w:tblPr>
      <w:tblGrid>
        <w:gridCol w:w="556"/>
        <w:gridCol w:w="1351"/>
        <w:gridCol w:w="406"/>
        <w:gridCol w:w="631"/>
        <w:gridCol w:w="2056"/>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353060" cy="175260"/>
                      <wp:effectExtent l="0" t="0" r="0" b="0"/>
                      <wp:wrapNone/>
                      <wp:docPr id="625" name="Frame625"/>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857885" cy="175260"/>
                      <wp:effectExtent l="0" t="0" r="0" b="0"/>
                      <wp:wrapNone/>
                      <wp:docPr id="626" name="Frame626"/>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257810" cy="175260"/>
                      <wp:effectExtent l="0" t="0" r="0" b="0"/>
                      <wp:wrapNone/>
                      <wp:docPr id="627" name="Frame62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7"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1706880" cy="175260"/>
                      <wp:effectExtent l="0" t="0" r="0" b="0"/>
                      <wp:wrapNone/>
                      <wp:docPr id="628" name="Frame628"/>
                      <a:graphic xmlns:a="http://schemas.openxmlformats.org/drawingml/2006/main">
                        <a:graphicData uri="http://schemas.microsoft.com/office/word/2010/wordprocessingShape">
                          <wps:wsp>
                            <wps:cNvSpPr txBox="1"/>
                            <wps:spPr>
                              <a:xfrm>
                                <a:off x="0" y="0"/>
                                <a:ext cx="170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6, 2025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68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JAY SUGARMAN</w:t>
            </w:r>
          </w:p>
        </w:tc>
      </w:tr>
      <w:tr>
        <w:trPr/>
        <w:tc>
          <w:tcPr>
            <w:tcW w:w="1907"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Jay Sugarman</w:t>
            </w:r>
          </w:p>
        </w:tc>
      </w:tr>
      <w:tr>
        <w:trPr/>
        <w:tc>
          <w:tcPr>
            <w:tcW w:w="1907"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5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undersigned, the Chief Financial Officer of Safehold Inc. (the "Company"), hereby certifies on the date hereof, pursuant to 18 U.S.C. 1350, as adopted pursuant to Section 906 of The Sarbanes-Oxley Act of 2002, that the Quarterly Report on Form 10-Q for the quarter ended June 30, 2025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pStyle w:val="TextBody"/>
        <w:bidi w:val="0"/>
        <w:spacing w:before="0" w:after="0"/>
        <w:ind w:left="0" w:right="0" w:hanging="0"/>
        <w:jc w:val="left"/>
        <w:rPr/>
      </w:pPr>
      <w:r>
        <w:rPr/>
        <w:t>​</w:t>
      </w:r>
    </w:p>
    <w:tbl>
      <w:tblPr>
        <w:tblW w:w="7325" w:type="dxa"/>
        <w:jc w:val="center"/>
        <w:tblInd w:w="0" w:type="dxa"/>
        <w:tblLayout w:type="fixed"/>
        <w:tblCellMar>
          <w:top w:w="0" w:type="dxa"/>
          <w:left w:w="0" w:type="dxa"/>
          <w:bottom w:w="0" w:type="dxa"/>
          <w:right w:w="0" w:type="dxa"/>
        </w:tblCellMar>
      </w:tblPr>
      <w:tblGrid>
        <w:gridCol w:w="556"/>
        <w:gridCol w:w="1351"/>
        <w:gridCol w:w="406"/>
        <w:gridCol w:w="631"/>
        <w:gridCol w:w="4381"/>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353060" cy="175260"/>
                      <wp:effectExtent l="0" t="0" r="0" b="0"/>
                      <wp:wrapNone/>
                      <wp:docPr id="629" name="Frame629"/>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GA</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857885" cy="175260"/>
                      <wp:effectExtent l="0" t="0" r="0" b="0"/>
                      <wp:wrapNone/>
                      <wp:docPr id="630" name="Frame630"/>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257810" cy="175260"/>
                      <wp:effectExtent l="0" t="0" r="0" b="0"/>
                      <wp:wrapNone/>
                      <wp:docPr id="631" name="Frame631"/>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12"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3182620" cy="175260"/>
                      <wp:effectExtent l="0" t="0" r="0" b="0"/>
                      <wp:wrapNone/>
                      <wp:docPr id="632" name="Frame632"/>
                      <a:graphic xmlns:a="http://schemas.openxmlformats.org/drawingml/2006/main">
                        <a:graphicData uri="http://schemas.microsoft.com/office/word/2010/wordprocessingShape">
                          <wps:wsp>
                            <wps:cNvSpPr txBox="1"/>
                            <wps:spPr>
                              <a:xfrm>
                                <a:off x="0" y="0"/>
                                <a:ext cx="3182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6, 2025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01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BRETT ASNAS</w:t>
            </w:r>
          </w:p>
        </w:tc>
      </w:tr>
      <w:tr>
        <w:trPr/>
        <w:tc>
          <w:tcPr>
            <w:tcW w:w="1907"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3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Brett Asnas</w:t>
            </w:r>
          </w:p>
        </w:tc>
      </w:tr>
      <w:tr>
        <w:trPr/>
        <w:tc>
          <w:tcPr>
            <w:tcW w:w="1907"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38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 (principal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95651/000110465922089422/tm2223188d1_ex2-1.htm" TargetMode="External"/><Relationship Id="rId3" Type="http://schemas.openxmlformats.org/officeDocument/2006/relationships/hyperlink" Target="https://www.sec.gov/Archives/edgar/data/1095651/000110465922089422/tm2223188d1_ex2-1.htm" TargetMode="External"/><Relationship Id="rId4" Type="http://schemas.openxmlformats.org/officeDocument/2006/relationships/hyperlink" Target="https://www.sec.gov/Archives/edgar/data/1095651/000110465923041210/tm2310731d1_ex3-3.htm" TargetMode="External"/><Relationship Id="rId5" Type="http://schemas.openxmlformats.org/officeDocument/2006/relationships/hyperlink" Target="https://www.sec.gov/Archives/edgar/data/1095651/000110465923041210/tm2310731d1_ex3-4.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29818</Words>
  <Characters>161498</Characters>
  <CharactersWithSpaces>193649</CharactersWithSpaces>
  <Paragraphs>8143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