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May 18, 2026</w:t>
      </w:r>
    </w:p>
    <w:p>
      <w:pPr>
        <w:spacing w:after="0" w:line="3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156210</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154940</wp:posOffset>
            </wp:positionV>
            <wp:extent cx="17811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1175" cy="762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154940</wp:posOffset>
            </wp:positionV>
            <wp:extent cx="17811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1175"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Safehold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154940</wp:posOffset>
            </wp:positionV>
            <wp:extent cx="17811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1175" cy="7620"/>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Maryland</w:t>
      </w:r>
    </w:p>
    <w:p>
      <w:pPr>
        <w:spacing w:after="0" w:line="2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6"/>
          <w:szCs w:val="16"/>
          <w:b w:val="1"/>
          <w:bCs w:val="1"/>
          <w:color w:val="auto"/>
        </w:rPr>
        <w:t>95-6881527</w:t>
      </w:r>
    </w:p>
    <w:p>
      <w:pPr>
        <w:spacing w:after="0" w:line="2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2">
            <w:col w:w="6500" w:space="720"/>
            <w:col w:w="4040"/>
          </w:cols>
          <w:pgMar w:left="320" w:top="431" w:right="319" w:bottom="1440" w:gutter="0" w:footer="0" w:header="0"/>
          <w:type w:val="continuous"/>
        </w:sectPr>
      </w:pP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1114 Avenue of the Americas, 39th Floor</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10036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156210</wp:posOffset>
            </wp:positionV>
            <wp:extent cx="17811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1175" cy="7620"/>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Safehold Inc. 2009 Amended and Restated Long-Term Incentive Plan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156210</wp:posOffset>
            </wp:positionV>
            <wp:extent cx="17811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1175" cy="762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Jay Sugarman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Safehold Inc.</w:t>
      </w:r>
    </w:p>
    <w:p>
      <w:pPr>
        <w:jc w:val="center"/>
        <w:spacing w:after="0" w:line="188" w:lineRule="auto"/>
        <w:rPr>
          <w:sz w:val="20"/>
          <w:szCs w:val="20"/>
          <w:color w:val="auto"/>
        </w:rPr>
      </w:pPr>
      <w:r>
        <w:rPr>
          <w:rFonts w:ascii="Times New Roman" w:cs="Times New Roman" w:eastAsia="Times New Roman" w:hAnsi="Times New Roman"/>
          <w:sz w:val="16"/>
          <w:szCs w:val="16"/>
          <w:b w:val="1"/>
          <w:bCs w:val="1"/>
          <w:color w:val="auto"/>
        </w:rPr>
        <w:t>1114 Avenue of the Americas, 39</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10036</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930-9400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2680335</wp:posOffset>
            </wp:positionH>
            <wp:positionV relativeFrom="paragraph">
              <wp:posOffset>156210</wp:posOffset>
            </wp:positionV>
            <wp:extent cx="17811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1175" cy="762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Copy to:</w:t>
      </w:r>
    </w:p>
    <w:p>
      <w:pPr>
        <w:spacing w:after="0" w:line="19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b w:val="1"/>
          <w:bCs w:val="1"/>
          <w:color w:val="auto"/>
        </w:rPr>
        <w:t>Julian T.H. Kleindorfer, Esq.</w:t>
      </w:r>
    </w:p>
    <w:p>
      <w:pPr>
        <w:spacing w:after="0" w:line="2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Lewis W. Kneib, Esq.</w:t>
      </w:r>
    </w:p>
    <w:p>
      <w:pPr>
        <w:spacing w:after="0" w:line="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Alexa M. Berlin, Esq.</w:t>
      </w:r>
    </w:p>
    <w:p>
      <w:pPr>
        <w:spacing w:after="0" w:line="7"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Latham &amp; Watkins LLP</w:t>
      </w:r>
    </w:p>
    <w:p>
      <w:pPr>
        <w:spacing w:after="0" w:line="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10250 Constellation Boulevard, Suite 1100</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Los Angeles, CA 90067</w:t>
      </w:r>
    </w:p>
    <w:p>
      <w:pPr>
        <w:spacing w:after="0" w:line="7"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(424) 653-5500</w:t>
      </w:r>
    </w:p>
    <w:p>
      <w:pPr>
        <w:spacing w:after="0" w:line="181" w:lineRule="exact"/>
        <w:rPr>
          <w:sz w:val="24"/>
          <w:szCs w:val="24"/>
          <w:color w:val="auto"/>
        </w:rPr>
      </w:pPr>
    </w:p>
    <w:p>
      <w:pPr>
        <w:ind w:right="40"/>
        <w:spacing w:after="0" w:line="31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1620" w:type="dxa"/>
        <w:tblCellMar>
          <w:top w:w="0" w:type="dxa"/>
          <w:left w:w="0" w:type="dxa"/>
          <w:bottom w:w="0" w:type="dxa"/>
          <w:right w:w="0" w:type="dxa"/>
        </w:tblCellMar>
      </w:tblPr>
      <w:tr>
        <w:trPr>
          <w:trHeight w:val="196"/>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4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4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1"/>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4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4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34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42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6" w:lineRule="exact"/>
        <w:rPr>
          <w:sz w:val="24"/>
          <w:szCs w:val="24"/>
          <w:color w:val="auto"/>
        </w:rPr>
      </w:pPr>
    </w:p>
    <w:p>
      <w:pPr>
        <w:ind w:right="22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148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159385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432435</wp:posOffset>
            </wp:positionV>
            <wp:extent cx="714819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431" w:right="31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0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On March 31, 2023, Safehold Inc. (“Old Safehold”) merged with and into iStar Inc. (“iStar”), at which time Old Safehold ceased to exist, and iStar continued as the surviving corporation and changed its name to “Safehold Inc.”</w:t>
      </w:r>
    </w:p>
    <w:p>
      <w:pPr>
        <w:spacing w:after="0" w:line="14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color w:val="auto"/>
        </w:rPr>
        <w:t>This Registration Statement on Form S-8 (this “Registration Statement”) is filed by Safehold Inc. (formerly known as iStar Inc. and referred to herein as “our,” “we” or “us”) relating to an additional 3,000,000 shares of Common Stock issuable to our eligible officers, key employees, directors and advisors under the Safehold Inc. Amended and Restated 2009 Long-Term Incentive Plan (the “Plan”).</w:t>
      </w:r>
    </w:p>
    <w:p>
      <w:pPr>
        <w:spacing w:after="0" w:line="157" w:lineRule="exact"/>
        <w:rPr>
          <w:sz w:val="20"/>
          <w:szCs w:val="20"/>
          <w:color w:val="auto"/>
        </w:rPr>
      </w:pPr>
    </w:p>
    <w:p>
      <w:pPr>
        <w:jc w:val="both"/>
        <w:ind w:right="240"/>
        <w:spacing w:after="0" w:line="264" w:lineRule="auto"/>
        <w:rPr>
          <w:sz w:val="20"/>
          <w:szCs w:val="20"/>
          <w:color w:val="auto"/>
        </w:rPr>
      </w:pPr>
      <w:r>
        <w:rPr>
          <w:rFonts w:ascii="Times New Roman" w:cs="Times New Roman" w:eastAsia="Times New Roman" w:hAnsi="Times New Roman"/>
          <w:sz w:val="16"/>
          <w:szCs w:val="16"/>
          <w:color w:val="auto"/>
        </w:rPr>
        <w:t>These shares being registered pursuant to this Registration Statement are the same class as other securities for which earlier Registration Statements on Form S-8 (File Nos. 333-279872, 333-275899, 333-259173 and 333-183465) (together, the “Prior Registration Statements”) were filed by us with the Securities and Exchange Commission (the “Commission”) on May 31, 2024, December 5, 2023, August 30, 2021 and August 21, 2012, respectively.</w:t>
      </w:r>
    </w:p>
    <w:p>
      <w:pPr>
        <w:spacing w:after="0" w:line="157"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In accordance with General Instruction E of Form S-8, this Registration Statement incorporates by reference and makes a part hereof the contents of the Prior Registration Statements to the extent not modified or superseded hereby or by any subsequently filed document incorporated by reference herein or therein.</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We are not filing or including in this Registration Statement the information called for in Part I of Form S-8 (by incorporation by reference or otherwise) in accordance with the rules and regulations of the Securities and Exchange Commission (the “Commission”).</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19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Incorporation of Documents by Reference</w:t>
      </w:r>
    </w:p>
    <w:p>
      <w:pPr>
        <w:spacing w:after="0" w:line="200"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6"/>
          <w:szCs w:val="16"/>
          <w:color w:val="auto"/>
        </w:rPr>
        <w:t>The Commission allows us to incorporate by reference the information we file with it, which means that we can disclose important information to you by referring to those documents. The information incorporated by reference is an important part of this Registration Statement, and information that we file later with the Commission will automatically update and supersede this information. We incorporate by reference the following documents we filed with the Commission:</w:t>
      </w:r>
    </w:p>
    <w:p>
      <w:pPr>
        <w:spacing w:after="0" w:line="157" w:lineRule="exact"/>
        <w:rPr>
          <w:sz w:val="20"/>
          <w:szCs w:val="20"/>
          <w:color w:val="auto"/>
        </w:rPr>
      </w:pPr>
    </w:p>
    <w:p>
      <w:pPr>
        <w:ind w:left="880" w:hanging="439"/>
        <w:spacing w:after="0"/>
        <w:tabs>
          <w:tab w:leader="none" w:pos="880" w:val="left"/>
        </w:tabs>
        <w:numPr>
          <w:ilvl w:val="0"/>
          <w:numId w:val="1"/>
        </w:numPr>
        <w:rPr>
          <w:rFonts w:ascii="Times New Roman" w:cs="Times New Roman" w:eastAsia="Times New Roman" w:hAnsi="Times New Roman"/>
          <w:sz w:val="16"/>
          <w:szCs w:val="16"/>
          <w:color w:val="0000EE"/>
        </w:rPr>
      </w:pPr>
      <w:hyperlink r:id="rId19">
        <w:r>
          <w:rPr>
            <w:rFonts w:ascii="Times New Roman" w:cs="Times New Roman" w:eastAsia="Times New Roman" w:hAnsi="Times New Roman"/>
            <w:sz w:val="16"/>
            <w:szCs w:val="16"/>
            <w:u w:val="single" w:color="auto"/>
            <w:color w:val="0000EE"/>
          </w:rPr>
          <w:t>Our Annual Report on Form 10-K for the year ended December 31, 2025, filed with the Commission on February 12, 2026</w:t>
        </w:r>
      </w:hyperlink>
      <w:r>
        <w:rPr>
          <w:rFonts w:ascii="Times New Roman" w:cs="Times New Roman" w:eastAsia="Times New Roman" w:hAnsi="Times New Roman"/>
          <w:sz w:val="16"/>
          <w:szCs w:val="16"/>
          <w:color w:val="000000"/>
        </w:rPr>
        <w:t>;</w:t>
      </w:r>
    </w:p>
    <w:p>
      <w:pPr>
        <w:spacing w:after="0" w:line="23" w:lineRule="exact"/>
        <w:rPr>
          <w:rFonts w:ascii="Times New Roman" w:cs="Times New Roman" w:eastAsia="Times New Roman" w:hAnsi="Times New Roman"/>
          <w:sz w:val="16"/>
          <w:szCs w:val="16"/>
          <w:color w:val="0000EE"/>
        </w:rPr>
      </w:pPr>
    </w:p>
    <w:p>
      <w:pPr>
        <w:ind w:left="880" w:hanging="439"/>
        <w:spacing w:after="0"/>
        <w:tabs>
          <w:tab w:leader="none" w:pos="880" w:val="left"/>
        </w:tabs>
        <w:numPr>
          <w:ilvl w:val="0"/>
          <w:numId w:val="1"/>
        </w:numPr>
        <w:rPr>
          <w:rFonts w:ascii="Times New Roman" w:cs="Times New Roman" w:eastAsia="Times New Roman" w:hAnsi="Times New Roman"/>
          <w:sz w:val="16"/>
          <w:szCs w:val="16"/>
          <w:color w:val="0000EE"/>
        </w:rPr>
      </w:pPr>
      <w:hyperlink r:id="rId20">
        <w:r>
          <w:rPr>
            <w:rFonts w:ascii="Times New Roman" w:cs="Times New Roman" w:eastAsia="Times New Roman" w:hAnsi="Times New Roman"/>
            <w:sz w:val="16"/>
            <w:szCs w:val="16"/>
            <w:u w:val="single" w:color="auto"/>
            <w:color w:val="0000EE"/>
          </w:rPr>
          <w:t>Our Quarterly Report on Form 10-Q for the quarterly period ended March 31, 2026, filed with the Commission on May 1, 2026</w:t>
        </w:r>
      </w:hyperlink>
      <w:r>
        <w:rPr>
          <w:rFonts w:ascii="Times New Roman" w:cs="Times New Roman" w:eastAsia="Times New Roman" w:hAnsi="Times New Roman"/>
          <w:sz w:val="16"/>
          <w:szCs w:val="16"/>
          <w:color w:val="000000"/>
        </w:rPr>
        <w:t>;</w:t>
      </w:r>
    </w:p>
    <w:p>
      <w:pPr>
        <w:spacing w:after="0" w:line="7" w:lineRule="exact"/>
        <w:rPr>
          <w:rFonts w:ascii="Times New Roman" w:cs="Times New Roman" w:eastAsia="Times New Roman" w:hAnsi="Times New Roman"/>
          <w:sz w:val="16"/>
          <w:szCs w:val="16"/>
          <w:color w:val="0000EE"/>
        </w:rPr>
      </w:pPr>
    </w:p>
    <w:p>
      <w:pPr>
        <w:ind w:left="880" w:right="80" w:hanging="439"/>
        <w:spacing w:after="0" w:line="249"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filed with the Commission on </w:t>
      </w:r>
      <w:hyperlink r:id="rId21">
        <w:r>
          <w:rPr>
            <w:rFonts w:ascii="Times New Roman" w:cs="Times New Roman" w:eastAsia="Times New Roman" w:hAnsi="Times New Roman"/>
            <w:sz w:val="16"/>
            <w:szCs w:val="16"/>
            <w:u w:val="single" w:color="auto"/>
            <w:color w:val="0000EE"/>
          </w:rPr>
          <w:t>February 11,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(Film No. 26620907), </w:t>
      </w:r>
      <w:hyperlink r:id="rId22">
        <w:r>
          <w:rPr>
            <w:rFonts w:ascii="Times New Roman" w:cs="Times New Roman" w:eastAsia="Times New Roman" w:hAnsi="Times New Roman"/>
            <w:sz w:val="16"/>
            <w:szCs w:val="16"/>
            <w:u w:val="single" w:color="auto"/>
            <w:color w:val="0000EE"/>
          </w:rPr>
          <w:t>March 25, 2026</w:t>
        </w:r>
      </w:hyperlink>
      <w:r>
        <w:rPr>
          <w:rFonts w:ascii="Times New Roman" w:cs="Times New Roman" w:eastAsia="Times New Roman" w:hAnsi="Times New Roman"/>
          <w:sz w:val="16"/>
          <w:szCs w:val="16"/>
          <w:color w:val="auto"/>
        </w:rPr>
        <w:t xml:space="preserve">, </w:t>
      </w:r>
      <w:hyperlink r:id="rId23">
        <w:r>
          <w:rPr>
            <w:rFonts w:ascii="Times New Roman" w:cs="Times New Roman" w:eastAsia="Times New Roman" w:hAnsi="Times New Roman"/>
            <w:sz w:val="16"/>
            <w:szCs w:val="16"/>
            <w:u w:val="single" w:color="auto"/>
            <w:color w:val="0000EE"/>
          </w:rPr>
          <w:t>April 30,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(Film No. 26925371) and </w:t>
      </w:r>
      <w:hyperlink r:id="rId24">
        <w:r>
          <w:rPr>
            <w:rFonts w:ascii="Times New Roman" w:cs="Times New Roman" w:eastAsia="Times New Roman" w:hAnsi="Times New Roman"/>
            <w:sz w:val="16"/>
            <w:szCs w:val="16"/>
            <w:u w:val="single" w:color="auto"/>
            <w:color w:val="0000EE"/>
          </w:rPr>
          <w:t>May 15, 2026</w:t>
        </w:r>
      </w:hyperlink>
      <w:r>
        <w:rPr>
          <w:rFonts w:ascii="Times New Roman" w:cs="Times New Roman" w:eastAsia="Times New Roman" w:hAnsi="Times New Roman"/>
          <w:sz w:val="16"/>
          <w:szCs w:val="16"/>
          <w:color w:val="auto"/>
        </w:rPr>
        <w:t>;</w:t>
      </w:r>
    </w:p>
    <w:p>
      <w:pPr>
        <w:ind w:left="880" w:right="20" w:hanging="439"/>
        <w:spacing w:after="0" w:line="249"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w:t>
      </w:r>
      <w:hyperlink r:id="rId25">
        <w:r>
          <w:rPr>
            <w:rFonts w:ascii="Times New Roman" w:cs="Times New Roman" w:eastAsia="Times New Roman" w:hAnsi="Times New Roman"/>
            <w:sz w:val="16"/>
            <w:szCs w:val="16"/>
            <w:u w:val="single" w:color="auto"/>
            <w:color w:val="0000EE"/>
          </w:rPr>
          <w:t>Proxy Statement on Schedule 14A for the 2026 Annual Meeting of Stockholders, filed by the Company with the SEC on March 31,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(with respect to the information contained therein that is incorporated by reference in Part III of our Annual Report on Form 10-K for the year ended December 31, 2025); and</w:t>
      </w:r>
    </w:p>
    <w:p>
      <w:pPr>
        <w:ind w:left="880" w:hanging="439"/>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our Common Stock contained in </w:t>
      </w:r>
      <w:hyperlink r:id="rId26">
        <w:r>
          <w:rPr>
            <w:rFonts w:ascii="Times New Roman" w:cs="Times New Roman" w:eastAsia="Times New Roman" w:hAnsi="Times New Roman"/>
            <w:sz w:val="16"/>
            <w:szCs w:val="16"/>
            <w:u w:val="single" w:color="auto"/>
            <w:color w:val="0000EE"/>
          </w:rPr>
          <w:t>Exhibit 4.1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of our Current Report on Form 8-K filed with the Commission on April 4, 2023.</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1481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180"/>
          </w:cols>
          <w:pgMar w:left="320" w:top="813" w:right="399" w:bottom="1440" w:gutter="0" w:footer="0" w:header="0"/>
        </w:sectPr>
      </w:pPr>
    </w:p>
    <w:bookmarkStart w:id="2" w:name="page3"/>
    <w:bookmarkEnd w:id="2"/>
    <w:p>
      <w:pPr>
        <w:ind w:left="1" w:right="20"/>
        <w:spacing w:after="0" w:line="253" w:lineRule="auto"/>
        <w:rPr>
          <w:sz w:val="20"/>
          <w:szCs w:val="20"/>
          <w:color w:val="auto"/>
        </w:rPr>
      </w:pPr>
      <w:r>
        <w:rPr>
          <w:rFonts w:ascii="Times New Roman" w:cs="Times New Roman" w:eastAsia="Times New Roman" w:hAnsi="Times New Roman"/>
          <w:sz w:val="16"/>
          <w:szCs w:val="16"/>
          <w:color w:val="auto"/>
        </w:rPr>
        <w:t>In addition, all documents subsequently filed by us with the Commission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with the Commission. We are not, however, incorporating by reference any documents or portions thereof, whether specifically listed above or filed in the future, that are not deemed “filed” with the Commission, including our compensation committee report and performance graph or any information furnished pursuant to Items 2.02 or 7.01 of Form 8-K or certain exhibits furnished pursuant to Item 9.01 of Form 8-K. 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subsequently filed document which also is or is deemed to be incorporated by reference in this Registration Statement, modifies or supersedes such statement. Any such statement so modified or superseded shall not be deemed, except as so modified or superseded, to constitute a part of this Registration Statement.</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210"/>
        </w:trPr>
        <w:tc>
          <w:tcPr>
            <w:tcW w:w="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10580" w:type="dxa"/>
            <w:vAlign w:val="bottom"/>
            <w:gridSpan w:val="11"/>
          </w:tcPr>
          <w:p>
            <w:pPr>
              <w:ind w:left="220"/>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0" w:type="dxa"/>
            <w:vAlign w:val="bottom"/>
          </w:tcPr>
          <w:p>
            <w:pPr>
              <w:spacing w:after="0"/>
              <w:rPr>
                <w:sz w:val="1"/>
                <w:szCs w:val="1"/>
                <w:color w:val="auto"/>
              </w:rPr>
            </w:pPr>
          </w:p>
        </w:tc>
      </w:tr>
      <w:tr>
        <w:trPr>
          <w:trHeight w:val="363"/>
        </w:trPr>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w:t>
            </w:r>
          </w:p>
        </w:tc>
        <w:tc>
          <w:tcPr>
            <w:tcW w:w="220" w:type="dxa"/>
            <w:vAlign w:val="bottom"/>
          </w:tcPr>
          <w:p>
            <w:pPr>
              <w:spacing w:after="0"/>
              <w:rPr>
                <w:sz w:val="18"/>
                <w:szCs w:val="18"/>
                <w:color w:val="auto"/>
              </w:rPr>
            </w:pPr>
          </w:p>
        </w:tc>
        <w:tc>
          <w:tcPr>
            <w:tcW w:w="103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338"/>
        </w:trPr>
        <w:tc>
          <w:tcPr>
            <w:tcW w:w="320" w:type="dxa"/>
            <w:vAlign w:val="bottom"/>
            <w:gridSpan w:val="2"/>
            <w:vMerge w:val="restart"/>
          </w:tcPr>
          <w:p>
            <w:pPr>
              <w:spacing w:after="0"/>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4.</w:t>
              </w:r>
              <w:r>
                <w:rPr>
                  <w:rFonts w:ascii="Times New Roman" w:cs="Times New Roman" w:eastAsia="Times New Roman" w:hAnsi="Times New Roman"/>
                  <w:sz w:val="16"/>
                  <w:szCs w:val="16"/>
                  <w:u w:val="single" w:color="auto"/>
                  <w:color w:val="0000EE"/>
                </w:rPr>
                <w:t>1</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60" w:type="dxa"/>
            <w:vAlign w:val="bottom"/>
            <w:gridSpan w:val="10"/>
          </w:tcPr>
          <w:p>
            <w:pPr>
              <w:spacing w:after="0"/>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Form of Specimen Certificate Representing Common Stock (incorporated by reference to Exhibit 4.1 to the Company's Registration Statement on Form S-3 filed</w:t>
              </w:r>
            </w:hyperlink>
          </w:p>
        </w:tc>
        <w:tc>
          <w:tcPr>
            <w:tcW w:w="0" w:type="dxa"/>
            <w:vAlign w:val="bottom"/>
          </w:tcPr>
          <w:p>
            <w:pPr>
              <w:spacing w:after="0"/>
              <w:rPr>
                <w:sz w:val="1"/>
                <w:szCs w:val="1"/>
                <w:color w:val="auto"/>
              </w:rPr>
            </w:pPr>
          </w:p>
        </w:tc>
      </w:tr>
      <w:tr>
        <w:trPr>
          <w:trHeight w:val="75"/>
        </w:trPr>
        <w:tc>
          <w:tcPr>
            <w:tcW w:w="32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60" w:type="dxa"/>
            <w:vAlign w:val="bottom"/>
            <w:tcBorders>
              <w:top w:val="single" w:sz="8" w:color="0000EE"/>
            </w:tcBorders>
            <w:gridSpan w:val="9"/>
            <w:vMerge w:val="restart"/>
          </w:tcPr>
          <w:p>
            <w:pPr>
              <w:spacing w:after="0" w:line="171" w:lineRule="exact"/>
              <w:rPr>
                <w:rFonts w:ascii="Times New Roman" w:cs="Times New Roman" w:eastAsia="Times New Roman" w:hAnsi="Times New Roman"/>
                <w:sz w:val="16"/>
                <w:szCs w:val="16"/>
                <w:color w:val="0000EE"/>
              </w:rPr>
            </w:pPr>
            <w:hyperlink r:id="rId28">
              <w:r>
                <w:rPr>
                  <w:rFonts w:ascii="Times New Roman" w:cs="Times New Roman" w:eastAsia="Times New Roman" w:hAnsi="Times New Roman"/>
                  <w:sz w:val="16"/>
                  <w:szCs w:val="16"/>
                  <w:color w:val="0000EE"/>
                </w:rPr>
                <w:t>on March 25, 2026)</w:t>
              </w:r>
            </w:hyperlink>
          </w:p>
        </w:tc>
        <w:tc>
          <w:tcPr>
            <w:tcW w:w="10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60" w:type="dxa"/>
            <w:vAlign w:val="bottom"/>
            <w:tcBorders>
              <w:top w:val="single" w:sz="8" w:color="0000EE"/>
            </w:tcBorders>
            <w:gridSpan w:val="9"/>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20" w:type="dxa"/>
            <w:vAlign w:val="bottom"/>
            <w:tcBorders>
              <w:bottom w:val="single" w:sz="8" w:color="0000EE"/>
            </w:tcBorders>
            <w:gridSpan w:val="2"/>
          </w:tcPr>
          <w:p>
            <w:pPr>
              <w:spacing w:after="0"/>
              <w:rPr>
                <w:rFonts w:ascii="Times New Roman" w:cs="Times New Roman" w:eastAsia="Times New Roman" w:hAnsi="Times New Roman"/>
                <w:sz w:val="16"/>
                <w:szCs w:val="16"/>
                <w:color w:val="0000EE"/>
                <w:w w:val="99"/>
              </w:rPr>
            </w:pPr>
            <w:hyperlink r:id="rId29">
              <w:r>
                <w:rPr>
                  <w:rFonts w:ascii="Times New Roman" w:cs="Times New Roman" w:eastAsia="Times New Roman" w:hAnsi="Times New Roman"/>
                  <w:sz w:val="16"/>
                  <w:szCs w:val="16"/>
                  <w:color w:val="0000EE"/>
                  <w:w w:val="99"/>
                </w:rPr>
                <w:t>4.</w:t>
              </w:r>
              <w:r>
                <w:rPr>
                  <w:rFonts w:ascii="Times New Roman" w:cs="Times New Roman" w:eastAsia="Times New Roman" w:hAnsi="Times New Roman"/>
                  <w:sz w:val="16"/>
                  <w:szCs w:val="16"/>
                  <w:u w:val="single" w:color="auto"/>
                  <w:color w:val="0000EE"/>
                  <w:w w:val="99"/>
                </w:rPr>
                <w:t>2†</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w w:val="99"/>
              </w:rPr>
            </w:pPr>
            <w:hyperlink r:id="rId29">
              <w:r>
                <w:rPr>
                  <w:rFonts w:ascii="Times New Roman" w:cs="Times New Roman" w:eastAsia="Times New Roman" w:hAnsi="Times New Roman"/>
                  <w:sz w:val="16"/>
                  <w:szCs w:val="16"/>
                  <w:color w:val="0000EE"/>
                  <w:w w:val="99"/>
                </w:rPr>
                <w:t>Safehold Inc. Amended and Restated 2009 Long-Term Incentive Plan (incorporated by reference to Exhibit 10.1 to the Company's Current Report on Form 8-K</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0000EE"/>
            </w:tcBorders>
            <w:gridSpan w:val="3"/>
          </w:tcPr>
          <w:p>
            <w:pPr>
              <w:spacing w:after="0" w:line="171" w:lineRule="exact"/>
              <w:rPr>
                <w:rFonts w:ascii="Times New Roman" w:cs="Times New Roman" w:eastAsia="Times New Roman" w:hAnsi="Times New Roman"/>
                <w:sz w:val="16"/>
                <w:szCs w:val="16"/>
                <w:color w:val="0000EE"/>
                <w:w w:val="98"/>
              </w:rPr>
            </w:pPr>
            <w:hyperlink r:id="rId29">
              <w:r>
                <w:rPr>
                  <w:rFonts w:ascii="Times New Roman" w:cs="Times New Roman" w:eastAsia="Times New Roman" w:hAnsi="Times New Roman"/>
                  <w:sz w:val="16"/>
                  <w:szCs w:val="16"/>
                  <w:color w:val="0000EE"/>
                  <w:w w:val="98"/>
                </w:rPr>
                <w:t>filed on May 15, 2026)</w:t>
              </w:r>
            </w:hyperlink>
          </w:p>
        </w:tc>
        <w:tc>
          <w:tcPr>
            <w:tcW w:w="88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9"/>
              </w:rPr>
              <w:t>5.</w:t>
            </w:r>
            <w:r>
              <w:rPr>
                <w:rFonts w:ascii="Times New Roman" w:cs="Times New Roman" w:eastAsia="Times New Roman" w:hAnsi="Times New Roman"/>
                <w:sz w:val="16"/>
                <w:szCs w:val="16"/>
                <w:u w:val="single" w:color="auto"/>
                <w:color w:val="0000EE"/>
                <w:w w:val="99"/>
              </w:rPr>
              <w:t>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7"/>
              </w:rPr>
              <w:t>Opinion of Venable LLP</w:t>
            </w:r>
          </w:p>
        </w:tc>
        <w:tc>
          <w:tcPr>
            <w:tcW w:w="8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77"/>
              </w:rPr>
              <w:t>23.</w:t>
            </w:r>
            <w:r>
              <w:rPr>
                <w:rFonts w:ascii="Times New Roman" w:cs="Times New Roman" w:eastAsia="Times New Roman" w:hAnsi="Times New Roman"/>
                <w:sz w:val="16"/>
                <w:szCs w:val="16"/>
                <w:u w:val="single" w:color="auto"/>
                <w:color w:val="0000EE"/>
                <w:w w:val="77"/>
              </w:rPr>
              <w:t>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8"/>
              </w:rPr>
              <w:t>Consent of Venable LLP (included in Exhibit 5.1)</w:t>
            </w:r>
          </w:p>
        </w:tc>
        <w:tc>
          <w:tcPr>
            <w:tcW w:w="7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77"/>
              </w:rPr>
              <w:t>23.</w:t>
            </w:r>
            <w:r>
              <w:rPr>
                <w:rFonts w:ascii="Times New Roman" w:cs="Times New Roman" w:eastAsia="Times New Roman" w:hAnsi="Times New Roman"/>
                <w:sz w:val="16"/>
                <w:szCs w:val="16"/>
                <w:u w:val="single" w:color="auto"/>
                <w:color w:val="0000EE"/>
                <w:w w:val="77"/>
              </w:rPr>
              <w:t>2*</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6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Consent of Deloitte &amp; Touche LLP</w:t>
            </w:r>
          </w:p>
        </w:tc>
        <w:tc>
          <w:tcPr>
            <w:tcW w:w="0" w:type="dxa"/>
            <w:vAlign w:val="bottom"/>
          </w:tcPr>
          <w:p>
            <w:pPr>
              <w:spacing w:after="0"/>
              <w:rPr>
                <w:sz w:val="1"/>
                <w:szCs w:val="1"/>
                <w:color w:val="auto"/>
              </w:rPr>
            </w:pPr>
          </w:p>
        </w:tc>
      </w:tr>
      <w:tr>
        <w:trPr>
          <w:trHeight w:val="20"/>
        </w:trPr>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77"/>
              </w:rPr>
              <w:t>24.</w:t>
            </w:r>
            <w:r>
              <w:rPr>
                <w:rFonts w:ascii="Times New Roman" w:cs="Times New Roman" w:eastAsia="Times New Roman" w:hAnsi="Times New Roman"/>
                <w:sz w:val="16"/>
                <w:szCs w:val="16"/>
                <w:u w:val="single" w:color="auto"/>
                <w:color w:val="0000EE"/>
                <w:w w:val="77"/>
              </w:rPr>
              <w:t>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w w:val="99"/>
              </w:rPr>
              <w:t>Power of Attorney (included on the signature page of this Registration Statement)</w:t>
            </w:r>
          </w:p>
        </w:tc>
        <w:tc>
          <w:tcPr>
            <w:tcW w:w="5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20" w:type="dxa"/>
            <w:vAlign w:val="bottom"/>
            <w:gridSpan w:val="2"/>
          </w:tcPr>
          <w:p>
            <w:pPr>
              <w:spacing w:after="0"/>
              <w:rPr>
                <w:sz w:val="20"/>
                <w:szCs w:val="20"/>
                <w:color w:val="auto"/>
              </w:rPr>
            </w:pPr>
            <w:r>
              <w:rPr>
                <w:rFonts w:ascii="Times New Roman" w:cs="Times New Roman" w:eastAsia="Times New Roman" w:hAnsi="Times New Roman"/>
                <w:sz w:val="16"/>
                <w:szCs w:val="16"/>
                <w:color w:val="0000EE"/>
                <w:w w:val="87"/>
              </w:rPr>
              <w:t>107*</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60" w:type="dxa"/>
            <w:vAlign w:val="bottom"/>
            <w:gridSpan w:val="10"/>
          </w:tcPr>
          <w:p>
            <w:pPr>
              <w:spacing w:after="0"/>
              <w:rPr>
                <w:sz w:val="20"/>
                <w:szCs w:val="20"/>
                <w:color w:val="auto"/>
              </w:rPr>
            </w:pPr>
            <w:r>
              <w:rPr>
                <w:rFonts w:ascii="Times New Roman" w:cs="Times New Roman" w:eastAsia="Times New Roman" w:hAnsi="Times New Roman"/>
                <w:sz w:val="16"/>
                <w:szCs w:val="16"/>
                <w:color w:val="0000EE"/>
              </w:rPr>
              <w:t>Filing Fee Table</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1" w:hanging="441"/>
        <w:spacing w:after="0"/>
        <w:tabs>
          <w:tab w:leader="none" w:pos="44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4" w:lineRule="exact"/>
        <w:rPr>
          <w:sz w:val="20"/>
          <w:szCs w:val="20"/>
          <w:color w:val="auto"/>
        </w:rPr>
      </w:pPr>
    </w:p>
    <w:p>
      <w:pPr>
        <w:ind w:left="441" w:hanging="441"/>
        <w:spacing w:after="0"/>
        <w:tabs>
          <w:tab w:leader="none" w:pos="44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14819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1"/>
          </w:cols>
          <w:pgMar w:left="319" w:top="81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18 day of May, 2026.</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b w:val="1"/>
          <w:bCs w:val="1"/>
          <w:color w:val="auto"/>
        </w:rPr>
        <w:t>SAFEHOLD INC.</w:t>
      </w:r>
    </w:p>
    <w:p>
      <w:pPr>
        <w:spacing w:after="0" w:line="200" w:lineRule="exact"/>
        <w:rPr>
          <w:sz w:val="20"/>
          <w:szCs w:val="20"/>
          <w:color w:val="auto"/>
        </w:rPr>
      </w:pPr>
    </w:p>
    <w:tbl>
      <w:tblPr>
        <w:tblLayout w:type="fixed"/>
        <w:tblInd w:w="564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Brett Asnas</w:t>
            </w:r>
          </w:p>
        </w:tc>
      </w:tr>
      <w:tr>
        <w:trPr>
          <w:trHeight w:val="178"/>
        </w:trPr>
        <w:tc>
          <w:tcPr>
            <w:tcW w:w="560" w:type="dxa"/>
            <w:vAlign w:val="bottom"/>
          </w:tcPr>
          <w:p>
            <w:pPr>
              <w:spacing w:after="0"/>
              <w:rPr>
                <w:sz w:val="15"/>
                <w:szCs w:val="15"/>
                <w:color w:val="auto"/>
              </w:rPr>
            </w:pPr>
          </w:p>
        </w:tc>
        <w:tc>
          <w:tcPr>
            <w:tcW w:w="50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By: Brett Asnas</w:t>
            </w:r>
          </w:p>
        </w:tc>
      </w:tr>
      <w:tr>
        <w:trPr>
          <w:trHeight w:val="208"/>
        </w:trPr>
        <w:tc>
          <w:tcPr>
            <w:tcW w:w="5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Title: Chief Financial Officer</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does hereby constitute and appoint Jay Sugarman and Brett Asnas, with full power to act without the other, such person’s true and lawful attorneys-in-fact and agents, with full power of substitution and resubstitution, for him and in his name, place and stead, in any and all capacities, to sign this Registration Statement,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0" w:type="dxa"/>
            <w:vAlign w:val="bottom"/>
          </w:tcPr>
          <w:p>
            <w:pPr>
              <w:spacing w:after="0"/>
              <w:rPr>
                <w:sz w:val="18"/>
                <w:szCs w:val="18"/>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4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74"/>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Jay Sugarman</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Jay Sugarman</w:t>
            </w:r>
          </w:p>
        </w:tc>
        <w:tc>
          <w:tcPr>
            <w:tcW w:w="1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6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Brett Asnas</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Brett Asnas</w:t>
            </w:r>
          </w:p>
        </w:tc>
        <w:tc>
          <w:tcPr>
            <w:tcW w:w="1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6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Chris Uhlick</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Chief Accounting Officer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Chris Uhlick</w:t>
            </w:r>
          </w:p>
        </w:tc>
        <w:tc>
          <w:tcPr>
            <w:tcW w:w="16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6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Robin Josephs</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Robin Josephs</w:t>
            </w:r>
          </w:p>
        </w:tc>
        <w:tc>
          <w:tcPr>
            <w:tcW w:w="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6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Jay Nydick</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Jay Nydick</w:t>
            </w:r>
          </w:p>
        </w:tc>
        <w:tc>
          <w:tcPr>
            <w:tcW w:w="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6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Barry W. Ridings</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Barry W. Ridings</w:t>
            </w:r>
          </w:p>
        </w:tc>
        <w:tc>
          <w:tcPr>
            <w:tcW w:w="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6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Stefan Selig</w:t>
            </w:r>
          </w:p>
        </w:tc>
        <w:tc>
          <w:tcPr>
            <w:tcW w:w="16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4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18, 2026</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Stefan Selig</w:t>
            </w:r>
          </w:p>
        </w:tc>
        <w:tc>
          <w:tcPr>
            <w:tcW w:w="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769"/>
        </w:trPr>
        <w:tc>
          <w:tcPr>
            <w:tcW w:w="4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3"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9"/>
          <w:szCs w:val="19"/>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6443345" cy="674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6443345" cy="67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May 18,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Safehold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1114 Avenue of the Americas, 39th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 10036</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 xml:space="preserve">Re: </w:t>
      </w:r>
      <w:r>
        <w:rPr>
          <w:rFonts w:ascii="Times New Roman" w:cs="Times New Roman" w:eastAsia="Times New Roman" w:hAnsi="Times New Roman"/>
          <w:sz w:val="16"/>
          <w:szCs w:val="16"/>
          <w:u w:val="single" w:color="auto"/>
          <w:color w:val="auto"/>
        </w:rPr>
        <w:t>Registration Statement on Form S-8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198" w:lineRule="exact"/>
        <w:rPr>
          <w:sz w:val="20"/>
          <w:szCs w:val="20"/>
          <w:color w:val="auto"/>
        </w:rPr>
      </w:pPr>
    </w:p>
    <w:p>
      <w:pPr>
        <w:jc w:val="both"/>
        <w:ind w:firstLine="1146"/>
        <w:spacing w:after="0" w:line="256" w:lineRule="auto"/>
        <w:rPr>
          <w:sz w:val="20"/>
          <w:szCs w:val="20"/>
          <w:color w:val="auto"/>
        </w:rPr>
      </w:pPr>
      <w:r>
        <w:rPr>
          <w:rFonts w:ascii="Times New Roman" w:cs="Times New Roman" w:eastAsia="Times New Roman" w:hAnsi="Times New Roman"/>
          <w:sz w:val="16"/>
          <w:szCs w:val="16"/>
          <w:color w:val="auto"/>
        </w:rPr>
        <w:t>We have served as Maryland counsel to Safehold Inc., a Maryland corporation (the “Company”), in connection with certain matters of Maryland law relating to the registration by the Company of up to 3,000,000 additional shares (the “Shares”) of common stock, $0.01 par value per share (the “Common Stock”), of the Company that the Company may issue pursuant to the Safehold Inc. Amended and Restated 2009 Long-Term Incentive Plan (the “Plan”), covered by the above-referenced Registration Statement (the “Registration Statement”), filed by the Company with the U.S. Securities and Exchange Commission (the “Commission”) under the Securities Act of 1933, as amended (the “Securities Act”), on or about the date hereof.</w:t>
      </w:r>
    </w:p>
    <w:p>
      <w:pPr>
        <w:spacing w:after="0" w:line="165" w:lineRule="exact"/>
        <w:rPr>
          <w:sz w:val="20"/>
          <w:szCs w:val="20"/>
          <w:color w:val="auto"/>
        </w:rPr>
      </w:pPr>
    </w:p>
    <w:p>
      <w:pPr>
        <w:jc w:val="both"/>
        <w:ind w:firstLine="1146"/>
        <w:spacing w:after="0" w:line="280" w:lineRule="auto"/>
        <w:rPr>
          <w:sz w:val="20"/>
          <w:szCs w:val="20"/>
          <w:color w:val="auto"/>
        </w:rPr>
      </w:pPr>
      <w:r>
        <w:rPr>
          <w:rFonts w:ascii="Times New Roman" w:cs="Times New Roman" w:eastAsia="Times New Roman" w:hAnsi="Times New Roman"/>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                  The Registration Statement, substantially in the form in which it was transmitted;</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                  The charter of the Company (the “Charter”), certified by the State Department of Assessments and Taxation of Maryland (the “SDAT”);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3.                  The Amended and Restated Bylaws of the Company, certified as of the date hereof by an officer of the Company;</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4.                  A certificate of the SDAT as to the good standing of the Company, dated as of a recent date;</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5.                  The Plan, certified as of the date hereof by an officer of the Company;</w:t>
      </w:r>
    </w:p>
    <w:p>
      <w:pPr>
        <w:spacing w:after="0" w:line="198" w:lineRule="exact"/>
        <w:rPr>
          <w:sz w:val="20"/>
          <w:szCs w:val="20"/>
          <w:color w:val="auto"/>
        </w:rPr>
      </w:pPr>
    </w:p>
    <w:p>
      <w:pPr>
        <w:jc w:val="both"/>
        <w:ind w:right="20" w:firstLine="1146"/>
        <w:spacing w:after="0" w:line="280" w:lineRule="auto"/>
        <w:rPr>
          <w:sz w:val="20"/>
          <w:szCs w:val="20"/>
          <w:color w:val="auto"/>
        </w:rPr>
      </w:pPr>
      <w:r>
        <w:rPr>
          <w:rFonts w:ascii="Times New Roman" w:cs="Times New Roman" w:eastAsia="Times New Roman" w:hAnsi="Times New Roman"/>
          <w:sz w:val="16"/>
          <w:szCs w:val="16"/>
          <w:color w:val="auto"/>
        </w:rPr>
        <w:t>6.                  Resolutions (the “Resolutions”) adopted by the Board of Directors of the Company (the “Board”) relating to, among other matters, the issuance of the Shares and the approval of the Plan, certified as of the date hereof by an officer of the Company;</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7.                  A certificate executed by an officer of the Company, dated as of the date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4819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528320</wp:posOffset>
            </wp:positionV>
            <wp:extent cx="6443345" cy="681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443345" cy="6819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Safehold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18,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2</w:t>
      </w:r>
    </w:p>
    <w:p>
      <w:pPr>
        <w:spacing w:after="0" w:line="181" w:lineRule="exact"/>
        <w:rPr>
          <w:sz w:val="20"/>
          <w:szCs w:val="20"/>
          <w:color w:val="auto"/>
        </w:rPr>
      </w:pPr>
    </w:p>
    <w:p>
      <w:pPr>
        <w:jc w:val="both"/>
        <w:ind w:right="20" w:firstLine="1146"/>
        <w:spacing w:after="0" w:line="280" w:lineRule="auto"/>
        <w:rPr>
          <w:sz w:val="20"/>
          <w:szCs w:val="20"/>
          <w:color w:val="auto"/>
        </w:rPr>
      </w:pPr>
      <w:r>
        <w:rPr>
          <w:rFonts w:ascii="Times New Roman" w:cs="Times New Roman" w:eastAsia="Times New Roman" w:hAnsi="Times New Roman"/>
          <w:sz w:val="16"/>
          <w:szCs w:val="16"/>
          <w:color w:val="auto"/>
        </w:rPr>
        <w:t>8.                  Such other documents and matters as we have deemed necessary or appropriate to express the opinion set forth below, subject to the assumptions, limitations and qualifications stated herein.</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In expressing the opinion set forth below, we have assumed the following:</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                  Each individual executing any of the Documents, whether on behalf of such individual or another person, is legally competent to do so.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2.                  Each individual executing any of the Documents on behalf of a party (other than the Company) is duly authorized to do so.</w:t>
      </w:r>
    </w:p>
    <w:p>
      <w:pPr>
        <w:spacing w:after="0" w:line="198" w:lineRule="exact"/>
        <w:rPr>
          <w:sz w:val="20"/>
          <w:szCs w:val="20"/>
          <w:color w:val="auto"/>
        </w:rPr>
      </w:pPr>
    </w:p>
    <w:p>
      <w:pPr>
        <w:jc w:val="both"/>
        <w:ind w:right="20" w:firstLine="1146"/>
        <w:spacing w:after="0" w:line="280" w:lineRule="auto"/>
        <w:rPr>
          <w:sz w:val="20"/>
          <w:szCs w:val="20"/>
          <w:color w:val="auto"/>
        </w:rPr>
      </w:pPr>
      <w:r>
        <w:rPr>
          <w:rFonts w:ascii="Times New Roman" w:cs="Times New Roman" w:eastAsia="Times New Roman" w:hAnsi="Times New Roman"/>
          <w:sz w:val="16"/>
          <w:szCs w:val="16"/>
          <w:color w:val="auto"/>
        </w:rPr>
        <w:t>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44" w:lineRule="exact"/>
        <w:rPr>
          <w:sz w:val="20"/>
          <w:szCs w:val="20"/>
          <w:color w:val="auto"/>
        </w:rPr>
      </w:pPr>
    </w:p>
    <w:p>
      <w:pPr>
        <w:jc w:val="both"/>
        <w:ind w:firstLine="1146"/>
        <w:spacing w:after="0" w:line="256" w:lineRule="auto"/>
        <w:rPr>
          <w:sz w:val="20"/>
          <w:szCs w:val="20"/>
          <w:color w:val="auto"/>
        </w:rPr>
      </w:pPr>
      <w:r>
        <w:rPr>
          <w:rFonts w:ascii="Times New Roman" w:cs="Times New Roman" w:eastAsia="Times New Roman" w:hAnsi="Times New Roman"/>
          <w:sz w:val="16"/>
          <w:szCs w:val="16"/>
          <w:color w:val="auto"/>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5.                  The Shares will not be issued or transferred in violation of any restriction or limitation on ownership and transfer contained in the Plan or Article VII</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the Charter.</w:t>
      </w:r>
    </w:p>
    <w:p>
      <w:pPr>
        <w:spacing w:after="0" w:line="181" w:lineRule="exact"/>
        <w:rPr>
          <w:sz w:val="20"/>
          <w:szCs w:val="20"/>
          <w:color w:val="auto"/>
        </w:rPr>
      </w:pPr>
    </w:p>
    <w:p>
      <w:pPr>
        <w:jc w:val="both"/>
        <w:ind w:right="20" w:firstLine="1146"/>
        <w:spacing w:after="0" w:line="280" w:lineRule="auto"/>
        <w:rPr>
          <w:sz w:val="20"/>
          <w:szCs w:val="20"/>
          <w:color w:val="auto"/>
        </w:rPr>
      </w:pPr>
      <w:r>
        <w:rPr>
          <w:rFonts w:ascii="Times New Roman" w:cs="Times New Roman" w:eastAsia="Times New Roman" w:hAnsi="Times New Roman"/>
          <w:sz w:val="16"/>
          <w:szCs w:val="16"/>
          <w:color w:val="auto"/>
        </w:rPr>
        <w:t>6.                  Upon any issuance of Shares, the total number of shares of Common Stock issued and outstanding will not exceed the total number of shares of Common Stock that the Company is then authorized to issue under the Charter.</w:t>
      </w:r>
    </w:p>
    <w:p>
      <w:pPr>
        <w:spacing w:after="0" w:line="144" w:lineRule="exact"/>
        <w:rPr>
          <w:sz w:val="20"/>
          <w:szCs w:val="20"/>
          <w:color w:val="auto"/>
        </w:rPr>
      </w:pPr>
    </w:p>
    <w:p>
      <w:pPr>
        <w:jc w:val="both"/>
        <w:ind w:right="20" w:firstLine="1146"/>
        <w:spacing w:after="0" w:line="264" w:lineRule="auto"/>
        <w:rPr>
          <w:sz w:val="20"/>
          <w:szCs w:val="20"/>
          <w:color w:val="auto"/>
        </w:rPr>
      </w:pPr>
      <w:r>
        <w:rPr>
          <w:rFonts w:ascii="Times New Roman" w:cs="Times New Roman" w:eastAsia="Times New Roman" w:hAnsi="Times New Roman"/>
          <w:sz w:val="16"/>
          <w:szCs w:val="16"/>
          <w:color w:val="auto"/>
        </w:rPr>
        <w:t>7.                  Each award that provides for the potential issuance of a Share pursuant to the Plan (each, an “Award”) will be duly authorized and validly granted in accordance with the Plan, and any Share issued pursuant to any such Award will be issued in accordance with the terms of the Plan and such Award, including any agreement entered into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367665</wp:posOffset>
            </wp:positionV>
            <wp:extent cx="71481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528320</wp:posOffset>
            </wp:positionV>
            <wp:extent cx="6443345" cy="681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443345" cy="6819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Safehold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18,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 3</w:t>
      </w:r>
    </w:p>
    <w:p>
      <w:pPr>
        <w:spacing w:after="0" w:line="1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Based upon the foregoing, and subject to the assumptions, limitations and qualifications stated herein, it is our opinion that:</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       The Company is a corporation duly incorporated and existing under and by virtue of the laws of the State of Maryland and is in good standing with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SDAT.</w:t>
      </w:r>
    </w:p>
    <w:p>
      <w:pPr>
        <w:spacing w:after="0" w:line="181" w:lineRule="exact"/>
        <w:rPr>
          <w:sz w:val="20"/>
          <w:szCs w:val="20"/>
          <w:color w:val="auto"/>
        </w:rPr>
      </w:pPr>
    </w:p>
    <w:p>
      <w:pPr>
        <w:jc w:val="both"/>
        <w:ind w:firstLine="1141"/>
        <w:spacing w:after="0" w:line="264" w:lineRule="auto"/>
        <w:tabs>
          <w:tab w:leader="none" w:pos="131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 issuance of the Shares has been duly authorized and, when and if issued and delivered by the Company pursuant to the Registration Statement, the Resolutions and the Plan, and any other resolutions of the Board or a duly authorized committee thereof relating thereto, the Shares will be validly issued, fully paid and nonassessable.</w:t>
      </w:r>
    </w:p>
    <w:p>
      <w:pPr>
        <w:spacing w:after="0" w:line="157" w:lineRule="exact"/>
        <w:rPr>
          <w:sz w:val="20"/>
          <w:szCs w:val="20"/>
          <w:color w:val="auto"/>
        </w:rPr>
      </w:pPr>
    </w:p>
    <w:p>
      <w:pPr>
        <w:jc w:val="both"/>
        <w:ind w:firstLine="1146"/>
        <w:spacing w:after="0" w:line="256" w:lineRule="auto"/>
        <w:rPr>
          <w:sz w:val="20"/>
          <w:szCs w:val="20"/>
          <w:color w:val="auto"/>
        </w:rPr>
      </w:pPr>
      <w:r>
        <w:rPr>
          <w:rFonts w:ascii="Times New Roman" w:cs="Times New Roman" w:eastAsia="Times New Roman" w:hAnsi="Times New Roman"/>
          <w:sz w:val="16"/>
          <w:szCs w:val="16"/>
          <w:color w:val="auto"/>
        </w:rPr>
        <w:t>The foregoing opinion is limited to the laws of the State of Maryland and we do not express any opinion herein concerning any federal law or the laws of any other jurisdiction. We express no opinion as to the applicability or effect of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judicial decisions which may permit the introduction of parol evidence to modify the terms or the interpretation of agreements.</w:t>
      </w:r>
    </w:p>
    <w:p>
      <w:pPr>
        <w:spacing w:after="0" w:line="165" w:lineRule="exact"/>
        <w:rPr>
          <w:sz w:val="20"/>
          <w:szCs w:val="20"/>
          <w:color w:val="auto"/>
        </w:rPr>
      </w:pPr>
    </w:p>
    <w:p>
      <w:pPr>
        <w:jc w:val="both"/>
        <w:ind w:firstLine="1146"/>
        <w:spacing w:after="0" w:line="264" w:lineRule="auto"/>
        <w:rPr>
          <w:sz w:val="20"/>
          <w:szCs w:val="20"/>
          <w:color w:val="auto"/>
        </w:rPr>
      </w:pPr>
      <w:r>
        <w:rPr>
          <w:rFonts w:ascii="Times New Roman" w:cs="Times New Roman" w:eastAsia="Times New Roman" w:hAnsi="Times New Roman"/>
          <w:sz w:val="16"/>
          <w:szCs w:val="16"/>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57" w:lineRule="exact"/>
        <w:rPr>
          <w:sz w:val="20"/>
          <w:szCs w:val="20"/>
          <w:color w:val="auto"/>
        </w:rPr>
      </w:pPr>
    </w:p>
    <w:p>
      <w:pPr>
        <w:jc w:val="both"/>
        <w:ind w:right="20" w:firstLine="1146"/>
        <w:spacing w:after="0" w:line="264" w:lineRule="auto"/>
        <w:rPr>
          <w:sz w:val="20"/>
          <w:szCs w:val="20"/>
          <w:color w:val="auto"/>
        </w:rPr>
      </w:pPr>
      <w:r>
        <w:rPr>
          <w:rFonts w:ascii="Times New Roman" w:cs="Times New Roman" w:eastAsia="Times New Roman" w:hAnsi="Times New Roman"/>
          <w:sz w:val="16"/>
          <w:szCs w:val="16"/>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Securities Act.</w:t>
      </w:r>
    </w:p>
    <w:p>
      <w:pPr>
        <w:spacing w:after="0" w:line="1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393700</wp:posOffset>
            </wp:positionV>
            <wp:extent cx="71481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19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color w:val="auto"/>
        </w:rPr>
        <w:t>We consent to the incorporation by reference in this Registration Statement on Form S-8 of our reports dated February 12, 2026, relating to the financial statements of Safehold Inc. and the effectiveness of Safehold Inc.'s internal control over financial reporting, appearing in the Annual Report on Form 10-K of Safehold Inc. for the year ended December 31,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383540</wp:posOffset>
            </wp:positionV>
            <wp:extent cx="714819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0"/>
          </w:cols>
          <w:pgMar w:left="320" w:top="327" w:right="319" w:bottom="1440" w:gutter="0" w:footer="0" w:header="0"/>
        </w:sectPr>
      </w:pPr>
    </w:p>
    <w:bookmarkStart w:id="8" w:name="page9"/>
    <w:bookmarkEnd w:id="8"/>
    <w:p>
      <w:pPr>
        <w:spacing w:after="0" w:line="75" w:lineRule="exact"/>
        <w:rPr>
          <w:sz w:val="20"/>
          <w:szCs w:val="20"/>
          <w:color w:val="auto"/>
        </w:rPr>
      </w:pPr>
    </w:p>
    <w:p>
      <w:pPr>
        <w:ind w:left="3180"/>
        <w:spacing w:after="0"/>
        <w:rPr>
          <w:sz w:val="20"/>
          <w:szCs w:val="20"/>
          <w:color w:val="auto"/>
        </w:rPr>
      </w:pPr>
      <w:r>
        <w:rPr>
          <w:rFonts w:ascii="Arial" w:cs="Arial" w:eastAsia="Arial" w:hAnsi="Arial"/>
          <w:sz w:val="32"/>
          <w:szCs w:val="32"/>
          <w:b w:val="1"/>
          <w:bCs w:val="1"/>
          <w:color w:val="auto"/>
        </w:rPr>
        <w:t>Calculation of Filing Fee Tables</w:t>
      </w:r>
    </w:p>
    <w:p>
      <w:pPr>
        <w:spacing w:after="0" w:line="193" w:lineRule="exact"/>
        <w:rPr>
          <w:sz w:val="20"/>
          <w:szCs w:val="20"/>
          <w:color w:val="auto"/>
        </w:rPr>
      </w:pPr>
    </w:p>
    <w:p>
      <w:pPr>
        <w:ind w:left="5300"/>
        <w:spacing w:after="0"/>
        <w:rPr>
          <w:sz w:val="20"/>
          <w:szCs w:val="20"/>
          <w:color w:val="auto"/>
        </w:rPr>
      </w:pPr>
      <w:r>
        <w:rPr>
          <w:rFonts w:ascii="Arial" w:cs="Arial" w:eastAsia="Arial" w:hAnsi="Arial"/>
          <w:sz w:val="32"/>
          <w:szCs w:val="32"/>
          <w:b w:val="1"/>
          <w:bCs w:val="1"/>
          <w:color w:val="auto"/>
        </w:rPr>
        <w:t>S-8</w:t>
      </w:r>
    </w:p>
    <w:p>
      <w:pPr>
        <w:spacing w:after="0" w:line="110" w:lineRule="exact"/>
        <w:rPr>
          <w:sz w:val="20"/>
          <w:szCs w:val="20"/>
          <w:color w:val="auto"/>
        </w:rPr>
      </w:pPr>
    </w:p>
    <w:p>
      <w:pPr>
        <w:jc w:val="center"/>
        <w:ind w:right="240"/>
        <w:spacing w:after="0"/>
        <w:rPr>
          <w:sz w:val="20"/>
          <w:szCs w:val="20"/>
          <w:color w:val="auto"/>
        </w:rPr>
      </w:pPr>
      <w:r>
        <w:rPr>
          <w:rFonts w:ascii="Arial" w:cs="Arial" w:eastAsia="Arial" w:hAnsi="Arial"/>
          <w:sz w:val="32"/>
          <w:szCs w:val="32"/>
          <w:b w:val="1"/>
          <w:bCs w:val="1"/>
          <w:color w:val="auto"/>
        </w:rPr>
        <w:t>Safehold Inc.</w:t>
      </w:r>
    </w:p>
    <w:p>
      <w:pPr>
        <w:spacing w:after="0" w:line="141"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Table 1: Newly Registered Securities</w:t>
      </w:r>
    </w:p>
    <w:p>
      <w:pPr>
        <w:spacing w:after="0" w:line="44" w:lineRule="exact"/>
        <w:rPr>
          <w:sz w:val="20"/>
          <w:szCs w:val="20"/>
          <w:color w:val="auto"/>
        </w:rPr>
      </w:pPr>
    </w:p>
    <w:tbl>
      <w:tblPr>
        <w:tblLayout w:type="fixed"/>
        <w:tblInd w:w="57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Fee</w:t>
            </w: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shd w:val="clear" w:color="auto" w:fill="9ADAF6"/>
          </w:tcPr>
          <w:p>
            <w:pPr>
              <w:jc w:val="center"/>
              <w:spacing w:after="0" w:line="191" w:lineRule="exact"/>
              <w:rPr>
                <w:sz w:val="20"/>
                <w:szCs w:val="20"/>
                <w:color w:val="auto"/>
              </w:rPr>
            </w:pPr>
            <w:r>
              <w:rPr>
                <w:rFonts w:ascii="Arial" w:cs="Arial" w:eastAsia="Arial" w:hAnsi="Arial"/>
                <w:sz w:val="19"/>
                <w:szCs w:val="19"/>
                <w:b w:val="1"/>
                <w:bCs w:val="1"/>
                <w:color w:val="auto"/>
              </w:rPr>
              <w:t>Proposed</w:t>
            </w:r>
          </w:p>
        </w:tc>
        <w:tc>
          <w:tcPr>
            <w:tcW w:w="20" w:type="dxa"/>
            <w:vAlign w:val="bottom"/>
          </w:tcPr>
          <w:p>
            <w:pPr>
              <w:spacing w:after="0"/>
              <w:rPr>
                <w:sz w:val="16"/>
                <w:szCs w:val="16"/>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Maximum</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Security</w:t>
            </w:r>
          </w:p>
        </w:tc>
        <w:tc>
          <w:tcPr>
            <w:tcW w:w="20" w:type="dxa"/>
            <w:vAlign w:val="bottom"/>
          </w:tcPr>
          <w:p>
            <w:pPr>
              <w:spacing w:after="0"/>
              <w:rPr>
                <w:sz w:val="9"/>
                <w:szCs w:val="9"/>
                <w:color w:val="auto"/>
              </w:rPr>
            </w:pPr>
          </w:p>
        </w:tc>
        <w:tc>
          <w:tcPr>
            <w:tcW w:w="980" w:type="dxa"/>
            <w:vAlign w:val="bottom"/>
            <w:vMerge w:val="restart"/>
            <w:shd w:val="clear" w:color="auto" w:fill="9ADAF6"/>
          </w:tcPr>
          <w:p>
            <w:pPr>
              <w:ind w:left="100"/>
              <w:spacing w:after="0" w:line="215" w:lineRule="exact"/>
              <w:rPr>
                <w:sz w:val="20"/>
                <w:szCs w:val="20"/>
                <w:color w:val="auto"/>
              </w:rPr>
            </w:pPr>
            <w:r>
              <w:rPr>
                <w:rFonts w:ascii="Arial" w:cs="Arial" w:eastAsia="Arial" w:hAnsi="Arial"/>
                <w:sz w:val="19"/>
                <w:szCs w:val="19"/>
                <w:b w:val="1"/>
                <w:bCs w:val="1"/>
                <w:color w:val="auto"/>
              </w:rPr>
              <w:t>Security</w:t>
            </w:r>
          </w:p>
        </w:tc>
        <w:tc>
          <w:tcPr>
            <w:tcW w:w="20" w:type="dxa"/>
            <w:vAlign w:val="bottom"/>
          </w:tcPr>
          <w:p>
            <w:pPr>
              <w:spacing w:after="0"/>
              <w:rPr>
                <w:sz w:val="9"/>
                <w:szCs w:val="9"/>
                <w:color w:val="auto"/>
              </w:rPr>
            </w:pPr>
          </w:p>
        </w:tc>
        <w:tc>
          <w:tcPr>
            <w:tcW w:w="10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vMerge w:val="restart"/>
            <w:shd w:val="clear" w:color="auto" w:fill="9ADAF6"/>
          </w:tcPr>
          <w:p>
            <w:pPr>
              <w:jc w:val="right"/>
              <w:ind w:right="45"/>
              <w:spacing w:after="0" w:line="215" w:lineRule="exact"/>
              <w:rPr>
                <w:sz w:val="20"/>
                <w:szCs w:val="20"/>
                <w:color w:val="auto"/>
              </w:rPr>
            </w:pPr>
            <w:r>
              <w:rPr>
                <w:rFonts w:ascii="Arial" w:cs="Arial" w:eastAsia="Arial" w:hAnsi="Arial"/>
                <w:sz w:val="19"/>
                <w:szCs w:val="19"/>
                <w:b w:val="1"/>
                <w:bCs w:val="1"/>
                <w:color w:val="auto"/>
              </w:rPr>
              <w:t>Amount</w:t>
            </w:r>
          </w:p>
        </w:tc>
        <w:tc>
          <w:tcPr>
            <w:tcW w:w="40" w:type="dxa"/>
            <w:vAlign w:val="bottom"/>
          </w:tcPr>
          <w:p>
            <w:pPr>
              <w:spacing w:after="0"/>
              <w:rPr>
                <w:sz w:val="9"/>
                <w:szCs w:val="9"/>
                <w:color w:val="auto"/>
              </w:rPr>
            </w:pPr>
          </w:p>
        </w:tc>
        <w:tc>
          <w:tcPr>
            <w:tcW w:w="1480" w:type="dxa"/>
            <w:vAlign w:val="bottom"/>
            <w:vMerge w:val="restart"/>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Maximum</w:t>
            </w:r>
          </w:p>
        </w:tc>
        <w:tc>
          <w:tcPr>
            <w:tcW w:w="20" w:type="dxa"/>
            <w:vAlign w:val="bottom"/>
          </w:tcPr>
          <w:p>
            <w:pPr>
              <w:spacing w:after="0"/>
              <w:rPr>
                <w:sz w:val="9"/>
                <w:szCs w:val="9"/>
                <w:color w:val="auto"/>
              </w:rPr>
            </w:pPr>
          </w:p>
        </w:tc>
        <w:tc>
          <w:tcPr>
            <w:tcW w:w="15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vMerge w:val="restart"/>
            <w:shd w:val="clear" w:color="auto" w:fill="9ADAF6"/>
          </w:tcPr>
          <w:p>
            <w:pPr>
              <w:jc w:val="right"/>
              <w:ind w:right="245"/>
              <w:spacing w:after="0" w:line="215" w:lineRule="exact"/>
              <w:rPr>
                <w:sz w:val="20"/>
                <w:szCs w:val="20"/>
                <w:color w:val="auto"/>
              </w:rPr>
            </w:pPr>
            <w:r>
              <w:rPr>
                <w:rFonts w:ascii="Arial" w:cs="Arial" w:eastAsia="Arial" w:hAnsi="Arial"/>
                <w:sz w:val="19"/>
                <w:szCs w:val="19"/>
                <w:b w:val="1"/>
                <w:bCs w:val="1"/>
                <w:color w:val="auto"/>
              </w:rPr>
              <w:t>Amount of</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2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rPr>
              <w:t>Calculation</w:t>
            </w:r>
          </w:p>
        </w:tc>
        <w:tc>
          <w:tcPr>
            <w:tcW w:w="20" w:type="dxa"/>
            <w:vAlign w:val="bottom"/>
          </w:tcPr>
          <w:p>
            <w:pPr>
              <w:spacing w:after="0"/>
              <w:rPr>
                <w:sz w:val="9"/>
                <w:szCs w:val="9"/>
                <w:color w:val="auto"/>
              </w:rPr>
            </w:pPr>
          </w:p>
        </w:tc>
        <w:tc>
          <w:tcPr>
            <w:tcW w:w="1020" w:type="dxa"/>
            <w:vAlign w:val="bottom"/>
            <w:vMerge w:val="continue"/>
            <w:shd w:val="clear" w:color="auto" w:fill="9ADAF6"/>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vMerge w:val="continue"/>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Aggregate</w:t>
            </w:r>
          </w:p>
        </w:tc>
        <w:tc>
          <w:tcPr>
            <w:tcW w:w="20" w:type="dxa"/>
            <w:vAlign w:val="bottom"/>
          </w:tcPr>
          <w:p>
            <w:pPr>
              <w:spacing w:after="0"/>
              <w:rPr>
                <w:sz w:val="9"/>
                <w:szCs w:val="9"/>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9"/>
                <w:szCs w:val="19"/>
                <w:b w:val="1"/>
                <w:bCs w:val="1"/>
                <w:color w:val="auto"/>
                <w:w w:val="98"/>
              </w:rPr>
              <w:t>Fee Rate</w:t>
            </w:r>
          </w:p>
        </w:tc>
        <w:tc>
          <w:tcPr>
            <w:tcW w:w="20" w:type="dxa"/>
            <w:vAlign w:val="bottom"/>
          </w:tcPr>
          <w:p>
            <w:pPr>
              <w:spacing w:after="0"/>
              <w:rPr>
                <w:sz w:val="9"/>
                <w:szCs w:val="9"/>
                <w:color w:val="auto"/>
              </w:rPr>
            </w:pPr>
          </w:p>
        </w:tc>
        <w:tc>
          <w:tcPr>
            <w:tcW w:w="1620" w:type="dxa"/>
            <w:vAlign w:val="bottom"/>
            <w:vMerge w:val="continue"/>
            <w:shd w:val="clear" w:color="auto" w:fill="9ADAF6"/>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9ADAF6"/>
          </w:tcPr>
          <w:p>
            <w:pPr>
              <w:jc w:val="center"/>
              <w:spacing w:after="0" w:line="193" w:lineRule="exact"/>
              <w:rPr>
                <w:sz w:val="20"/>
                <w:szCs w:val="20"/>
                <w:color w:val="auto"/>
              </w:rPr>
            </w:pPr>
            <w:r>
              <w:rPr>
                <w:rFonts w:ascii="Arial" w:cs="Arial" w:eastAsia="Arial" w:hAnsi="Arial"/>
                <w:sz w:val="19"/>
                <w:szCs w:val="19"/>
                <w:b w:val="1"/>
                <w:bCs w:val="1"/>
                <w:color w:val="auto"/>
                <w:w w:val="99"/>
              </w:rPr>
              <w:t>Type</w:t>
            </w:r>
          </w:p>
        </w:tc>
        <w:tc>
          <w:tcPr>
            <w:tcW w:w="20" w:type="dxa"/>
            <w:vAlign w:val="bottom"/>
          </w:tcPr>
          <w:p>
            <w:pPr>
              <w:spacing w:after="0"/>
              <w:rPr>
                <w:sz w:val="16"/>
                <w:szCs w:val="16"/>
                <w:color w:val="auto"/>
              </w:rPr>
            </w:pPr>
          </w:p>
        </w:tc>
        <w:tc>
          <w:tcPr>
            <w:tcW w:w="980" w:type="dxa"/>
            <w:vAlign w:val="bottom"/>
            <w:shd w:val="clear" w:color="auto" w:fill="9ADAF6"/>
          </w:tcPr>
          <w:p>
            <w:pPr>
              <w:spacing w:after="0" w:line="193" w:lineRule="exact"/>
              <w:rPr>
                <w:sz w:val="20"/>
                <w:szCs w:val="20"/>
                <w:color w:val="auto"/>
              </w:rPr>
            </w:pPr>
            <w:r>
              <w:rPr>
                <w:rFonts w:ascii="Arial" w:cs="Arial" w:eastAsia="Arial" w:hAnsi="Arial"/>
                <w:sz w:val="19"/>
                <w:szCs w:val="19"/>
                <w:b w:val="1"/>
                <w:bCs w:val="1"/>
                <w:color w:val="auto"/>
              </w:rPr>
              <w:t>Class Title</w:t>
            </w:r>
          </w:p>
        </w:tc>
        <w:tc>
          <w:tcPr>
            <w:tcW w:w="20" w:type="dxa"/>
            <w:vAlign w:val="bottom"/>
          </w:tcPr>
          <w:p>
            <w:pPr>
              <w:spacing w:after="0"/>
              <w:rPr>
                <w:sz w:val="16"/>
                <w:szCs w:val="16"/>
                <w:color w:val="auto"/>
              </w:rPr>
            </w:pPr>
          </w:p>
        </w:tc>
        <w:tc>
          <w:tcPr>
            <w:tcW w:w="108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spacing w:after="0" w:line="193" w:lineRule="exact"/>
              <w:rPr>
                <w:sz w:val="20"/>
                <w:szCs w:val="20"/>
                <w:color w:val="auto"/>
              </w:rPr>
            </w:pPr>
            <w:r>
              <w:rPr>
                <w:rFonts w:ascii="Arial" w:cs="Arial" w:eastAsia="Arial" w:hAnsi="Arial"/>
                <w:sz w:val="19"/>
                <w:szCs w:val="19"/>
                <w:b w:val="1"/>
                <w:bCs w:val="1"/>
                <w:color w:val="auto"/>
                <w:w w:val="99"/>
              </w:rPr>
              <w:t>Registered</w:t>
            </w:r>
          </w:p>
        </w:tc>
        <w:tc>
          <w:tcPr>
            <w:tcW w:w="40" w:type="dxa"/>
            <w:vAlign w:val="bottom"/>
          </w:tcPr>
          <w:p>
            <w:pPr>
              <w:spacing w:after="0"/>
              <w:rPr>
                <w:sz w:val="16"/>
                <w:szCs w:val="16"/>
                <w:color w:val="auto"/>
              </w:rPr>
            </w:pPr>
          </w:p>
        </w:tc>
        <w:tc>
          <w:tcPr>
            <w:tcW w:w="1480" w:type="dxa"/>
            <w:vAlign w:val="bottom"/>
            <w:shd w:val="clear" w:color="auto" w:fill="9ADAF6"/>
          </w:tcPr>
          <w:p>
            <w:pPr>
              <w:jc w:val="center"/>
              <w:spacing w:after="0" w:line="193" w:lineRule="exact"/>
              <w:rPr>
                <w:sz w:val="20"/>
                <w:szCs w:val="20"/>
                <w:color w:val="auto"/>
              </w:rPr>
            </w:pPr>
            <w:r>
              <w:rPr>
                <w:rFonts w:ascii="Arial" w:cs="Arial" w:eastAsia="Arial" w:hAnsi="Arial"/>
                <w:sz w:val="19"/>
                <w:szCs w:val="19"/>
                <w:b w:val="1"/>
                <w:bCs w:val="1"/>
                <w:color w:val="auto"/>
              </w:rPr>
              <w:t>Offering Price</w:t>
            </w:r>
          </w:p>
        </w:tc>
        <w:tc>
          <w:tcPr>
            <w:tcW w:w="20" w:type="dxa"/>
            <w:vAlign w:val="bottom"/>
          </w:tcPr>
          <w:p>
            <w:pPr>
              <w:spacing w:after="0"/>
              <w:rPr>
                <w:sz w:val="16"/>
                <w:szCs w:val="16"/>
                <w:color w:val="auto"/>
              </w:rPr>
            </w:pPr>
          </w:p>
        </w:tc>
        <w:tc>
          <w:tcPr>
            <w:tcW w:w="158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shd w:val="clear" w:color="auto" w:fill="9ADAF6"/>
          </w:tcPr>
          <w:p>
            <w:pPr>
              <w:jc w:val="right"/>
              <w:spacing w:after="0" w:line="193" w:lineRule="exact"/>
              <w:rPr>
                <w:sz w:val="20"/>
                <w:szCs w:val="20"/>
                <w:color w:val="auto"/>
              </w:rPr>
            </w:pPr>
            <w:r>
              <w:rPr>
                <w:rFonts w:ascii="Arial" w:cs="Arial" w:eastAsia="Arial" w:hAnsi="Arial"/>
                <w:sz w:val="19"/>
                <w:szCs w:val="19"/>
                <w:b w:val="1"/>
                <w:bCs w:val="1"/>
                <w:color w:val="auto"/>
              </w:rPr>
              <w:t>Registration 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tcBorders>
              <w:left w:val="single" w:sz="8" w:color="auto"/>
            </w:tcBorders>
          </w:tcPr>
          <w:p>
            <w:pPr>
              <w:spacing w:after="0"/>
              <w:rPr>
                <w:sz w:val="22"/>
                <w:szCs w:val="22"/>
                <w:color w:val="auto"/>
              </w:rPr>
            </w:pPr>
          </w:p>
        </w:tc>
        <w:tc>
          <w:tcPr>
            <w:tcW w:w="200" w:type="dxa"/>
            <w:vAlign w:val="bottom"/>
            <w:tcBorders>
              <w:bottom w:val="single" w:sz="8" w:color="9ADAF6"/>
            </w:tcBorders>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9ADAF6"/>
            </w:tcBorders>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Borders>
              <w:bottom w:val="single" w:sz="8" w:color="9ADAF6"/>
            </w:tcBorders>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Borders>
              <w:bottom w:val="single" w:sz="8" w:color="9ADAF6"/>
            </w:tcBorders>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Rule</w:t>
            </w:r>
          </w:p>
        </w:tc>
        <w:tc>
          <w:tcPr>
            <w:tcW w:w="20" w:type="dxa"/>
            <w:vAlign w:val="bottom"/>
          </w:tcPr>
          <w:p>
            <w:pPr>
              <w:spacing w:after="0"/>
              <w:rPr>
                <w:sz w:val="22"/>
                <w:szCs w:val="22"/>
                <w:color w:val="auto"/>
              </w:rPr>
            </w:pPr>
          </w:p>
        </w:tc>
        <w:tc>
          <w:tcPr>
            <w:tcW w:w="1020" w:type="dxa"/>
            <w:vAlign w:val="bottom"/>
            <w:tcBorders>
              <w:bottom w:val="single" w:sz="8" w:color="9ADAF6"/>
            </w:tcBorders>
            <w:shd w:val="clear" w:color="auto" w:fill="9ADAF6"/>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Borders>
              <w:bottom w:val="single" w:sz="8" w:color="9ADAF6"/>
            </w:tcBorders>
            <w:shd w:val="clear" w:color="auto" w:fill="9ADAF6"/>
          </w:tcPr>
          <w:p>
            <w:pPr>
              <w:jc w:val="center"/>
              <w:spacing w:after="0"/>
              <w:rPr>
                <w:sz w:val="20"/>
                <w:szCs w:val="20"/>
                <w:color w:val="auto"/>
              </w:rPr>
            </w:pPr>
            <w:r>
              <w:rPr>
                <w:rFonts w:ascii="Arial" w:cs="Arial" w:eastAsia="Arial" w:hAnsi="Arial"/>
                <w:sz w:val="19"/>
                <w:szCs w:val="19"/>
                <w:b w:val="1"/>
                <w:bCs w:val="1"/>
                <w:color w:val="auto"/>
              </w:rPr>
              <w:t>Per Unit</w:t>
            </w:r>
          </w:p>
        </w:tc>
        <w:tc>
          <w:tcPr>
            <w:tcW w:w="20" w:type="dxa"/>
            <w:vAlign w:val="bottom"/>
          </w:tcPr>
          <w:p>
            <w:pPr>
              <w:spacing w:after="0"/>
              <w:rPr>
                <w:sz w:val="22"/>
                <w:szCs w:val="22"/>
                <w:color w:val="auto"/>
              </w:rPr>
            </w:pPr>
          </w:p>
        </w:tc>
        <w:tc>
          <w:tcPr>
            <w:tcW w:w="1580" w:type="dxa"/>
            <w:vAlign w:val="bottom"/>
            <w:tcBorders>
              <w:bottom w:val="single" w:sz="8" w:color="9ADAF6"/>
            </w:tcBorders>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Offering Price</w:t>
            </w:r>
          </w:p>
        </w:tc>
        <w:tc>
          <w:tcPr>
            <w:tcW w:w="20" w:type="dxa"/>
            <w:vAlign w:val="bottom"/>
          </w:tcPr>
          <w:p>
            <w:pPr>
              <w:spacing w:after="0"/>
              <w:rPr>
                <w:sz w:val="22"/>
                <w:szCs w:val="22"/>
                <w:color w:val="auto"/>
              </w:rPr>
            </w:pPr>
          </w:p>
        </w:tc>
        <w:tc>
          <w:tcPr>
            <w:tcW w:w="940" w:type="dxa"/>
            <w:vAlign w:val="bottom"/>
            <w:tcBorders>
              <w:bottom w:val="single" w:sz="8" w:color="9ADAF6"/>
            </w:tcBorders>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tcBorders>
              <w:bottom w:val="single" w:sz="8" w:color="9ADAF6"/>
            </w:tcBorders>
            <w:shd w:val="clear" w:color="auto" w:fill="9ADAF6"/>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line="204" w:lineRule="exact"/>
              <w:rPr>
                <w:sz w:val="20"/>
                <w:szCs w:val="20"/>
                <w:color w:val="auto"/>
              </w:rPr>
            </w:pPr>
            <w:r>
              <w:rPr>
                <w:rFonts w:ascii="Arial" w:cs="Arial" w:eastAsia="Arial" w:hAnsi="Arial"/>
                <w:sz w:val="19"/>
                <w:szCs w:val="19"/>
                <w:color w:val="auto"/>
              </w:rPr>
              <w:t>Common</w:t>
            </w:r>
          </w:p>
        </w:tc>
        <w:tc>
          <w:tcPr>
            <w:tcW w:w="20" w:type="dxa"/>
            <w:vAlign w:val="bottom"/>
          </w:tcPr>
          <w:p>
            <w:pPr>
              <w:spacing w:after="0"/>
              <w:rPr>
                <w:sz w:val="17"/>
                <w:szCs w:val="17"/>
                <w:color w:val="auto"/>
              </w:rPr>
            </w:pPr>
          </w:p>
        </w:tc>
        <w:tc>
          <w:tcPr>
            <w:tcW w:w="10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shd w:val="clear" w:color="auto" w:fill="E7E7E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line="215" w:lineRule="exact"/>
              <w:rPr>
                <w:sz w:val="20"/>
                <w:szCs w:val="20"/>
                <w:color w:val="auto"/>
              </w:rPr>
            </w:pPr>
            <w:r>
              <w:rPr>
                <w:rFonts w:ascii="Arial" w:cs="Arial" w:eastAsia="Arial" w:hAnsi="Arial"/>
                <w:sz w:val="19"/>
                <w:szCs w:val="19"/>
                <w:color w:val="auto"/>
              </w:rPr>
              <w:t>Stock,</w:t>
            </w: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200" w:type="dxa"/>
            <w:vAlign w:val="bottom"/>
            <w:shd w:val="clear" w:color="auto" w:fill="E7E7E2"/>
          </w:tcPr>
          <w:p>
            <w:pPr>
              <w:jc w:val="right"/>
              <w:spacing w:after="0" w:line="215" w:lineRule="exact"/>
              <w:rPr>
                <w:sz w:val="20"/>
                <w:szCs w:val="20"/>
                <w:color w:val="auto"/>
              </w:rPr>
            </w:pPr>
            <w:r>
              <w:rPr>
                <w:rFonts w:ascii="Arial" w:cs="Arial" w:eastAsia="Arial" w:hAnsi="Arial"/>
                <w:sz w:val="19"/>
                <w:szCs w:val="19"/>
                <w:color w:val="auto"/>
              </w:rPr>
              <w:t>1</w:t>
            </w:r>
          </w:p>
        </w:tc>
        <w:tc>
          <w:tcPr>
            <w:tcW w:w="20" w:type="dxa"/>
            <w:vAlign w:val="bottom"/>
          </w:tcPr>
          <w:p>
            <w:pPr>
              <w:spacing w:after="0"/>
              <w:rPr>
                <w:sz w:val="18"/>
                <w:szCs w:val="18"/>
                <w:color w:val="auto"/>
              </w:rPr>
            </w:pPr>
          </w:p>
        </w:tc>
        <w:tc>
          <w:tcPr>
            <w:tcW w:w="980" w:type="dxa"/>
            <w:vAlign w:val="bottom"/>
            <w:shd w:val="clear" w:color="auto" w:fill="E7E7E2"/>
          </w:tcPr>
          <w:p>
            <w:pPr>
              <w:spacing w:after="0" w:line="215" w:lineRule="exact"/>
              <w:rPr>
                <w:sz w:val="20"/>
                <w:szCs w:val="20"/>
                <w:color w:val="auto"/>
              </w:rPr>
            </w:pPr>
            <w:r>
              <w:rPr>
                <w:rFonts w:ascii="Arial" w:cs="Arial" w:eastAsia="Arial" w:hAnsi="Arial"/>
                <w:sz w:val="19"/>
                <w:szCs w:val="19"/>
                <w:color w:val="auto"/>
              </w:rPr>
              <w:t>Equity</w:t>
            </w:r>
          </w:p>
        </w:tc>
        <w:tc>
          <w:tcPr>
            <w:tcW w:w="20" w:type="dxa"/>
            <w:vAlign w:val="bottom"/>
          </w:tcPr>
          <w:p>
            <w:pPr>
              <w:spacing w:after="0"/>
              <w:rPr>
                <w:sz w:val="18"/>
                <w:szCs w:val="18"/>
                <w:color w:val="auto"/>
              </w:rPr>
            </w:pPr>
          </w:p>
        </w:tc>
        <w:tc>
          <w:tcPr>
            <w:tcW w:w="980" w:type="dxa"/>
            <w:vAlign w:val="bottom"/>
            <w:shd w:val="clear" w:color="auto" w:fill="E7E7E2"/>
          </w:tcPr>
          <w:p>
            <w:pPr>
              <w:spacing w:after="0" w:line="215" w:lineRule="exact"/>
              <w:rPr>
                <w:sz w:val="20"/>
                <w:szCs w:val="20"/>
                <w:color w:val="auto"/>
              </w:rPr>
            </w:pPr>
            <w:r>
              <w:rPr>
                <w:rFonts w:ascii="Arial" w:cs="Arial" w:eastAsia="Arial" w:hAnsi="Arial"/>
                <w:sz w:val="19"/>
                <w:szCs w:val="19"/>
                <w:color w:val="auto"/>
              </w:rPr>
              <w:t>$0.01 par</w:t>
            </w:r>
          </w:p>
        </w:tc>
        <w:tc>
          <w:tcPr>
            <w:tcW w:w="20" w:type="dxa"/>
            <w:vAlign w:val="bottom"/>
          </w:tcPr>
          <w:p>
            <w:pPr>
              <w:spacing w:after="0"/>
              <w:rPr>
                <w:sz w:val="18"/>
                <w:szCs w:val="18"/>
                <w:color w:val="auto"/>
              </w:rPr>
            </w:pPr>
          </w:p>
        </w:tc>
        <w:tc>
          <w:tcPr>
            <w:tcW w:w="1080" w:type="dxa"/>
            <w:vAlign w:val="bottom"/>
            <w:shd w:val="clear" w:color="auto" w:fill="E7E7E2"/>
          </w:tcPr>
          <w:p>
            <w:pPr>
              <w:jc w:val="center"/>
              <w:spacing w:after="0" w:line="215" w:lineRule="exact"/>
              <w:rPr>
                <w:sz w:val="20"/>
                <w:szCs w:val="20"/>
                <w:color w:val="auto"/>
              </w:rPr>
            </w:pPr>
            <w:r>
              <w:rPr>
                <w:rFonts w:ascii="Arial" w:cs="Arial" w:eastAsia="Arial" w:hAnsi="Arial"/>
                <w:sz w:val="19"/>
                <w:szCs w:val="19"/>
                <w:color w:val="auto"/>
              </w:rPr>
              <w:t>457(a)</w:t>
            </w:r>
          </w:p>
        </w:tc>
        <w:tc>
          <w:tcPr>
            <w:tcW w:w="20" w:type="dxa"/>
            <w:vAlign w:val="bottom"/>
          </w:tcPr>
          <w:p>
            <w:pPr>
              <w:spacing w:after="0"/>
              <w:rPr>
                <w:sz w:val="18"/>
                <w:szCs w:val="18"/>
                <w:color w:val="auto"/>
              </w:rPr>
            </w:pPr>
          </w:p>
        </w:tc>
        <w:tc>
          <w:tcPr>
            <w:tcW w:w="1020" w:type="dxa"/>
            <w:vAlign w:val="bottom"/>
            <w:shd w:val="clear" w:color="auto" w:fill="E7E7E2"/>
          </w:tcPr>
          <w:p>
            <w:pPr>
              <w:jc w:val="right"/>
              <w:spacing w:after="0" w:line="215" w:lineRule="exact"/>
              <w:rPr>
                <w:sz w:val="20"/>
                <w:szCs w:val="20"/>
                <w:color w:val="auto"/>
              </w:rPr>
            </w:pPr>
            <w:r>
              <w:rPr>
                <w:rFonts w:ascii="Arial" w:cs="Arial" w:eastAsia="Arial" w:hAnsi="Arial"/>
                <w:sz w:val="19"/>
                <w:szCs w:val="19"/>
                <w:color w:val="auto"/>
              </w:rPr>
              <w:t>3,000,000</w:t>
            </w:r>
          </w:p>
        </w:tc>
        <w:tc>
          <w:tcPr>
            <w:tcW w:w="40" w:type="dxa"/>
            <w:vAlign w:val="bottom"/>
          </w:tcPr>
          <w:p>
            <w:pPr>
              <w:spacing w:after="0"/>
              <w:rPr>
                <w:sz w:val="18"/>
                <w:szCs w:val="18"/>
                <w:color w:val="auto"/>
              </w:rPr>
            </w:pPr>
          </w:p>
        </w:tc>
        <w:tc>
          <w:tcPr>
            <w:tcW w:w="1480" w:type="dxa"/>
            <w:vAlign w:val="bottom"/>
            <w:shd w:val="clear" w:color="auto" w:fill="E7E7E2"/>
          </w:tcPr>
          <w:p>
            <w:pPr>
              <w:jc w:val="right"/>
              <w:spacing w:after="0" w:line="215" w:lineRule="exact"/>
              <w:rPr>
                <w:sz w:val="20"/>
                <w:szCs w:val="20"/>
                <w:color w:val="auto"/>
              </w:rPr>
            </w:pPr>
            <w:r>
              <w:rPr>
                <w:rFonts w:ascii="Arial" w:cs="Arial" w:eastAsia="Arial" w:hAnsi="Arial"/>
                <w:sz w:val="19"/>
                <w:szCs w:val="19"/>
                <w:color w:val="auto"/>
              </w:rPr>
              <w:t>$ 14.32</w:t>
            </w:r>
          </w:p>
        </w:tc>
        <w:tc>
          <w:tcPr>
            <w:tcW w:w="20" w:type="dxa"/>
            <w:vAlign w:val="bottom"/>
          </w:tcPr>
          <w:p>
            <w:pPr>
              <w:spacing w:after="0"/>
              <w:rPr>
                <w:sz w:val="18"/>
                <w:szCs w:val="18"/>
                <w:color w:val="auto"/>
              </w:rPr>
            </w:pPr>
          </w:p>
        </w:tc>
        <w:tc>
          <w:tcPr>
            <w:tcW w:w="1580" w:type="dxa"/>
            <w:vAlign w:val="bottom"/>
            <w:shd w:val="clear" w:color="auto" w:fill="E7E7E2"/>
          </w:tcPr>
          <w:p>
            <w:pPr>
              <w:jc w:val="right"/>
              <w:spacing w:after="0" w:line="215" w:lineRule="exact"/>
              <w:rPr>
                <w:sz w:val="20"/>
                <w:szCs w:val="20"/>
                <w:color w:val="auto"/>
              </w:rPr>
            </w:pPr>
            <w:r>
              <w:rPr>
                <w:rFonts w:ascii="Arial" w:cs="Arial" w:eastAsia="Arial" w:hAnsi="Arial"/>
                <w:sz w:val="19"/>
                <w:szCs w:val="19"/>
                <w:color w:val="auto"/>
              </w:rPr>
              <w:t>$ 42,960,000.00</w:t>
            </w:r>
          </w:p>
        </w:tc>
        <w:tc>
          <w:tcPr>
            <w:tcW w:w="20" w:type="dxa"/>
            <w:vAlign w:val="bottom"/>
          </w:tcPr>
          <w:p>
            <w:pPr>
              <w:spacing w:after="0"/>
              <w:rPr>
                <w:sz w:val="18"/>
                <w:szCs w:val="18"/>
                <w:color w:val="auto"/>
              </w:rPr>
            </w:pPr>
          </w:p>
        </w:tc>
        <w:tc>
          <w:tcPr>
            <w:tcW w:w="940" w:type="dxa"/>
            <w:vAlign w:val="bottom"/>
            <w:shd w:val="clear" w:color="auto" w:fill="E7E7E2"/>
          </w:tcPr>
          <w:p>
            <w:pPr>
              <w:jc w:val="right"/>
              <w:spacing w:after="0" w:line="215" w:lineRule="exact"/>
              <w:rPr>
                <w:sz w:val="20"/>
                <w:szCs w:val="20"/>
                <w:color w:val="auto"/>
              </w:rPr>
            </w:pPr>
            <w:r>
              <w:rPr>
                <w:rFonts w:ascii="Arial" w:cs="Arial" w:eastAsia="Arial" w:hAnsi="Arial"/>
                <w:sz w:val="19"/>
                <w:szCs w:val="19"/>
                <w:color w:val="auto"/>
              </w:rPr>
              <w:t>0.0001381</w:t>
            </w:r>
          </w:p>
        </w:tc>
        <w:tc>
          <w:tcPr>
            <w:tcW w:w="20" w:type="dxa"/>
            <w:vAlign w:val="bottom"/>
          </w:tcPr>
          <w:p>
            <w:pPr>
              <w:spacing w:after="0"/>
              <w:rPr>
                <w:sz w:val="18"/>
                <w:szCs w:val="18"/>
                <w:color w:val="auto"/>
              </w:rPr>
            </w:pPr>
          </w:p>
        </w:tc>
        <w:tc>
          <w:tcPr>
            <w:tcW w:w="1620" w:type="dxa"/>
            <w:vAlign w:val="bottom"/>
            <w:shd w:val="clear" w:color="auto" w:fill="E7E7E2"/>
          </w:tcPr>
          <w:p>
            <w:pPr>
              <w:jc w:val="right"/>
              <w:spacing w:after="0" w:line="215" w:lineRule="exact"/>
              <w:rPr>
                <w:sz w:val="20"/>
                <w:szCs w:val="20"/>
                <w:color w:val="auto"/>
              </w:rPr>
            </w:pPr>
            <w:r>
              <w:rPr>
                <w:rFonts w:ascii="Arial" w:cs="Arial" w:eastAsia="Arial" w:hAnsi="Arial"/>
                <w:sz w:val="19"/>
                <w:szCs w:val="19"/>
                <w:color w:val="auto"/>
              </w:rPr>
              <w:t>$ 5,932.78</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2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line="215" w:lineRule="exact"/>
              <w:rPr>
                <w:sz w:val="20"/>
                <w:szCs w:val="20"/>
                <w:color w:val="auto"/>
              </w:rPr>
            </w:pPr>
            <w:r>
              <w:rPr>
                <w:rFonts w:ascii="Arial" w:cs="Arial" w:eastAsia="Arial" w:hAnsi="Arial"/>
                <w:sz w:val="19"/>
                <w:szCs w:val="19"/>
                <w:color w:val="auto"/>
              </w:rPr>
              <w:t>value per</w:t>
            </w:r>
          </w:p>
        </w:tc>
        <w:tc>
          <w:tcPr>
            <w:tcW w:w="20" w:type="dxa"/>
            <w:vAlign w:val="bottom"/>
          </w:tcPr>
          <w:p>
            <w:pPr>
              <w:spacing w:after="0"/>
              <w:rPr>
                <w:sz w:val="18"/>
                <w:szCs w:val="18"/>
                <w:color w:val="auto"/>
              </w:rPr>
            </w:pPr>
          </w:p>
        </w:tc>
        <w:tc>
          <w:tcPr>
            <w:tcW w:w="10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2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E7E7E2"/>
          </w:tcPr>
          <w:p>
            <w:pPr>
              <w:spacing w:after="0"/>
              <w:rPr>
                <w:sz w:val="20"/>
                <w:szCs w:val="20"/>
                <w:color w:val="auto"/>
              </w:rPr>
            </w:pPr>
            <w:r>
              <w:rPr>
                <w:rFonts w:ascii="Arial" w:cs="Arial" w:eastAsia="Arial" w:hAnsi="Arial"/>
                <w:sz w:val="19"/>
                <w:szCs w:val="19"/>
                <w:color w:val="auto"/>
              </w:rPr>
              <w:t>share</w:t>
            </w:r>
          </w:p>
        </w:tc>
        <w:tc>
          <w:tcPr>
            <w:tcW w:w="20" w:type="dxa"/>
            <w:vAlign w:val="bottom"/>
          </w:tcPr>
          <w:p>
            <w:pPr>
              <w:spacing w:after="0"/>
              <w:rPr>
                <w:sz w:val="21"/>
                <w:szCs w:val="21"/>
                <w:color w:val="auto"/>
              </w:rPr>
            </w:pPr>
          </w:p>
        </w:tc>
        <w:tc>
          <w:tcPr>
            <w:tcW w:w="10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62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3"/>
          </w:tcPr>
          <w:p>
            <w:pPr>
              <w:jc w:val="right"/>
              <w:spacing w:after="0"/>
              <w:rPr>
                <w:sz w:val="20"/>
                <w:szCs w:val="20"/>
                <w:color w:val="auto"/>
              </w:rPr>
            </w:pPr>
            <w:r>
              <w:rPr>
                <w:rFonts w:ascii="Arial" w:cs="Arial" w:eastAsia="Arial" w:hAnsi="Arial"/>
                <w:sz w:val="19"/>
                <w:szCs w:val="19"/>
                <w:color w:val="auto"/>
              </w:rPr>
              <w:t>Total Offering Amounts:</w:t>
            </w: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19"/>
                <w:szCs w:val="19"/>
                <w:color w:val="auto"/>
              </w:rPr>
              <w:t>$ 42,960,000.00</w:t>
            </w: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40" w:type="dxa"/>
            <w:vAlign w:val="bottom"/>
            <w:gridSpan w:val="2"/>
          </w:tcPr>
          <w:p>
            <w:pPr>
              <w:jc w:val="right"/>
              <w:spacing w:after="0"/>
              <w:rPr>
                <w:sz w:val="20"/>
                <w:szCs w:val="20"/>
                <w:color w:val="auto"/>
              </w:rPr>
            </w:pPr>
            <w:r>
              <w:rPr>
                <w:rFonts w:ascii="Arial" w:cs="Arial" w:eastAsia="Arial" w:hAnsi="Arial"/>
                <w:sz w:val="19"/>
                <w:szCs w:val="19"/>
                <w:color w:val="auto"/>
              </w:rPr>
              <w:t>$ 5,932.78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3"/>
          </w:tcPr>
          <w:p>
            <w:pPr>
              <w:jc w:val="right"/>
              <w:spacing w:after="0"/>
              <w:rPr>
                <w:sz w:val="20"/>
                <w:szCs w:val="20"/>
                <w:color w:val="auto"/>
              </w:rPr>
            </w:pPr>
            <w:r>
              <w:rPr>
                <w:rFonts w:ascii="Arial" w:cs="Arial" w:eastAsia="Arial" w:hAnsi="Arial"/>
                <w:sz w:val="19"/>
                <w:szCs w:val="19"/>
                <w:color w:val="auto"/>
              </w:rPr>
              <w:t>Total Fee Offsets:</w:t>
            </w:r>
          </w:p>
        </w:tc>
        <w:tc>
          <w:tcPr>
            <w:tcW w:w="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40" w:type="dxa"/>
            <w:vAlign w:val="bottom"/>
            <w:gridSpan w:val="2"/>
          </w:tcPr>
          <w:p>
            <w:pPr>
              <w:jc w:val="right"/>
              <w:spacing w:after="0"/>
              <w:rPr>
                <w:sz w:val="20"/>
                <w:szCs w:val="20"/>
                <w:color w:val="auto"/>
              </w:rPr>
            </w:pPr>
            <w:r>
              <w:rPr>
                <w:rFonts w:ascii="Arial" w:cs="Arial" w:eastAsia="Arial" w:hAnsi="Arial"/>
                <w:sz w:val="19"/>
                <w:szCs w:val="19"/>
                <w:color w:val="auto"/>
              </w:rPr>
              <w:t>$ 5,932.78</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color w:val="auto"/>
              </w:rPr>
              <w:t>Net Fee Due:</w:t>
            </w:r>
          </w:p>
        </w:tc>
        <w:tc>
          <w:tcPr>
            <w:tcW w:w="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$ 0.00</w:t>
            </w: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Offering Note</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2"/>
          <w:szCs w:val="12"/>
          <w:color w:val="auto"/>
        </w:rPr>
        <w:t>1</w:t>
      </w:r>
    </w:p>
    <w:p>
      <w:pPr>
        <w:spacing w:after="0" w:line="66" w:lineRule="exact"/>
        <w:rPr>
          <w:sz w:val="20"/>
          <w:szCs w:val="20"/>
          <w:color w:val="auto"/>
        </w:rPr>
      </w:pPr>
    </w:p>
    <w:p>
      <w:pPr>
        <w:ind w:left="800" w:right="840"/>
        <w:spacing w:after="0" w:line="243" w:lineRule="auto"/>
        <w:rPr>
          <w:sz w:val="20"/>
          <w:szCs w:val="20"/>
          <w:color w:val="auto"/>
        </w:rPr>
      </w:pPr>
      <w:r>
        <w:rPr>
          <w:rFonts w:ascii="Arial" w:cs="Arial" w:eastAsia="Arial" w:hAnsi="Arial"/>
          <w:sz w:val="19"/>
          <w:szCs w:val="19"/>
          <w:color w:val="auto"/>
        </w:rPr>
        <w:t>Pursuant to Rule 416(a) under the Securities Act of 1933, as amended (the "Securities Act"), this registration statement shall also cover any additional shares of the registrant's common stock, par value $0.01 per share (the "common stock"), that become issuable under the Safehold Inc. Amended and Restated 2009 Long-Term Incentive Plan (as amended, the "Plan") by reason of any stock dividend, stock split, recapitalization or similar transaction effected without the registrant's receipt of consideration that would increase the number of outstanding shares of common stock.</w:t>
      </w:r>
    </w:p>
    <w:p>
      <w:pPr>
        <w:spacing w:after="0" w:line="177" w:lineRule="exact"/>
        <w:rPr>
          <w:sz w:val="20"/>
          <w:szCs w:val="20"/>
          <w:color w:val="auto"/>
        </w:rPr>
      </w:pPr>
    </w:p>
    <w:p>
      <w:pPr>
        <w:ind w:left="800" w:right="840"/>
        <w:spacing w:after="0" w:line="271" w:lineRule="auto"/>
        <w:rPr>
          <w:sz w:val="20"/>
          <w:szCs w:val="20"/>
          <w:color w:val="auto"/>
        </w:rPr>
      </w:pPr>
      <w:r>
        <w:rPr>
          <w:rFonts w:ascii="Arial" w:cs="Arial" w:eastAsia="Arial" w:hAnsi="Arial"/>
          <w:sz w:val="19"/>
          <w:szCs w:val="19"/>
          <w:color w:val="auto"/>
        </w:rPr>
        <w:t>Amount Registered represents 3,000,000 additional shares of common stock available for issuance pursuant to the Plan.</w:t>
      </w:r>
    </w:p>
    <w:p>
      <w:pPr>
        <w:spacing w:after="0" w:line="151" w:lineRule="exact"/>
        <w:rPr>
          <w:sz w:val="20"/>
          <w:szCs w:val="20"/>
          <w:color w:val="auto"/>
        </w:rPr>
      </w:pPr>
    </w:p>
    <w:p>
      <w:pPr>
        <w:jc w:val="both"/>
        <w:ind w:left="800" w:right="700"/>
        <w:spacing w:after="0" w:line="253" w:lineRule="auto"/>
        <w:rPr>
          <w:sz w:val="20"/>
          <w:szCs w:val="20"/>
          <w:color w:val="auto"/>
        </w:rPr>
      </w:pPr>
      <w:r>
        <w:rPr>
          <w:rFonts w:ascii="Arial" w:cs="Arial" w:eastAsia="Arial" w:hAnsi="Arial"/>
          <w:sz w:val="19"/>
          <w:szCs w:val="19"/>
          <w:color w:val="auto"/>
        </w:rPr>
        <w:t>Pursuant to Rule 457(c) and 457(h) of the Securities Act, the Proposed Maximum Offering Price Per Share is based upon the average of the high and low prices of common stock, as reported on the New York Stock Exchange on May 15, 2026, which was $14.32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64135</wp:posOffset>
            </wp:positionV>
            <wp:extent cx="640778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6407785" cy="4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1"/>
          </w:tcPr>
          <w:p>
            <w:pPr>
              <w:spacing w:after="0"/>
              <w:rPr>
                <w:sz w:val="20"/>
                <w:szCs w:val="20"/>
                <w:color w:val="auto"/>
              </w:rPr>
            </w:pPr>
            <w:r>
              <w:rPr>
                <w:rFonts w:ascii="Arial" w:cs="Arial" w:eastAsia="Arial" w:hAnsi="Arial"/>
                <w:sz w:val="19"/>
                <w:szCs w:val="19"/>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380"/>
              <w:spacing w:after="0" w:line="219" w:lineRule="exact"/>
              <w:rPr>
                <w:sz w:val="20"/>
                <w:szCs w:val="20"/>
                <w:color w:val="auto"/>
              </w:rPr>
            </w:pPr>
            <w:r>
              <w:rPr>
                <w:rFonts w:ascii="MS PGothic" w:cs="MS PGothic" w:eastAsia="MS PGothic" w:hAnsi="MS PGothic"/>
                <w:sz w:val="19"/>
                <w:szCs w:val="19"/>
                <w:color w:val="auto"/>
                <w:highlight w:val="black"/>
              </w:rPr>
              <w:t>☐</w:t>
            </w:r>
            <w:r>
              <w:rPr>
                <w:rFonts w:ascii="Arial" w:cs="Arial" w:eastAsia="Arial" w:hAnsi="Arial"/>
                <w:sz w:val="19"/>
                <w:szCs w:val="19"/>
                <w:b w:val="1"/>
                <w:bCs w:val="1"/>
                <w:color w:val="auto"/>
              </w:rPr>
              <w:t>Not Applicable</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Unsold</w:t>
            </w: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8"/>
              </w:rPr>
              <w:t>Security</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8"/>
              </w:rPr>
              <w:t>Security</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9"/>
              </w:rPr>
              <w:t>Unsold</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9"/>
              </w:rPr>
              <w:t>Aggregate</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40" w:type="dxa"/>
            <w:vAlign w:val="bottom"/>
            <w:tcBorders>
              <w:left w:val="single" w:sz="8" w:color="auto"/>
            </w:tcBorders>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ind w:left="20"/>
              <w:spacing w:after="0"/>
              <w:rPr>
                <w:sz w:val="20"/>
                <w:szCs w:val="20"/>
                <w:color w:val="auto"/>
              </w:rPr>
            </w:pPr>
            <w:r>
              <w:rPr>
                <w:rFonts w:ascii="Arial" w:cs="Arial" w:eastAsia="Arial" w:hAnsi="Arial"/>
                <w:sz w:val="19"/>
                <w:szCs w:val="19"/>
                <w:b w:val="1"/>
                <w:bCs w:val="1"/>
                <w:color w:val="auto"/>
                <w:w w:val="99"/>
              </w:rPr>
              <w:t>Registrant</w:t>
            </w:r>
          </w:p>
        </w:tc>
        <w:tc>
          <w:tcPr>
            <w:tcW w:w="20" w:type="dxa"/>
            <w:vAlign w:val="bottom"/>
          </w:tcPr>
          <w:p>
            <w:pPr>
              <w:spacing w:after="0"/>
              <w:rPr>
                <w:sz w:val="24"/>
                <w:szCs w:val="24"/>
                <w:color w:val="auto"/>
              </w:rPr>
            </w:pPr>
          </w:p>
        </w:tc>
        <w:tc>
          <w:tcPr>
            <w:tcW w:w="5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6"/>
              </w:rPr>
              <w:t>Form</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Initial</w:t>
            </w:r>
          </w:p>
        </w:tc>
        <w:tc>
          <w:tcPr>
            <w:tcW w:w="4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Fee</w:t>
            </w: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4"/>
              </w:rPr>
              <w:t>Type</w:t>
            </w:r>
          </w:p>
        </w:tc>
        <w:tc>
          <w:tcPr>
            <w:tcW w:w="20" w:type="dxa"/>
            <w:vAlign w:val="bottom"/>
          </w:tcPr>
          <w:p>
            <w:pPr>
              <w:spacing w:after="0"/>
              <w:rPr>
                <w:sz w:val="24"/>
                <w:szCs w:val="24"/>
                <w:color w:val="auto"/>
              </w:rPr>
            </w:pPr>
          </w:p>
        </w:tc>
        <w:tc>
          <w:tcPr>
            <w:tcW w:w="106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7"/>
              </w:rPr>
              <w:t>Title</w:t>
            </w:r>
          </w:p>
        </w:tc>
        <w:tc>
          <w:tcPr>
            <w:tcW w:w="20" w:type="dxa"/>
            <w:vAlign w:val="bottom"/>
          </w:tcPr>
          <w:p>
            <w:pPr>
              <w:spacing w:after="0"/>
              <w:rPr>
                <w:sz w:val="24"/>
                <w:szCs w:val="24"/>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Securities</w:t>
            </w:r>
          </w:p>
        </w:tc>
        <w:tc>
          <w:tcPr>
            <w:tcW w:w="40" w:type="dxa"/>
            <w:vAlign w:val="bottom"/>
          </w:tcPr>
          <w:p>
            <w:pPr>
              <w:spacing w:after="0"/>
              <w:rPr>
                <w:sz w:val="24"/>
                <w:szCs w:val="24"/>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Offering</w:t>
            </w:r>
          </w:p>
        </w:tc>
        <w:tc>
          <w:tcPr>
            <w:tcW w:w="20" w:type="dxa"/>
            <w:vAlign w:val="bottom"/>
          </w:tcPr>
          <w:p>
            <w:pPr>
              <w:spacing w:after="0"/>
              <w:rPr>
                <w:sz w:val="24"/>
                <w:szCs w:val="24"/>
                <w:color w:val="auto"/>
              </w:rPr>
            </w:pPr>
          </w:p>
        </w:tc>
        <w:tc>
          <w:tcPr>
            <w:tcW w:w="88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w w:val="99"/>
              </w:rPr>
              <w:t>Fee Paid</w:t>
            </w: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ind w:left="160"/>
              <w:spacing w:after="0" w:line="215" w:lineRule="exact"/>
              <w:rPr>
                <w:sz w:val="20"/>
                <w:szCs w:val="20"/>
                <w:color w:val="auto"/>
              </w:rPr>
            </w:pPr>
            <w:r>
              <w:rPr>
                <w:rFonts w:ascii="Arial" w:cs="Arial" w:eastAsia="Arial" w:hAnsi="Arial"/>
                <w:sz w:val="19"/>
                <w:szCs w:val="19"/>
                <w:b w:val="1"/>
                <w:bCs w:val="1"/>
                <w:color w:val="auto"/>
              </w:rPr>
              <w:t>or Filer</w:t>
            </w:r>
          </w:p>
        </w:tc>
        <w:tc>
          <w:tcPr>
            <w:tcW w:w="20" w:type="dxa"/>
            <w:vAlign w:val="bottom"/>
          </w:tcPr>
          <w:p>
            <w:pPr>
              <w:spacing w:after="0"/>
              <w:rPr>
                <w:sz w:val="18"/>
                <w:szCs w:val="18"/>
                <w:color w:val="auto"/>
              </w:rPr>
            </w:pPr>
          </w:p>
        </w:tc>
        <w:tc>
          <w:tcPr>
            <w:tcW w:w="5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4"/>
              </w:rPr>
              <w:t>or</w:t>
            </w:r>
          </w:p>
        </w:tc>
        <w:tc>
          <w:tcPr>
            <w:tcW w:w="20" w:type="dxa"/>
            <w:vAlign w:val="bottom"/>
          </w:tcPr>
          <w:p>
            <w:pPr>
              <w:spacing w:after="0"/>
              <w:rPr>
                <w:sz w:val="18"/>
                <w:szCs w:val="18"/>
                <w:color w:val="auto"/>
              </w:rPr>
            </w:pPr>
          </w:p>
        </w:tc>
        <w:tc>
          <w:tcPr>
            <w:tcW w:w="7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7"/>
              </w:rPr>
              <w:t>File</w:t>
            </w: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8"/>
              </w:rPr>
              <w:t>Filing</w:t>
            </w:r>
          </w:p>
        </w:tc>
        <w:tc>
          <w:tcPr>
            <w:tcW w:w="40" w:type="dxa"/>
            <w:vAlign w:val="bottom"/>
          </w:tcPr>
          <w:p>
            <w:pPr>
              <w:spacing w:after="0"/>
              <w:rPr>
                <w:sz w:val="18"/>
                <w:szCs w:val="18"/>
                <w:color w:val="auto"/>
              </w:rPr>
            </w:pPr>
          </w:p>
        </w:tc>
        <w:tc>
          <w:tcPr>
            <w:tcW w:w="9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18"/>
                <w:szCs w:val="18"/>
                <w:color w:val="auto"/>
              </w:rPr>
            </w:pPr>
          </w:p>
        </w:tc>
        <w:tc>
          <w:tcPr>
            <w:tcW w:w="7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Offset</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Associated</w:t>
            </w:r>
          </w:p>
        </w:tc>
        <w:tc>
          <w:tcPr>
            <w:tcW w:w="20" w:type="dxa"/>
            <w:vAlign w:val="bottom"/>
          </w:tcPr>
          <w:p>
            <w:pPr>
              <w:spacing w:after="0"/>
              <w:rPr>
                <w:sz w:val="18"/>
                <w:szCs w:val="18"/>
                <w:color w:val="auto"/>
              </w:rPr>
            </w:pPr>
          </w:p>
        </w:tc>
        <w:tc>
          <w:tcPr>
            <w:tcW w:w="1060" w:type="dxa"/>
            <w:vAlign w:val="bottom"/>
            <w:shd w:val="clear" w:color="auto" w:fill="9ADAF6"/>
          </w:tcPr>
          <w:p>
            <w:pPr>
              <w:ind w:left="20"/>
              <w:spacing w:after="0" w:line="215" w:lineRule="exact"/>
              <w:rPr>
                <w:sz w:val="20"/>
                <w:szCs w:val="20"/>
                <w:color w:val="auto"/>
              </w:rPr>
            </w:pPr>
            <w:r>
              <w:rPr>
                <w:rFonts w:ascii="Arial" w:cs="Arial" w:eastAsia="Arial" w:hAnsi="Arial"/>
                <w:sz w:val="19"/>
                <w:szCs w:val="19"/>
                <w:b w:val="1"/>
                <w:bCs w:val="1"/>
                <w:color w:val="auto"/>
              </w:rPr>
              <w:t>Associated</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Associated</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Amount</w:t>
            </w:r>
          </w:p>
        </w:tc>
        <w:tc>
          <w:tcPr>
            <w:tcW w:w="20" w:type="dxa"/>
            <w:vAlign w:val="bottom"/>
          </w:tcPr>
          <w:p>
            <w:pPr>
              <w:spacing w:after="0"/>
              <w:rPr>
                <w:sz w:val="18"/>
                <w:szCs w:val="18"/>
                <w:color w:val="auto"/>
              </w:rPr>
            </w:pPr>
          </w:p>
        </w:tc>
        <w:tc>
          <w:tcPr>
            <w:tcW w:w="8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9"/>
              </w:rPr>
              <w:t>with Fee</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ind w:left="220"/>
              <w:spacing w:after="0" w:line="215" w:lineRule="exact"/>
              <w:rPr>
                <w:sz w:val="20"/>
                <w:szCs w:val="20"/>
                <w:color w:val="auto"/>
              </w:rPr>
            </w:pPr>
            <w:r>
              <w:rPr>
                <w:rFonts w:ascii="Arial" w:cs="Arial" w:eastAsia="Arial" w:hAnsi="Arial"/>
                <w:sz w:val="19"/>
                <w:szCs w:val="19"/>
                <w:b w:val="1"/>
                <w:bCs w:val="1"/>
                <w:color w:val="auto"/>
              </w:rPr>
              <w:t>Name</w:t>
            </w:r>
          </w:p>
        </w:tc>
        <w:tc>
          <w:tcPr>
            <w:tcW w:w="20" w:type="dxa"/>
            <w:vAlign w:val="bottom"/>
          </w:tcPr>
          <w:p>
            <w:pPr>
              <w:spacing w:after="0"/>
              <w:rPr>
                <w:sz w:val="18"/>
                <w:szCs w:val="18"/>
                <w:color w:val="auto"/>
              </w:rPr>
            </w:pPr>
          </w:p>
        </w:tc>
        <w:tc>
          <w:tcPr>
            <w:tcW w:w="5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8"/>
              </w:rPr>
              <w:t>Filing</w:t>
            </w:r>
          </w:p>
        </w:tc>
        <w:tc>
          <w:tcPr>
            <w:tcW w:w="20" w:type="dxa"/>
            <w:vAlign w:val="bottom"/>
          </w:tcPr>
          <w:p>
            <w:pPr>
              <w:spacing w:after="0"/>
              <w:rPr>
                <w:sz w:val="18"/>
                <w:szCs w:val="18"/>
                <w:color w:val="auto"/>
              </w:rPr>
            </w:pPr>
          </w:p>
        </w:tc>
        <w:tc>
          <w:tcPr>
            <w:tcW w:w="7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Date</w:t>
            </w:r>
          </w:p>
        </w:tc>
        <w:tc>
          <w:tcPr>
            <w:tcW w:w="40" w:type="dxa"/>
            <w:vAlign w:val="bottom"/>
          </w:tcPr>
          <w:p>
            <w:pPr>
              <w:spacing w:after="0"/>
              <w:rPr>
                <w:sz w:val="18"/>
                <w:szCs w:val="18"/>
                <w:color w:val="auto"/>
              </w:rPr>
            </w:pPr>
          </w:p>
        </w:tc>
        <w:tc>
          <w:tcPr>
            <w:tcW w:w="9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8"/>
                <w:szCs w:val="18"/>
                <w:color w:val="auto"/>
              </w:rPr>
            </w:pPr>
          </w:p>
        </w:tc>
        <w:tc>
          <w:tcPr>
            <w:tcW w:w="7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9"/>
              </w:rPr>
              <w:t>with Fee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9"/>
              </w:rPr>
              <w:t>with Fee</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9"/>
              </w:rPr>
              <w:t>with Fee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Associated</w:t>
            </w:r>
          </w:p>
        </w:tc>
        <w:tc>
          <w:tcPr>
            <w:tcW w:w="20" w:type="dxa"/>
            <w:vAlign w:val="bottom"/>
          </w:tcPr>
          <w:p>
            <w:pPr>
              <w:spacing w:after="0"/>
              <w:rPr>
                <w:sz w:val="18"/>
                <w:szCs w:val="18"/>
                <w:color w:val="auto"/>
              </w:rPr>
            </w:pPr>
          </w:p>
        </w:tc>
        <w:tc>
          <w:tcPr>
            <w:tcW w:w="88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w w:val="98"/>
              </w:rPr>
              <w:t>Offset</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Type</w:t>
            </w:r>
          </w:p>
        </w:tc>
        <w:tc>
          <w:tcPr>
            <w:tcW w:w="20" w:type="dxa"/>
            <w:vAlign w:val="bottom"/>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06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20" w:type="dxa"/>
            <w:vAlign w:val="bottom"/>
          </w:tcPr>
          <w:p>
            <w:pPr>
              <w:spacing w:after="0"/>
              <w:rPr>
                <w:sz w:val="11"/>
                <w:szCs w:val="11"/>
                <w:color w:val="auto"/>
              </w:rPr>
            </w:pPr>
          </w:p>
        </w:tc>
        <w:tc>
          <w:tcPr>
            <w:tcW w:w="10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Offset</w:t>
            </w:r>
          </w:p>
        </w:tc>
        <w:tc>
          <w:tcPr>
            <w:tcW w:w="40" w:type="dxa"/>
            <w:vAlign w:val="bottom"/>
          </w:tcPr>
          <w:p>
            <w:pPr>
              <w:spacing w:after="0"/>
              <w:rPr>
                <w:sz w:val="11"/>
                <w:szCs w:val="11"/>
                <w:color w:val="auto"/>
              </w:rPr>
            </w:pPr>
          </w:p>
        </w:tc>
        <w:tc>
          <w:tcPr>
            <w:tcW w:w="104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with Fee</w:t>
            </w:r>
          </w:p>
        </w:tc>
        <w:tc>
          <w:tcPr>
            <w:tcW w:w="20" w:type="dxa"/>
            <w:vAlign w:val="bottom"/>
          </w:tcPr>
          <w:p>
            <w:pPr>
              <w:spacing w:after="0"/>
              <w:rPr>
                <w:sz w:val="11"/>
                <w:szCs w:val="11"/>
                <w:color w:val="auto"/>
              </w:rPr>
            </w:pPr>
          </w:p>
        </w:tc>
        <w:tc>
          <w:tcPr>
            <w:tcW w:w="880" w:type="dxa"/>
            <w:vAlign w:val="bottom"/>
            <w:shd w:val="clear" w:color="auto" w:fill="9ADAF6"/>
          </w:tcPr>
          <w:p>
            <w:pPr>
              <w:jc w:val="center"/>
              <w:spacing w:after="0" w:line="130" w:lineRule="exact"/>
              <w:rPr>
                <w:sz w:val="20"/>
                <w:szCs w:val="20"/>
                <w:color w:val="auto"/>
              </w:rPr>
            </w:pPr>
            <w:r>
              <w:rPr>
                <w:rFonts w:ascii="Arial" w:cs="Arial" w:eastAsia="Arial" w:hAnsi="Arial"/>
                <w:sz w:val="15"/>
                <w:szCs w:val="15"/>
                <w:b w:val="1"/>
                <w:bCs w:val="1"/>
                <w:color w:val="auto"/>
              </w:rPr>
              <w:t>Source</w:t>
            </w: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Claimed</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5" w:lineRule="exact"/>
              <w:rPr>
                <w:sz w:val="20"/>
                <w:szCs w:val="20"/>
                <w:color w:val="auto"/>
              </w:rPr>
            </w:pPr>
            <w:r>
              <w:rPr>
                <w:rFonts w:ascii="Arial" w:cs="Arial" w:eastAsia="Arial" w:hAnsi="Arial"/>
                <w:sz w:val="19"/>
                <w:szCs w:val="19"/>
                <w:b w:val="1"/>
                <w:bCs w:val="1"/>
                <w:color w:val="auto"/>
              </w:rPr>
              <w:t>Offset</w:t>
            </w: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0" w:type="dxa"/>
            <w:vAlign w:val="bottom"/>
            <w:tcBorders>
              <w:left w:val="single" w:sz="8" w:color="auto"/>
            </w:tcBorders>
          </w:tcPr>
          <w:p>
            <w:pPr>
              <w:spacing w:after="0"/>
              <w:rPr>
                <w:sz w:val="21"/>
                <w:szCs w:val="21"/>
                <w:color w:val="auto"/>
              </w:rPr>
            </w:pPr>
          </w:p>
        </w:tc>
        <w:tc>
          <w:tcPr>
            <w:tcW w:w="7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9"/>
                <w:szCs w:val="19"/>
                <w:b w:val="1"/>
                <w:bCs w:val="1"/>
                <w:color w:val="auto"/>
              </w:rPr>
              <w:t>Claimed</w:t>
            </w:r>
          </w:p>
        </w:tc>
        <w:tc>
          <w:tcPr>
            <w:tcW w:w="20" w:type="dxa"/>
            <w:vAlign w:val="bottom"/>
          </w:tcPr>
          <w:p>
            <w:pPr>
              <w:spacing w:after="0"/>
              <w:rPr>
                <w:sz w:val="21"/>
                <w:szCs w:val="21"/>
                <w:color w:val="auto"/>
              </w:rPr>
            </w:pPr>
          </w:p>
        </w:tc>
        <w:tc>
          <w:tcPr>
            <w:tcW w:w="880" w:type="dxa"/>
            <w:vAlign w:val="bottom"/>
            <w:shd w:val="clear" w:color="auto" w:fill="9ADAF6"/>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gridSpan w:val="5"/>
          </w:tcPr>
          <w:p>
            <w:pPr>
              <w:jc w:val="center"/>
              <w:ind w:right="27"/>
              <w:spacing w:after="0"/>
              <w:rPr>
                <w:sz w:val="20"/>
                <w:szCs w:val="20"/>
                <w:color w:val="auto"/>
              </w:rPr>
            </w:pPr>
            <w:r>
              <w:rPr>
                <w:rFonts w:ascii="Arial" w:cs="Arial" w:eastAsia="Arial" w:hAnsi="Arial"/>
                <w:sz w:val="19"/>
                <w:szCs w:val="19"/>
                <w:b w:val="1"/>
                <w:bCs w:val="1"/>
                <w:color w:val="auto"/>
                <w:w w:val="99"/>
              </w:rPr>
              <w:t>Rule 457(p)</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ind w:left="20"/>
              <w:spacing w:after="0" w:line="210" w:lineRule="exact"/>
              <w:rPr>
                <w:sz w:val="20"/>
                <w:szCs w:val="20"/>
                <w:color w:val="auto"/>
              </w:rPr>
            </w:pPr>
            <w:r>
              <w:rPr>
                <w:rFonts w:ascii="Arial" w:cs="Arial" w:eastAsia="Arial" w:hAnsi="Arial"/>
                <w:sz w:val="19"/>
                <w:szCs w:val="19"/>
                <w:color w:val="auto"/>
              </w:rPr>
              <w:t>Common</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E7E7E2"/>
          </w:tcPr>
          <w:p>
            <w:pPr>
              <w:spacing w:after="0" w:line="215" w:lineRule="exact"/>
              <w:rPr>
                <w:sz w:val="20"/>
                <w:szCs w:val="20"/>
                <w:color w:val="auto"/>
              </w:rPr>
            </w:pPr>
            <w:r>
              <w:rPr>
                <w:rFonts w:ascii="Arial" w:cs="Arial" w:eastAsia="Arial" w:hAnsi="Arial"/>
                <w:sz w:val="19"/>
                <w:szCs w:val="19"/>
                <w:color w:val="auto"/>
              </w:rPr>
              <w:t>Fee</w:t>
            </w:r>
          </w:p>
        </w:tc>
        <w:tc>
          <w:tcPr>
            <w:tcW w:w="20" w:type="dxa"/>
            <w:vAlign w:val="bottom"/>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Safehold</w:t>
            </w: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9"/>
              </w:rPr>
              <w:t>333-</w:t>
            </w: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ind w:left="20"/>
              <w:spacing w:after="0" w:line="215" w:lineRule="exact"/>
              <w:rPr>
                <w:sz w:val="20"/>
                <w:szCs w:val="20"/>
                <w:color w:val="auto"/>
              </w:rPr>
            </w:pPr>
            <w:r>
              <w:rPr>
                <w:rFonts w:ascii="Arial" w:cs="Arial" w:eastAsia="Arial" w:hAnsi="Arial"/>
                <w:sz w:val="19"/>
                <w:szCs w:val="19"/>
                <w:color w:val="auto"/>
              </w:rPr>
              <w:t>Stock,</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9"/>
                <w:szCs w:val="19"/>
                <w:color w:val="auto"/>
              </w:rPr>
              <w:t>Offset</w:t>
            </w:r>
          </w:p>
        </w:tc>
        <w:tc>
          <w:tcPr>
            <w:tcW w:w="20" w:type="dxa"/>
            <w:vAlign w:val="bottom"/>
          </w:tcPr>
          <w:p>
            <w:pPr>
              <w:spacing w:after="0"/>
              <w:rPr>
                <w:sz w:val="9"/>
                <w:szCs w:val="9"/>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w w:val="94"/>
              </w:rPr>
              <w:t>1</w:t>
            </w:r>
          </w:p>
        </w:tc>
        <w:tc>
          <w:tcPr>
            <w:tcW w:w="20" w:type="dxa"/>
            <w:vAlign w:val="bottom"/>
          </w:tcPr>
          <w:p>
            <w:pPr>
              <w:spacing w:after="0"/>
              <w:rPr>
                <w:sz w:val="9"/>
                <w:szCs w:val="9"/>
                <w:color w:val="auto"/>
              </w:rPr>
            </w:pPr>
          </w:p>
        </w:tc>
        <w:tc>
          <w:tcPr>
            <w:tcW w:w="9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S-3</w:t>
            </w:r>
          </w:p>
        </w:tc>
        <w:tc>
          <w:tcPr>
            <w:tcW w:w="20" w:type="dxa"/>
            <w:vAlign w:val="bottom"/>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rPr>
              <w:t>04/14/2023</w:t>
            </w:r>
          </w:p>
        </w:tc>
        <w:tc>
          <w:tcPr>
            <w:tcW w:w="4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Equity</w:t>
            </w:r>
          </w:p>
        </w:tc>
        <w:tc>
          <w:tcPr>
            <w:tcW w:w="20" w:type="dxa"/>
            <w:vAlign w:val="bottom"/>
          </w:tcPr>
          <w:p>
            <w:pPr>
              <w:spacing w:after="0"/>
              <w:rPr>
                <w:sz w:val="9"/>
                <w:szCs w:val="9"/>
                <w:color w:val="auto"/>
              </w:rPr>
            </w:pPr>
          </w:p>
        </w:tc>
        <w:tc>
          <w:tcPr>
            <w:tcW w:w="106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$0.01 par</w:t>
            </w:r>
          </w:p>
        </w:tc>
        <w:tc>
          <w:tcPr>
            <w:tcW w:w="20" w:type="dxa"/>
            <w:vAlign w:val="bottom"/>
          </w:tcPr>
          <w:p>
            <w:pPr>
              <w:spacing w:after="0"/>
              <w:rPr>
                <w:sz w:val="9"/>
                <w:szCs w:val="9"/>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4,248,435</w:t>
            </w: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ind w:left="20"/>
              <w:spacing w:after="0" w:line="191" w:lineRule="exact"/>
              <w:rPr>
                <w:sz w:val="20"/>
                <w:szCs w:val="20"/>
                <w:color w:val="auto"/>
              </w:rPr>
            </w:pPr>
            <w:r>
              <w:rPr>
                <w:rFonts w:ascii="Arial" w:cs="Arial" w:eastAsia="Arial" w:hAnsi="Arial"/>
                <w:sz w:val="19"/>
                <w:szCs w:val="19"/>
                <w:color w:val="auto"/>
              </w:rPr>
              <w:t>Inc.</w:t>
            </w:r>
          </w:p>
        </w:tc>
        <w:tc>
          <w:tcPr>
            <w:tcW w:w="20" w:type="dxa"/>
            <w:vAlign w:val="bottom"/>
          </w:tcPr>
          <w:p>
            <w:pPr>
              <w:spacing w:after="0"/>
              <w:rPr>
                <w:sz w:val="16"/>
                <w:szCs w:val="16"/>
                <w:color w:val="auto"/>
              </w:rPr>
            </w:pPr>
          </w:p>
        </w:tc>
        <w:tc>
          <w:tcPr>
            <w:tcW w:w="5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jc w:val="center"/>
              <w:spacing w:after="0" w:line="191" w:lineRule="exact"/>
              <w:rPr>
                <w:sz w:val="20"/>
                <w:szCs w:val="20"/>
                <w:color w:val="auto"/>
              </w:rPr>
            </w:pPr>
            <w:r>
              <w:rPr>
                <w:rFonts w:ascii="Arial" w:cs="Arial" w:eastAsia="Arial" w:hAnsi="Arial"/>
                <w:sz w:val="19"/>
                <w:szCs w:val="19"/>
                <w:color w:val="auto"/>
                <w:w w:val="94"/>
              </w:rPr>
              <w:t>271113</w:t>
            </w:r>
          </w:p>
        </w:tc>
        <w:tc>
          <w:tcPr>
            <w:tcW w:w="2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jc w:val="right"/>
              <w:spacing w:after="0" w:line="191" w:lineRule="exact"/>
              <w:rPr>
                <w:sz w:val="20"/>
                <w:szCs w:val="20"/>
                <w:color w:val="auto"/>
              </w:rPr>
            </w:pPr>
            <w:r>
              <w:rPr>
                <w:rFonts w:ascii="Arial" w:cs="Arial" w:eastAsia="Arial" w:hAnsi="Arial"/>
                <w:sz w:val="19"/>
                <w:szCs w:val="19"/>
                <w:color w:val="auto"/>
              </w:rPr>
              <w:t>5,351.55</w:t>
            </w:r>
          </w:p>
        </w:tc>
        <w:tc>
          <w:tcPr>
            <w:tcW w:w="20" w:type="dxa"/>
            <w:vAlign w:val="bottom"/>
          </w:tcPr>
          <w:p>
            <w:pPr>
              <w:spacing w:after="0"/>
              <w:rPr>
                <w:sz w:val="16"/>
                <w:szCs w:val="16"/>
                <w:color w:val="auto"/>
              </w:rPr>
            </w:pPr>
          </w:p>
        </w:tc>
        <w:tc>
          <w:tcPr>
            <w:tcW w:w="10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 w:type="dxa"/>
            <w:vAlign w:val="bottom"/>
            <w:tcBorders>
              <w:left w:val="single" w:sz="8" w:color="auto"/>
            </w:tcBorders>
          </w:tcPr>
          <w:p>
            <w:pPr>
              <w:spacing w:after="0"/>
              <w:rPr>
                <w:sz w:val="11"/>
                <w:szCs w:val="11"/>
                <w:color w:val="auto"/>
              </w:rPr>
            </w:pPr>
          </w:p>
        </w:tc>
        <w:tc>
          <w:tcPr>
            <w:tcW w:w="720" w:type="dxa"/>
            <w:vAlign w:val="bottom"/>
            <w:shd w:val="clear" w:color="auto" w:fill="E7E7E2"/>
          </w:tcPr>
          <w:p>
            <w:pPr>
              <w:spacing w:after="0" w:line="131" w:lineRule="exact"/>
              <w:rPr>
                <w:sz w:val="20"/>
                <w:szCs w:val="20"/>
                <w:color w:val="auto"/>
              </w:rPr>
            </w:pPr>
            <w:r>
              <w:rPr>
                <w:rFonts w:ascii="Arial" w:cs="Arial" w:eastAsia="Arial" w:hAnsi="Arial"/>
                <w:sz w:val="15"/>
                <w:szCs w:val="15"/>
                <w:color w:val="auto"/>
              </w:rPr>
              <w:t>Claims</w:t>
            </w: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shd w:val="clear" w:color="auto" w:fill="E7E7E2"/>
          </w:tcPr>
          <w:p>
            <w:pPr>
              <w:ind w:left="20"/>
              <w:spacing w:after="0" w:line="131" w:lineRule="exact"/>
              <w:rPr>
                <w:sz w:val="20"/>
                <w:szCs w:val="20"/>
                <w:color w:val="auto"/>
              </w:rPr>
            </w:pPr>
            <w:r>
              <w:rPr>
                <w:rFonts w:ascii="Arial" w:cs="Arial" w:eastAsia="Arial" w:hAnsi="Arial"/>
                <w:sz w:val="15"/>
                <w:szCs w:val="15"/>
                <w:color w:val="auto"/>
              </w:rPr>
              <w:t>value per</w:t>
            </w: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7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9"/>
                <w:szCs w:val="19"/>
                <w:color w:val="auto"/>
              </w:rPr>
              <w:t>share</w:t>
            </w:r>
          </w:p>
        </w:tc>
        <w:tc>
          <w:tcPr>
            <w:tcW w:w="2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ind w:left="20"/>
              <w:spacing w:after="0" w:line="204" w:lineRule="exact"/>
              <w:rPr>
                <w:sz w:val="20"/>
                <w:szCs w:val="20"/>
                <w:color w:val="auto"/>
              </w:rPr>
            </w:pPr>
            <w:r>
              <w:rPr>
                <w:rFonts w:ascii="Arial" w:cs="Arial" w:eastAsia="Arial" w:hAnsi="Arial"/>
                <w:sz w:val="19"/>
                <w:szCs w:val="19"/>
                <w:color w:val="auto"/>
              </w:rPr>
              <w:t>Common</w:t>
            </w: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shd w:val="clear" w:color="auto" w:fill="E7E7E2"/>
          </w:tcPr>
          <w:p>
            <w:pPr>
              <w:spacing w:after="0" w:line="215" w:lineRule="exact"/>
              <w:rPr>
                <w:sz w:val="20"/>
                <w:szCs w:val="20"/>
                <w:color w:val="auto"/>
              </w:rPr>
            </w:pPr>
            <w:r>
              <w:rPr>
                <w:rFonts w:ascii="Arial" w:cs="Arial" w:eastAsia="Arial" w:hAnsi="Arial"/>
                <w:sz w:val="19"/>
                <w:szCs w:val="19"/>
                <w:color w:val="auto"/>
              </w:rPr>
              <w:t>Fee</w:t>
            </w:r>
          </w:p>
        </w:tc>
        <w:tc>
          <w:tcPr>
            <w:tcW w:w="20" w:type="dxa"/>
            <w:vAlign w:val="bottom"/>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Safehold</w:t>
            </w: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9"/>
              </w:rPr>
              <w:t>333-</w:t>
            </w: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ind w:left="20"/>
              <w:spacing w:after="0" w:line="215" w:lineRule="exact"/>
              <w:rPr>
                <w:sz w:val="20"/>
                <w:szCs w:val="20"/>
                <w:color w:val="auto"/>
              </w:rPr>
            </w:pPr>
            <w:r>
              <w:rPr>
                <w:rFonts w:ascii="Arial" w:cs="Arial" w:eastAsia="Arial" w:hAnsi="Arial"/>
                <w:sz w:val="19"/>
                <w:szCs w:val="19"/>
                <w:color w:val="auto"/>
              </w:rPr>
              <w:t>Stock,</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720" w:type="dxa"/>
            <w:vAlign w:val="bottom"/>
            <w:shd w:val="clear" w:color="auto" w:fill="E7E7E2"/>
          </w:tcPr>
          <w:p>
            <w:pPr>
              <w:spacing w:after="0" w:line="191" w:lineRule="exact"/>
              <w:rPr>
                <w:sz w:val="20"/>
                <w:szCs w:val="20"/>
                <w:color w:val="auto"/>
              </w:rPr>
            </w:pPr>
            <w:r>
              <w:rPr>
                <w:rFonts w:ascii="Arial" w:cs="Arial" w:eastAsia="Arial" w:hAnsi="Arial"/>
                <w:sz w:val="19"/>
                <w:szCs w:val="19"/>
                <w:color w:val="auto"/>
              </w:rPr>
              <w:t>Offset</w:t>
            </w:r>
          </w:p>
        </w:tc>
        <w:tc>
          <w:tcPr>
            <w:tcW w:w="20" w:type="dxa"/>
            <w:vAlign w:val="bottom"/>
          </w:tcPr>
          <w:p>
            <w:pPr>
              <w:spacing w:after="0"/>
              <w:rPr>
                <w:sz w:val="16"/>
                <w:szCs w:val="16"/>
                <w:color w:val="auto"/>
              </w:rPr>
            </w:pPr>
          </w:p>
        </w:tc>
        <w:tc>
          <w:tcPr>
            <w:tcW w:w="140" w:type="dxa"/>
            <w:vAlign w:val="bottom"/>
            <w:shd w:val="clear" w:color="auto" w:fill="E7E7E2"/>
          </w:tcPr>
          <w:p>
            <w:pPr>
              <w:jc w:val="right"/>
              <w:spacing w:after="0" w:line="191" w:lineRule="exact"/>
              <w:rPr>
                <w:sz w:val="20"/>
                <w:szCs w:val="20"/>
                <w:color w:val="auto"/>
              </w:rPr>
            </w:pPr>
            <w:r>
              <w:rPr>
                <w:rFonts w:ascii="Arial" w:cs="Arial" w:eastAsia="Arial" w:hAnsi="Arial"/>
                <w:sz w:val="19"/>
                <w:szCs w:val="19"/>
                <w:color w:val="auto"/>
                <w:w w:val="94"/>
              </w:rPr>
              <w:t>2</w:t>
            </w:r>
          </w:p>
        </w:tc>
        <w:tc>
          <w:tcPr>
            <w:tcW w:w="20" w:type="dxa"/>
            <w:vAlign w:val="bottom"/>
          </w:tcPr>
          <w:p>
            <w:pPr>
              <w:spacing w:after="0"/>
              <w:rPr>
                <w:sz w:val="16"/>
                <w:szCs w:val="16"/>
                <w:color w:val="auto"/>
              </w:rPr>
            </w:pPr>
          </w:p>
        </w:tc>
        <w:tc>
          <w:tcPr>
            <w:tcW w:w="98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jc w:val="center"/>
              <w:spacing w:after="0" w:line="191" w:lineRule="exact"/>
              <w:rPr>
                <w:sz w:val="20"/>
                <w:szCs w:val="20"/>
                <w:color w:val="auto"/>
              </w:rPr>
            </w:pPr>
            <w:r>
              <w:rPr>
                <w:rFonts w:ascii="Arial" w:cs="Arial" w:eastAsia="Arial" w:hAnsi="Arial"/>
                <w:sz w:val="19"/>
                <w:szCs w:val="19"/>
                <w:color w:val="auto"/>
              </w:rPr>
              <w:t>S-3</w:t>
            </w:r>
          </w:p>
        </w:tc>
        <w:tc>
          <w:tcPr>
            <w:tcW w:w="20" w:type="dxa"/>
            <w:vAlign w:val="bottom"/>
          </w:tcPr>
          <w:p>
            <w:pPr>
              <w:spacing w:after="0"/>
              <w:rPr>
                <w:sz w:val="16"/>
                <w:szCs w:val="16"/>
                <w:color w:val="auto"/>
              </w:rPr>
            </w:pPr>
          </w:p>
        </w:tc>
        <w:tc>
          <w:tcPr>
            <w:tcW w:w="76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shd w:val="clear" w:color="auto" w:fill="E7E7E2"/>
          </w:tcPr>
          <w:p>
            <w:pPr>
              <w:jc w:val="center"/>
              <w:spacing w:after="0" w:line="191" w:lineRule="exact"/>
              <w:rPr>
                <w:sz w:val="20"/>
                <w:szCs w:val="20"/>
                <w:color w:val="auto"/>
              </w:rPr>
            </w:pPr>
            <w:r>
              <w:rPr>
                <w:rFonts w:ascii="Arial" w:cs="Arial" w:eastAsia="Arial" w:hAnsi="Arial"/>
                <w:sz w:val="19"/>
                <w:szCs w:val="19"/>
                <w:color w:val="auto"/>
              </w:rPr>
              <w:t>04/14/2023</w:t>
            </w:r>
          </w:p>
        </w:tc>
        <w:tc>
          <w:tcPr>
            <w:tcW w:w="40" w:type="dxa"/>
            <w:vAlign w:val="bottom"/>
          </w:tcPr>
          <w:p>
            <w:pPr>
              <w:spacing w:after="0"/>
              <w:rPr>
                <w:sz w:val="16"/>
                <w:szCs w:val="16"/>
                <w:color w:val="auto"/>
              </w:rPr>
            </w:pPr>
          </w:p>
        </w:tc>
        <w:tc>
          <w:tcPr>
            <w:tcW w:w="9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jc w:val="right"/>
              <w:spacing w:after="0" w:line="191" w:lineRule="exact"/>
              <w:rPr>
                <w:sz w:val="20"/>
                <w:szCs w:val="20"/>
                <w:color w:val="auto"/>
              </w:rPr>
            </w:pPr>
            <w:r>
              <w:rPr>
                <w:rFonts w:ascii="Arial" w:cs="Arial" w:eastAsia="Arial" w:hAnsi="Arial"/>
                <w:sz w:val="19"/>
                <w:szCs w:val="19"/>
                <w:color w:val="auto"/>
              </w:rPr>
              <w:t>$ 581.23</w:t>
            </w: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91" w:lineRule="exact"/>
              <w:rPr>
                <w:sz w:val="20"/>
                <w:szCs w:val="20"/>
                <w:color w:val="auto"/>
              </w:rPr>
            </w:pPr>
            <w:r>
              <w:rPr>
                <w:rFonts w:ascii="Arial" w:cs="Arial" w:eastAsia="Arial" w:hAnsi="Arial"/>
                <w:sz w:val="19"/>
                <w:szCs w:val="19"/>
                <w:color w:val="auto"/>
              </w:rPr>
              <w:t>Equity</w:t>
            </w:r>
          </w:p>
        </w:tc>
        <w:tc>
          <w:tcPr>
            <w:tcW w:w="20" w:type="dxa"/>
            <w:vAlign w:val="bottom"/>
          </w:tcPr>
          <w:p>
            <w:pPr>
              <w:spacing w:after="0"/>
              <w:rPr>
                <w:sz w:val="16"/>
                <w:szCs w:val="16"/>
                <w:color w:val="auto"/>
              </w:rPr>
            </w:pPr>
          </w:p>
        </w:tc>
        <w:tc>
          <w:tcPr>
            <w:tcW w:w="1060" w:type="dxa"/>
            <w:vAlign w:val="bottom"/>
            <w:shd w:val="clear" w:color="auto" w:fill="E7E7E2"/>
          </w:tcPr>
          <w:p>
            <w:pPr>
              <w:ind w:left="20"/>
              <w:spacing w:after="0" w:line="191" w:lineRule="exact"/>
              <w:rPr>
                <w:sz w:val="20"/>
                <w:szCs w:val="20"/>
                <w:color w:val="auto"/>
              </w:rPr>
            </w:pPr>
            <w:r>
              <w:rPr>
                <w:rFonts w:ascii="Arial" w:cs="Arial" w:eastAsia="Arial" w:hAnsi="Arial"/>
                <w:sz w:val="19"/>
                <w:szCs w:val="19"/>
                <w:color w:val="auto"/>
              </w:rPr>
              <w:t>$0.01 par</w:t>
            </w:r>
          </w:p>
        </w:tc>
        <w:tc>
          <w:tcPr>
            <w:tcW w:w="20" w:type="dxa"/>
            <w:vAlign w:val="bottom"/>
          </w:tcPr>
          <w:p>
            <w:pPr>
              <w:spacing w:after="0"/>
              <w:rPr>
                <w:sz w:val="16"/>
                <w:szCs w:val="16"/>
                <w:color w:val="auto"/>
              </w:rPr>
            </w:pPr>
          </w:p>
        </w:tc>
        <w:tc>
          <w:tcPr>
            <w:tcW w:w="1040" w:type="dxa"/>
            <w:vAlign w:val="bottom"/>
            <w:shd w:val="clear" w:color="auto" w:fill="E7E7E2"/>
          </w:tcPr>
          <w:p>
            <w:pPr>
              <w:jc w:val="right"/>
              <w:spacing w:after="0" w:line="191" w:lineRule="exact"/>
              <w:rPr>
                <w:sz w:val="20"/>
                <w:szCs w:val="20"/>
                <w:color w:val="auto"/>
              </w:rPr>
            </w:pPr>
            <w:r>
              <w:rPr>
                <w:rFonts w:ascii="Arial" w:cs="Arial" w:eastAsia="Arial" w:hAnsi="Arial"/>
                <w:sz w:val="19"/>
                <w:szCs w:val="19"/>
                <w:color w:val="auto"/>
              </w:rPr>
              <w:t>5,405,406</w:t>
            </w:r>
          </w:p>
        </w:tc>
        <w:tc>
          <w:tcPr>
            <w:tcW w:w="4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9"/>
                <w:szCs w:val="19"/>
                <w:color w:val="auto"/>
              </w:rPr>
              <w:t>Claims</w:t>
            </w:r>
          </w:p>
        </w:tc>
        <w:tc>
          <w:tcPr>
            <w:tcW w:w="20" w:type="dxa"/>
            <w:vAlign w:val="bottom"/>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E7E7E2"/>
          </w:tcPr>
          <w:p>
            <w:pPr>
              <w:ind w:left="20"/>
              <w:spacing w:after="0" w:line="215" w:lineRule="exact"/>
              <w:rPr>
                <w:sz w:val="20"/>
                <w:szCs w:val="20"/>
                <w:color w:val="auto"/>
              </w:rPr>
            </w:pPr>
            <w:r>
              <w:rPr>
                <w:rFonts w:ascii="Arial" w:cs="Arial" w:eastAsia="Arial" w:hAnsi="Arial"/>
                <w:sz w:val="19"/>
                <w:szCs w:val="19"/>
                <w:color w:val="auto"/>
              </w:rPr>
              <w:t>Inc.</w:t>
            </w:r>
          </w:p>
        </w:tc>
        <w:tc>
          <w:tcPr>
            <w:tcW w:w="20" w:type="dxa"/>
            <w:vAlign w:val="bottom"/>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jc w:val="center"/>
              <w:spacing w:after="0" w:line="215" w:lineRule="exact"/>
              <w:rPr>
                <w:sz w:val="20"/>
                <w:szCs w:val="20"/>
                <w:color w:val="auto"/>
              </w:rPr>
            </w:pPr>
            <w:r>
              <w:rPr>
                <w:rFonts w:ascii="Arial" w:cs="Arial" w:eastAsia="Arial" w:hAnsi="Arial"/>
                <w:sz w:val="19"/>
                <w:szCs w:val="19"/>
                <w:color w:val="auto"/>
                <w:w w:val="94"/>
              </w:rPr>
              <w:t>271113</w:t>
            </w:r>
          </w:p>
        </w:tc>
        <w:tc>
          <w:tcPr>
            <w:tcW w:w="2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value per</w:t>
            </w:r>
          </w:p>
        </w:tc>
        <w:tc>
          <w:tcPr>
            <w:tcW w:w="2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20" w:type="dxa"/>
            <w:vAlign w:val="bottom"/>
            <w:vMerge w:val="continue"/>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vMerge w:val="continue"/>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shd w:val="clear" w:color="auto" w:fill="E7E7E2"/>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7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E7E7E2"/>
          </w:tcPr>
          <w:p>
            <w:pPr>
              <w:ind w:left="20"/>
              <w:spacing w:after="0"/>
              <w:rPr>
                <w:sz w:val="20"/>
                <w:szCs w:val="20"/>
                <w:color w:val="auto"/>
              </w:rPr>
            </w:pPr>
            <w:r>
              <w:rPr>
                <w:rFonts w:ascii="Arial" w:cs="Arial" w:eastAsia="Arial" w:hAnsi="Arial"/>
                <w:sz w:val="19"/>
                <w:szCs w:val="19"/>
                <w:color w:val="auto"/>
              </w:rPr>
              <w:t>share</w:t>
            </w:r>
          </w:p>
        </w:tc>
        <w:tc>
          <w:tcPr>
            <w:tcW w:w="2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shd w:val="clear" w:color="auto" w:fill="E7E7E2"/>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20" w:type="dxa"/>
            <w:vAlign w:val="bottom"/>
            <w:shd w:val="clear" w:color="auto" w:fill="E7E7E2"/>
          </w:tcPr>
          <w:p>
            <w:pPr>
              <w:spacing w:after="0" w:line="204" w:lineRule="exact"/>
              <w:rPr>
                <w:sz w:val="20"/>
                <w:szCs w:val="20"/>
                <w:color w:val="auto"/>
              </w:rPr>
            </w:pPr>
            <w:r>
              <w:rPr>
                <w:rFonts w:ascii="Arial" w:cs="Arial" w:eastAsia="Arial" w:hAnsi="Arial"/>
                <w:sz w:val="19"/>
                <w:szCs w:val="19"/>
                <w:color w:val="auto"/>
              </w:rPr>
              <w:t>Fee</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Safehold</w:t>
            </w: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9"/>
              </w:rPr>
              <w:t>333-</w:t>
            </w: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restart"/>
            <w:shd w:val="clear" w:color="auto" w:fill="E7E7E2"/>
          </w:tcPr>
          <w:p>
            <w:pPr>
              <w:spacing w:after="0" w:line="215" w:lineRule="exact"/>
              <w:rPr>
                <w:sz w:val="20"/>
                <w:szCs w:val="20"/>
                <w:color w:val="auto"/>
              </w:rPr>
            </w:pPr>
            <w:r>
              <w:rPr>
                <w:rFonts w:ascii="Arial" w:cs="Arial" w:eastAsia="Arial" w:hAnsi="Arial"/>
                <w:sz w:val="19"/>
                <w:szCs w:val="19"/>
                <w:color w:val="auto"/>
              </w:rPr>
              <w:t>Offset</w:t>
            </w:r>
          </w:p>
        </w:tc>
        <w:tc>
          <w:tcPr>
            <w:tcW w:w="20" w:type="dxa"/>
            <w:vAlign w:val="bottom"/>
          </w:tcPr>
          <w:p>
            <w:pPr>
              <w:spacing w:after="0"/>
              <w:rPr>
                <w:sz w:val="9"/>
                <w:szCs w:val="9"/>
                <w:color w:val="auto"/>
              </w:rPr>
            </w:pPr>
          </w:p>
        </w:tc>
        <w:tc>
          <w:tcPr>
            <w:tcW w:w="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restart"/>
            <w:shd w:val="clear" w:color="auto" w:fill="E7E7E2"/>
          </w:tcPr>
          <w:p>
            <w:pPr>
              <w:jc w:val="center"/>
              <w:spacing w:after="0" w:line="215" w:lineRule="exact"/>
              <w:rPr>
                <w:sz w:val="20"/>
                <w:szCs w:val="20"/>
                <w:color w:val="auto"/>
              </w:rPr>
            </w:pPr>
            <w:r>
              <w:rPr>
                <w:rFonts w:ascii="Arial" w:cs="Arial" w:eastAsia="Arial" w:hAnsi="Arial"/>
                <w:sz w:val="19"/>
                <w:szCs w:val="19"/>
                <w:color w:val="auto"/>
              </w:rPr>
              <w:t>S-3</w:t>
            </w:r>
          </w:p>
        </w:tc>
        <w:tc>
          <w:tcPr>
            <w:tcW w:w="20" w:type="dxa"/>
            <w:vAlign w:val="bottom"/>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restart"/>
            <w:shd w:val="clear" w:color="auto" w:fill="E7E7E2"/>
          </w:tcPr>
          <w:p>
            <w:pPr>
              <w:jc w:val="center"/>
              <w:spacing w:after="0" w:line="215" w:lineRule="exact"/>
              <w:rPr>
                <w:sz w:val="20"/>
                <w:szCs w:val="20"/>
                <w:color w:val="auto"/>
              </w:rPr>
            </w:pPr>
            <w:r>
              <w:rPr>
                <w:rFonts w:ascii="Arial" w:cs="Arial" w:eastAsia="Arial" w:hAnsi="Arial"/>
                <w:sz w:val="19"/>
                <w:szCs w:val="19"/>
                <w:color w:val="auto"/>
                <w:w w:val="98"/>
              </w:rPr>
              <w:t>04/14/2023</w:t>
            </w: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Inc.</w:t>
            </w:r>
          </w:p>
        </w:tc>
        <w:tc>
          <w:tcPr>
            <w:tcW w:w="20" w:type="dxa"/>
            <w:vAlign w:val="bottom"/>
          </w:tcPr>
          <w:p>
            <w:pPr>
              <w:spacing w:after="0"/>
              <w:rPr>
                <w:sz w:val="9"/>
                <w:szCs w:val="9"/>
                <w:color w:val="auto"/>
              </w:rPr>
            </w:pPr>
          </w:p>
        </w:tc>
        <w:tc>
          <w:tcPr>
            <w:tcW w:w="5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4"/>
              </w:rPr>
              <w:t>271113</w:t>
            </w: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13,553.74</w:t>
            </w: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9"/>
                <w:szCs w:val="19"/>
                <w:color w:val="auto"/>
              </w:rPr>
              <w:t>Sources</w:t>
            </w:r>
          </w:p>
        </w:tc>
        <w:tc>
          <w:tcPr>
            <w:tcW w:w="20" w:type="dxa"/>
            <w:vAlign w:val="bottom"/>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shd w:val="clear" w:color="auto" w:fill="E7E7E2"/>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40" w:type="dxa"/>
            <w:vAlign w:val="bottom"/>
            <w:tcBorders>
              <w:left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720" w:type="dxa"/>
            <w:vAlign w:val="bottom"/>
            <w:shd w:val="clear" w:color="auto" w:fill="E7E7E2"/>
          </w:tcPr>
          <w:p>
            <w:pPr>
              <w:spacing w:after="0" w:line="204" w:lineRule="exact"/>
              <w:rPr>
                <w:sz w:val="20"/>
                <w:szCs w:val="20"/>
                <w:color w:val="auto"/>
              </w:rPr>
            </w:pPr>
            <w:r>
              <w:rPr>
                <w:rFonts w:ascii="Arial" w:cs="Arial" w:eastAsia="Arial" w:hAnsi="Arial"/>
                <w:sz w:val="19"/>
                <w:szCs w:val="19"/>
                <w:color w:val="auto"/>
              </w:rPr>
              <w:t>Fee</w:t>
            </w: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Safehold</w:t>
            </w: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9"/>
              </w:rPr>
              <w:t>333-</w:t>
            </w:r>
          </w:p>
        </w:tc>
        <w:tc>
          <w:tcPr>
            <w:tcW w:w="2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w:t>
            </w: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restart"/>
            <w:shd w:val="clear" w:color="auto" w:fill="E7E7E2"/>
          </w:tcPr>
          <w:p>
            <w:pPr>
              <w:spacing w:after="0" w:line="215" w:lineRule="exact"/>
              <w:rPr>
                <w:sz w:val="20"/>
                <w:szCs w:val="20"/>
                <w:color w:val="auto"/>
              </w:rPr>
            </w:pPr>
            <w:r>
              <w:rPr>
                <w:rFonts w:ascii="Arial" w:cs="Arial" w:eastAsia="Arial" w:hAnsi="Arial"/>
                <w:sz w:val="19"/>
                <w:szCs w:val="19"/>
                <w:color w:val="auto"/>
              </w:rPr>
              <w:t>Offset</w:t>
            </w:r>
          </w:p>
        </w:tc>
        <w:tc>
          <w:tcPr>
            <w:tcW w:w="20" w:type="dxa"/>
            <w:vAlign w:val="bottom"/>
          </w:tcPr>
          <w:p>
            <w:pPr>
              <w:spacing w:after="0"/>
              <w:rPr>
                <w:sz w:val="9"/>
                <w:szCs w:val="9"/>
                <w:color w:val="auto"/>
              </w:rPr>
            </w:pPr>
          </w:p>
        </w:tc>
        <w:tc>
          <w:tcPr>
            <w:tcW w:w="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vMerge w:val="restart"/>
            <w:shd w:val="clear" w:color="auto" w:fill="E7E7E2"/>
          </w:tcPr>
          <w:p>
            <w:pPr>
              <w:jc w:val="center"/>
              <w:spacing w:after="0" w:line="215" w:lineRule="exact"/>
              <w:rPr>
                <w:sz w:val="20"/>
                <w:szCs w:val="20"/>
                <w:color w:val="auto"/>
              </w:rPr>
            </w:pPr>
            <w:r>
              <w:rPr>
                <w:rFonts w:ascii="Arial" w:cs="Arial" w:eastAsia="Arial" w:hAnsi="Arial"/>
                <w:sz w:val="19"/>
                <w:szCs w:val="19"/>
                <w:color w:val="auto"/>
              </w:rPr>
              <w:t>S-3</w:t>
            </w:r>
          </w:p>
        </w:tc>
        <w:tc>
          <w:tcPr>
            <w:tcW w:w="20" w:type="dxa"/>
            <w:vAlign w:val="bottom"/>
          </w:tcPr>
          <w:p>
            <w:pPr>
              <w:spacing w:after="0"/>
              <w:rPr>
                <w:sz w:val="9"/>
                <w:szCs w:val="9"/>
                <w:color w:val="auto"/>
              </w:rPr>
            </w:pPr>
          </w:p>
        </w:tc>
        <w:tc>
          <w:tcPr>
            <w:tcW w:w="7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restart"/>
            <w:shd w:val="clear" w:color="auto" w:fill="E7E7E2"/>
          </w:tcPr>
          <w:p>
            <w:pPr>
              <w:jc w:val="center"/>
              <w:spacing w:after="0" w:line="215" w:lineRule="exact"/>
              <w:rPr>
                <w:sz w:val="20"/>
                <w:szCs w:val="20"/>
                <w:color w:val="auto"/>
              </w:rPr>
            </w:pPr>
            <w:r>
              <w:rPr>
                <w:rFonts w:ascii="Arial" w:cs="Arial" w:eastAsia="Arial" w:hAnsi="Arial"/>
                <w:sz w:val="19"/>
                <w:szCs w:val="19"/>
                <w:color w:val="auto"/>
                <w:w w:val="98"/>
              </w:rPr>
              <w:t>04/14/2023</w:t>
            </w: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continue"/>
            <w:shd w:val="clear" w:color="auto" w:fill="E7E7E2"/>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19"/>
                <w:szCs w:val="19"/>
                <w:color w:val="auto"/>
              </w:rPr>
              <w:t>Inc.</w:t>
            </w:r>
          </w:p>
        </w:tc>
        <w:tc>
          <w:tcPr>
            <w:tcW w:w="20" w:type="dxa"/>
            <w:vAlign w:val="bottom"/>
          </w:tcPr>
          <w:p>
            <w:pPr>
              <w:spacing w:after="0"/>
              <w:rPr>
                <w:sz w:val="9"/>
                <w:szCs w:val="9"/>
                <w:color w:val="auto"/>
              </w:rPr>
            </w:pPr>
          </w:p>
        </w:tc>
        <w:tc>
          <w:tcPr>
            <w:tcW w:w="5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9"/>
                <w:szCs w:val="19"/>
                <w:color w:val="auto"/>
                <w:w w:val="94"/>
              </w:rPr>
              <w:t>271113</w:t>
            </w: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vMerge w:val="restart"/>
            <w:shd w:val="clear" w:color="auto" w:fill="E7E7E2"/>
          </w:tcPr>
          <w:p>
            <w:pPr>
              <w:jc w:val="right"/>
              <w:spacing w:after="0"/>
              <w:rPr>
                <w:sz w:val="20"/>
                <w:szCs w:val="20"/>
                <w:color w:val="auto"/>
              </w:rPr>
            </w:pPr>
            <w:r>
              <w:rPr>
                <w:rFonts w:ascii="Arial" w:cs="Arial" w:eastAsia="Arial" w:hAnsi="Arial"/>
                <w:sz w:val="19"/>
                <w:szCs w:val="19"/>
                <w:color w:val="auto"/>
              </w:rPr>
              <w:t>17,244.82</w:t>
            </w: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0" w:type="dxa"/>
            <w:vAlign w:val="bottom"/>
            <w:tcBorders>
              <w:left w:val="single" w:sz="8" w:color="auto"/>
            </w:tcBorders>
          </w:tcPr>
          <w:p>
            <w:pPr>
              <w:spacing w:after="0"/>
              <w:rPr>
                <w:sz w:val="12"/>
                <w:szCs w:val="12"/>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9"/>
                <w:szCs w:val="19"/>
                <w:color w:val="auto"/>
              </w:rPr>
              <w:t>Sources</w:t>
            </w:r>
          </w:p>
        </w:tc>
        <w:tc>
          <w:tcPr>
            <w:tcW w:w="20" w:type="dxa"/>
            <w:vAlign w:val="bottom"/>
          </w:tcPr>
          <w:p>
            <w:pPr>
              <w:spacing w:after="0"/>
              <w:rPr>
                <w:sz w:val="12"/>
                <w:szCs w:val="12"/>
                <w:color w:val="auto"/>
              </w:rPr>
            </w:pPr>
          </w:p>
        </w:tc>
        <w:tc>
          <w:tcPr>
            <w:tcW w:w="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shd w:val="clear" w:color="auto" w:fill="E7E7E2"/>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40" w:type="dxa"/>
            <w:vAlign w:val="bottom"/>
            <w:tcBorders>
              <w:left w:val="single" w:sz="8" w:color="auto"/>
            </w:tcBorders>
          </w:tcPr>
          <w:p>
            <w:pPr>
              <w:spacing w:after="0"/>
              <w:rPr>
                <w:sz w:val="9"/>
                <w:szCs w:val="9"/>
                <w:color w:val="auto"/>
              </w:rPr>
            </w:pPr>
          </w:p>
        </w:tc>
        <w:tc>
          <w:tcPr>
            <w:tcW w:w="7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Rule 457(p) Statement of Withdrawal, Termination, or Completion:</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2"/>
          <w:szCs w:val="12"/>
          <w:color w:val="auto"/>
        </w:rPr>
        <w:t>1</w:t>
      </w:r>
    </w:p>
    <w:p>
      <w:pPr>
        <w:spacing w:after="0" w:line="66" w:lineRule="exact"/>
        <w:rPr>
          <w:sz w:val="20"/>
          <w:szCs w:val="20"/>
          <w:color w:val="auto"/>
        </w:rPr>
      </w:pPr>
    </w:p>
    <w:p>
      <w:pPr>
        <w:ind w:left="240" w:right="240"/>
        <w:spacing w:after="0" w:line="247" w:lineRule="auto"/>
        <w:rPr>
          <w:sz w:val="20"/>
          <w:szCs w:val="20"/>
          <w:color w:val="auto"/>
        </w:rPr>
      </w:pPr>
      <w:r>
        <w:rPr>
          <w:rFonts w:ascii="Arial" w:cs="Arial" w:eastAsia="Arial" w:hAnsi="Arial"/>
          <w:sz w:val="19"/>
          <w:szCs w:val="19"/>
          <w:color w:val="auto"/>
        </w:rPr>
        <w:t>The registrant previously filed a prospectus supplement (the "2023 GIC Prospectus Supplement"), dated April 14, 2023, to a prospectus, dated April 4, 2023, constituting part of its registration statement on Form S-3 (File No. 333-271113) (the "2023 Registration Statement") and paid a registration fee relating to the offer and sale of 4,248,435 shares of common stock by certain selling stockholders. Subsequently, the registrant filed a prospectus supplement (the "2026 GIC Prospectus Supplement"), dated</w:t>
      </w:r>
    </w:p>
    <w:p>
      <w:pPr>
        <w:sectPr>
          <w:pgSz w:w="11900" w:h="16913" w:orient="portrait"/>
          <w:cols w:equalWidth="0" w:num="1">
            <w:col w:w="11340"/>
          </w:cols>
          <w:pgMar w:left="320" w:top="142" w:right="239" w:bottom="0" w:gutter="0" w:footer="0" w:header="0"/>
        </w:sectPr>
      </w:pPr>
    </w:p>
    <w:bookmarkStart w:id="9" w:name="page10"/>
    <w:bookmarkEnd w:id="9"/>
    <w:p>
      <w:pPr>
        <w:ind w:left="200" w:right="40"/>
        <w:spacing w:after="0" w:line="239" w:lineRule="auto"/>
        <w:rPr>
          <w:sz w:val="20"/>
          <w:szCs w:val="20"/>
          <w:color w:val="auto"/>
        </w:rPr>
      </w:pPr>
      <w:r>
        <w:rPr>
          <w:rFonts w:ascii="Arial" w:cs="Arial" w:eastAsia="Arial" w:hAnsi="Arial"/>
          <w:sz w:val="19"/>
          <w:szCs w:val="19"/>
          <w:color w:val="auto"/>
        </w:rPr>
        <w:t>March 25, 2026, to a prospectus, dated March 25, 2026, constituting part of its registration statement on Form S-3 (File No. 333-294583) (the "2026 S-3 Registration Statement") and paid a registration fee relating to the offer and sale of 4,248,435 shares of common stock by certain selling stockholders. At the time of such filing, all 4,248,435 shares of common stock remained unsold under the 2023 Registration Statement, and the 2023 Registration Statement was deemed terminated as of March 25, 2026. As a result, the registrant claimed a fee offset of $8,202.19 pursuant to Rule 457(p) under the Securities Act, leaving $5,351.55 in fees previously paid in connection with the 2023 GIC Prospectus Supplement available for future offset. Pursuant to Rule 457(p) under the Securities Act, the amount of the registration fee of $13,553.74 that has already been paid and (i) remains unused with respect to securities that were previously registered pursuant to the 2023 Registration Statement and the 2023 GIC Prospectus Supplement and were not sold thereunder and (ii) was not claimed for offset in connection with the 2026 GIC Prospectus Supplement may be applied to the filing fees payable pursuant to this registration statement. Pursuant to Rule 457(p), the registrant is offsetting $5,351.55 of the fees associated with this registration statement from the filing fee previously paid in connection with the 2023 GIC Prospectus Supplement, leaving no remaining fee balance from such payment to offset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71120</wp:posOffset>
            </wp:positionV>
            <wp:extent cx="712787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27875" cy="4064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9"/>
          <w:szCs w:val="19"/>
          <w:color w:val="auto"/>
        </w:rPr>
        <w:t>The registrant previously filed a prospectus supplement (the "2023 MSD Prospectus Supplement"), dated April 14, 2023, to a prospectus, dated April 4, 2023, constituting part of the 2023 Registration Statement and paid a registration fee relating to the offer and sale of 5,405,406 shares of common stock by certain selling stockholders. Subsequently, the registrant filed a prospectus supplement (the "2026 MSD Prospectus Supplement"), dated March 25, 2026, to the prospectus constituting part of the 2026 S-3 Registration Statement and paid a registration fee relating to the offer and sale of 6,105,389 shares of common stock by certain selling stockholders. At the time of such filing, all 5,405,406 shares of common stock remained unsold under the 2023 Registration Statement, and the 2023 Registration Statement was deemed terminated as of March 25, 2026. As a result, the registrant claimed a fee offset of $11,787.30 pursuant to Rule 457(p) under the Securities Act, leaving $5,457.52 in fees previously paid in connection with the 2023 MSD Prospectus Supplement available for future offset. Pursuant to Rule 457(p) under the Securities Act, the amount of the registration fee of $17,244.82 that has already been paid and (i) remains unused with respect to securities that were previously registered pursuant to the 2023 Registration Statement and the 2023 MSD Prospectus Supplement and were not sold thereunder and (ii) was not claimed for offset in connection with the 2026 MSD Prospectus Supplement may be applied to the filing fees payable pursuant to this registration statement. Pursuant to Rule 457(p), the registrant is offsetting $581.23 of the fees associated with this registration statement from the filing fee previously paid in connection with the 2023 MSD Prospectus Supplement, leaving a remaining fee balance of $4,876.29 from such payment available to offset future filings. Accordingly, no additional registration fee is being paid in connection with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193040</wp:posOffset>
            </wp:positionV>
            <wp:extent cx="712787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27875" cy="40640"/>
                    </a:xfrm>
                    <a:prstGeom prst="rect">
                      <a:avLst/>
                    </a:prstGeom>
                    <a:noFill/>
                  </pic:spPr>
                </pic:pic>
              </a:graphicData>
            </a:graphic>
          </wp:anchor>
        </w:drawing>
      </w:r>
    </w:p>
    <w:sectPr>
      <w:pgSz w:w="11900" w:h="16838" w:orient="portrait"/>
      <w:cols w:equalWidth="0" w:num="1">
        <w:col w:w="11160"/>
      </w:cols>
      <w:pgMar w:left="360" w:top="1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jpeg"/><Relationship Id="rId32" Type="http://schemas.openxmlformats.org/officeDocument/2006/relationships/image" Target="media/image15.png"/><Relationship Id="rId33" Type="http://schemas.openxmlformats.org/officeDocument/2006/relationships/image" Target="media/image16.jpeg"/><Relationship Id="rId34" Type="http://schemas.openxmlformats.org/officeDocument/2006/relationships/image" Target="media/image17.png"/><Relationship Id="rId35" Type="http://schemas.openxmlformats.org/officeDocument/2006/relationships/image" Target="media/image18.jpe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19" Type="http://schemas.openxmlformats.org/officeDocument/2006/relationships/hyperlink" Target="https://www.sec.gov/ix?doc=/Archives/edgar/data/1095651/000109565126000010/safe-20251231x10k.htm" TargetMode="External"/><Relationship Id="rId20" Type="http://schemas.openxmlformats.org/officeDocument/2006/relationships/hyperlink" Target="https://www.sec.gov/ix?doc=/Archives/edgar/data/1095651/000109565126000017/safe-20260331x10q.htm" TargetMode="External"/><Relationship Id="rId21" Type="http://schemas.openxmlformats.org/officeDocument/2006/relationships/hyperlink" Target="https://www.sec.gov/ix?doc=/Archives/edgar/data/1095651/000109565126000008/safe-20260211x8k.htm" TargetMode="External"/><Relationship Id="rId22" Type="http://schemas.openxmlformats.org/officeDocument/2006/relationships/hyperlink" Target="https://www.sec.gov/ix?doc=/Archives/edgar/data/1095651/000110465926034563/tm269525d1_8k.htm" TargetMode="External"/><Relationship Id="rId23" Type="http://schemas.openxmlformats.org/officeDocument/2006/relationships/hyperlink" Target="https://www.sec.gov/ix?doc=/Archives/edgar/data/1095651/000109565126000015/safe-20260430x8k.htm" TargetMode="External"/><Relationship Id="rId24" Type="http://schemas.openxmlformats.org/officeDocument/2006/relationships/hyperlink" Target="https://www.sec.gov/ix?doc=/Archives/edgar/data/0001095651/000110465926062569/tm2614139d1_8k.htm" TargetMode="External"/><Relationship Id="rId25" Type="http://schemas.openxmlformats.org/officeDocument/2006/relationships/hyperlink" Target="https://www.sec.gov/ix?doc=/Archives/edgar/data/1095651/000110465926037873/safe-20260514xdef14a.htm" TargetMode="External"/><Relationship Id="rId26" Type="http://schemas.openxmlformats.org/officeDocument/2006/relationships/hyperlink" Target="https://www.sec.gov/Archives/edgar/data/1095651/000110465923041210/tm2310731d1_ex4-1.htm" TargetMode="External"/><Relationship Id="rId28" Type="http://schemas.openxmlformats.org/officeDocument/2006/relationships/hyperlink" Target="https://www.sec.gov/Archives/edgar/data/1095651/000110465926034135/tm269505d2_ex4-1.htm" TargetMode="External"/><Relationship Id="rId29" Type="http://schemas.openxmlformats.org/officeDocument/2006/relationships/hyperlink" Target="https://www.sec.gov/Archives/edgar/data/1095651/000110465926062569/tm261413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2026-05-18T07:04:15Z</dcterms:created>
  <dcterms:modified xsi:type="dcterms:W3CDTF">2026-05-18T07:04:15Z</dcterms:modified>
</cp:coreProperties>
</file>