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UNITED STATES</w:t>
      </w:r>
    </w:p>
    <w:p>
      <w:pPr>
        <w:spacing w:after="0" w:line="20"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SECURITIES AND EXCHANGE COMMISSION</w:t>
      </w:r>
    </w:p>
    <w:p>
      <w:pPr>
        <w:ind w:left="8"/>
        <w:spacing w:after="0"/>
        <w:rPr>
          <w:sz w:val="20"/>
          <w:szCs w:val="20"/>
          <w:color w:val="auto"/>
        </w:rPr>
      </w:pPr>
      <w:r>
        <w:rPr>
          <w:rFonts w:ascii="Courier New" w:cs="Courier New" w:eastAsia="Courier New" w:hAnsi="Courier New"/>
          <w:sz w:val="12"/>
          <w:szCs w:val="12"/>
          <w:color w:val="auto"/>
        </w:rPr>
        <w:t>Washington, D.C. 20549</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(Amendment No. 1)*</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iStar Financial, Inc.</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(Name of Issuer)</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Common Stock</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(Title of Class of Securities)</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45031U101</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(CUSIP Number)</w:t>
      </w:r>
    </w:p>
    <w:p>
      <w:pPr>
        <w:spacing w:after="0" w:line="112"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December 31, 2012</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12" w:lineRule="exact"/>
        <w:rPr>
          <w:sz w:val="24"/>
          <w:szCs w:val="24"/>
          <w:color w:val="auto"/>
        </w:rPr>
      </w:pPr>
    </w:p>
    <w:p>
      <w:pPr>
        <w:ind w:left="8" w:right="4699"/>
        <w:spacing w:after="0" w:line="257" w:lineRule="auto"/>
        <w:rPr>
          <w:sz w:val="20"/>
          <w:szCs w:val="20"/>
          <w:color w:val="auto"/>
        </w:rPr>
      </w:pPr>
      <w:r>
        <w:rPr>
          <w:rFonts w:ascii="Courier New" w:cs="Courier New" w:eastAsia="Courier New" w:hAnsi="Courier New"/>
          <w:sz w:val="12"/>
          <w:szCs w:val="12"/>
          <w:color w:val="auto"/>
        </w:rPr>
        <w:t>Check the appropriate box to designate the rule pursuant to which this Schedule is filed:</w:t>
      </w:r>
    </w:p>
    <w:p>
      <w:pPr>
        <w:spacing w:after="0" w:line="1" w:lineRule="exact"/>
        <w:rPr>
          <w:sz w:val="24"/>
          <w:szCs w:val="24"/>
          <w:color w:val="auto"/>
        </w:rPr>
      </w:pPr>
    </w:p>
    <w:p>
      <w:pPr>
        <w:ind w:left="8" w:right="8979" w:hanging="8"/>
        <w:spacing w:after="0" w:line="260" w:lineRule="auto"/>
        <w:tabs>
          <w:tab w:leader="none" w:pos="359"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Rule 13d-1(b) [] Rule 13d-1(c)</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Rule 13d-1(d)</w:t>
      </w:r>
    </w:p>
    <w:p>
      <w:pPr>
        <w:spacing w:after="0" w:line="112" w:lineRule="exact"/>
        <w:rPr>
          <w:sz w:val="24"/>
          <w:szCs w:val="24"/>
          <w:color w:val="auto"/>
        </w:rPr>
      </w:pPr>
    </w:p>
    <w:p>
      <w:pPr>
        <w:ind w:left="8" w:right="4699" w:hanging="8"/>
        <w:spacing w:after="0" w:line="274" w:lineRule="auto"/>
        <w:tabs>
          <w:tab w:leader="none" w:pos="149"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5" w:lineRule="exact"/>
        <w:rPr>
          <w:sz w:val="24"/>
          <w:szCs w:val="24"/>
          <w:color w:val="auto"/>
        </w:rPr>
      </w:pPr>
    </w:p>
    <w:p>
      <w:pPr>
        <w:ind w:left="8" w:right="4759"/>
        <w:spacing w:after="0" w:line="265" w:lineRule="auto"/>
        <w:rPr>
          <w:sz w:val="20"/>
          <w:szCs w:val="20"/>
          <w:color w:val="auto"/>
        </w:rPr>
      </w:pPr>
      <w:r>
        <w:rPr>
          <w:rFonts w:ascii="Courier New" w:cs="Courier New" w:eastAsia="Courier New" w:hAnsi="Courier New"/>
          <w:sz w:val="12"/>
          <w:szCs w:val="1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5" w:lineRule="exact"/>
        <w:rPr>
          <w:sz w:val="24"/>
          <w:szCs w:val="24"/>
          <w:color w:val="auto"/>
        </w:rPr>
      </w:pPr>
    </w:p>
    <w:p>
      <w:pPr>
        <w:ind w:left="8"/>
        <w:spacing w:after="0"/>
        <w:tabs>
          <w:tab w:leader="none" w:pos="2228" w:val="left"/>
          <w:tab w:leader="none" w:pos="3348" w:val="left"/>
        </w:tabs>
        <w:rPr>
          <w:sz w:val="20"/>
          <w:szCs w:val="20"/>
          <w:color w:val="auto"/>
        </w:rPr>
      </w:pPr>
      <w:r>
        <w:rPr>
          <w:rFonts w:ascii="Courier New" w:cs="Courier New" w:eastAsia="Courier New" w:hAnsi="Courier New"/>
          <w:sz w:val="12"/>
          <w:szCs w:val="12"/>
          <w:color w:val="auto"/>
        </w:rPr>
        <w:t>CUSIP No. 45031U101</w:t>
      </w:r>
      <w:r>
        <w:rPr>
          <w:sz w:val="20"/>
          <w:szCs w:val="20"/>
          <w:color w:val="auto"/>
        </w:rPr>
        <w:tab/>
      </w:r>
      <w:r>
        <w:rPr>
          <w:rFonts w:ascii="Courier New" w:cs="Courier New" w:eastAsia="Courier New" w:hAnsi="Courier New"/>
          <w:sz w:val="12"/>
          <w:szCs w:val="12"/>
          <w:color w:val="auto"/>
        </w:rPr>
        <w:t>13G</w:t>
      </w:r>
      <w:r>
        <w:rPr>
          <w:sz w:val="20"/>
          <w:szCs w:val="20"/>
          <w:color w:val="auto"/>
        </w:rPr>
        <w:tab/>
      </w:r>
      <w:r>
        <w:rPr>
          <w:rFonts w:ascii="Courier New" w:cs="Courier New" w:eastAsia="Courier New" w:hAnsi="Courier New"/>
          <w:sz w:val="11"/>
          <w:szCs w:val="11"/>
          <w:color w:val="auto"/>
        </w:rPr>
        <w:t>Page 1 of 3 Pages</w:t>
      </w:r>
    </w:p>
    <w:p>
      <w:pPr>
        <w:spacing w:after="0" w:line="269" w:lineRule="exact"/>
        <w:rPr>
          <w:sz w:val="24"/>
          <w:szCs w:val="24"/>
          <w:color w:val="auto"/>
        </w:rPr>
      </w:pPr>
    </w:p>
    <w:p>
      <w:pPr>
        <w:ind w:left="1128" w:hanging="1128"/>
        <w:spacing w:after="0"/>
        <w:tabs>
          <w:tab w:leader="none" w:pos="112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spacing w:after="0" w:line="20"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ind w:left="8"/>
        <w:spacing w:after="0"/>
        <w:rPr>
          <w:sz w:val="20"/>
          <w:szCs w:val="20"/>
          <w:color w:val="auto"/>
        </w:rPr>
      </w:pPr>
      <w:r>
        <w:rPr>
          <w:rFonts w:ascii="Courier New" w:cs="Courier New" w:eastAsia="Courier New" w:hAnsi="Courier New"/>
          <w:sz w:val="12"/>
          <w:szCs w:val="12"/>
          <w:color w:val="auto"/>
        </w:rPr>
        <w:t>Diamond Hill Capital Management, Inc.</w:t>
      </w:r>
    </w:p>
    <w:p>
      <w:pPr>
        <w:ind w:left="8"/>
        <w:spacing w:after="0"/>
        <w:rPr>
          <w:sz w:val="20"/>
          <w:szCs w:val="20"/>
          <w:color w:val="auto"/>
        </w:rPr>
      </w:pPr>
      <w:r>
        <w:rPr>
          <w:rFonts w:ascii="Courier New" w:cs="Courier New" w:eastAsia="Courier New" w:hAnsi="Courier New"/>
          <w:sz w:val="12"/>
          <w:szCs w:val="12"/>
          <w:color w:val="auto"/>
        </w:rPr>
        <w:t>31-1019984</w:t>
      </w:r>
    </w:p>
    <w:p>
      <w:pPr>
        <w:ind w:left="8" w:right="5759" w:hanging="8"/>
        <w:spacing w:after="0" w:line="238" w:lineRule="auto"/>
        <w:tabs>
          <w:tab w:leader="none" w:pos="1132"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488" w:hanging="488"/>
        <w:spacing w:after="0"/>
        <w:tabs>
          <w:tab w:leader="none" w:pos="488"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488" w:hanging="488"/>
        <w:spacing w:after="0"/>
        <w:tabs>
          <w:tab w:leader="none" w:pos="488"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1128" w:hanging="1128"/>
        <w:spacing w:after="0"/>
        <w:tabs>
          <w:tab w:leader="none" w:pos="112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12" w:lineRule="exact"/>
        <w:rPr>
          <w:rFonts w:ascii="Courier New" w:cs="Courier New" w:eastAsia="Courier New" w:hAnsi="Courier New"/>
          <w:sz w:val="12"/>
          <w:szCs w:val="12"/>
          <w:color w:val="auto"/>
        </w:rPr>
      </w:pPr>
    </w:p>
    <w:p>
      <w:pPr>
        <w:ind w:left="8" w:right="6599" w:hanging="8"/>
        <w:spacing w:after="0" w:line="477" w:lineRule="auto"/>
        <w:tabs>
          <w:tab w:leader="none" w:pos="1132"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CITIZENSHIP OR PLACE OF ORGANIZATION An Ohio Corporation</w:t>
      </w: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21" w:lineRule="exact"/>
        <w:rPr>
          <w:sz w:val="24"/>
          <w:szCs w:val="24"/>
          <w:color w:val="auto"/>
        </w:rPr>
      </w:pPr>
    </w:p>
    <w:p>
      <w:pPr>
        <w:ind w:left="1688" w:right="6799" w:hanging="564"/>
        <w:spacing w:after="0" w:line="308" w:lineRule="auto"/>
        <w:tabs>
          <w:tab w:leader="none" w:pos="2250"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 4,412,721</w:t>
      </w:r>
    </w:p>
    <w:p>
      <w:pPr>
        <w:spacing w:after="0" w:line="34" w:lineRule="exact"/>
        <w:rPr>
          <w:rFonts w:ascii="Courier New" w:cs="Courier New" w:eastAsia="Courier New" w:hAnsi="Courier New"/>
          <w:sz w:val="12"/>
          <w:szCs w:val="12"/>
          <w:color w:val="auto"/>
        </w:rPr>
      </w:pPr>
    </w:p>
    <w:p>
      <w:pPr>
        <w:ind w:left="2248" w:hanging="1124"/>
        <w:spacing w:after="0"/>
        <w:tabs>
          <w:tab w:leader="none" w:pos="22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w:t>
      </w:r>
    </w:p>
    <w:p>
      <w:pPr>
        <w:spacing w:after="0" w:line="21" w:lineRule="exact"/>
        <w:rPr>
          <w:rFonts w:ascii="Courier New" w:cs="Courier New" w:eastAsia="Courier New" w:hAnsi="Courier New"/>
          <w:sz w:val="12"/>
          <w:szCs w:val="12"/>
          <w:color w:val="auto"/>
        </w:rPr>
      </w:pPr>
    </w:p>
    <w:p>
      <w:pPr>
        <w:ind w:left="168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0</w:t>
      </w:r>
    </w:p>
    <w:p>
      <w:pPr>
        <w:spacing w:after="0" w:line="112" w:lineRule="exact"/>
        <w:rPr>
          <w:rFonts w:ascii="Courier New" w:cs="Courier New" w:eastAsia="Courier New" w:hAnsi="Courier New"/>
          <w:sz w:val="12"/>
          <w:szCs w:val="12"/>
          <w:color w:val="auto"/>
        </w:rPr>
      </w:pPr>
    </w:p>
    <w:p>
      <w:pPr>
        <w:ind w:left="1688" w:right="6459" w:hanging="564"/>
        <w:spacing w:after="0" w:line="347" w:lineRule="auto"/>
        <w:tabs>
          <w:tab w:leader="none" w:pos="2250"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 4,644,073</w:t>
      </w:r>
    </w:p>
    <w:p>
      <w:pPr>
        <w:spacing w:after="0" w:line="12" w:lineRule="exact"/>
        <w:rPr>
          <w:rFonts w:ascii="Courier New" w:cs="Courier New" w:eastAsia="Courier New" w:hAnsi="Courier New"/>
          <w:sz w:val="12"/>
          <w:szCs w:val="12"/>
          <w:color w:val="auto"/>
        </w:rPr>
      </w:pPr>
    </w:p>
    <w:p>
      <w:pPr>
        <w:ind w:left="2248" w:hanging="1124"/>
        <w:spacing w:after="0"/>
        <w:tabs>
          <w:tab w:leader="none" w:pos="22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spacing w:after="0" w:line="21" w:lineRule="exact"/>
        <w:rPr>
          <w:rFonts w:ascii="Courier New" w:cs="Courier New" w:eastAsia="Courier New" w:hAnsi="Courier New"/>
          <w:sz w:val="12"/>
          <w:szCs w:val="12"/>
          <w:color w:val="auto"/>
        </w:rPr>
      </w:pPr>
    </w:p>
    <w:p>
      <w:pPr>
        <w:ind w:left="168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0</w:t>
      </w:r>
    </w:p>
    <w:p>
      <w:pPr>
        <w:spacing w:after="0" w:line="112" w:lineRule="exact"/>
        <w:rPr>
          <w:rFonts w:ascii="Courier New" w:cs="Courier New" w:eastAsia="Courier New" w:hAnsi="Courier New"/>
          <w:sz w:val="12"/>
          <w:szCs w:val="12"/>
          <w:color w:val="auto"/>
        </w:rPr>
      </w:pPr>
    </w:p>
    <w:p>
      <w:pPr>
        <w:ind w:left="1688" w:right="4899" w:hanging="1688"/>
        <w:spacing w:after="0" w:line="347" w:lineRule="auto"/>
        <w:tabs>
          <w:tab w:leader="none" w:pos="1126"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4,644,073</w:t>
      </w:r>
    </w:p>
    <w:p>
      <w:pPr>
        <w:spacing w:after="0" w:line="12" w:lineRule="exact"/>
        <w:rPr>
          <w:rFonts w:ascii="Courier New" w:cs="Courier New" w:eastAsia="Courier New" w:hAnsi="Courier New"/>
          <w:sz w:val="12"/>
          <w:szCs w:val="12"/>
          <w:color w:val="auto"/>
        </w:rPr>
      </w:pPr>
    </w:p>
    <w:p>
      <w:pPr>
        <w:ind w:left="1128" w:hanging="1128"/>
        <w:spacing w:after="0"/>
        <w:tabs>
          <w:tab w:leader="none" w:pos="112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IF THE AGGREGATE AMOUNT IN ROW (9) EXCLUDES CERTAIN SHARES</w:t>
      </w:r>
    </w:p>
    <w:p>
      <w:pPr>
        <w:spacing w:after="0" w:line="21" w:lineRule="exact"/>
        <w:rPr>
          <w:sz w:val="24"/>
          <w:szCs w:val="24"/>
          <w:color w:val="auto"/>
        </w:rPr>
      </w:pPr>
    </w:p>
    <w:p>
      <w:pPr>
        <w:ind w:left="8"/>
        <w:spacing w:after="0"/>
        <w:tabs>
          <w:tab w:leader="none" w:pos="1528" w:val="left"/>
        </w:tabs>
        <w:rPr>
          <w:sz w:val="20"/>
          <w:szCs w:val="20"/>
          <w:color w:val="auto"/>
        </w:rPr>
      </w:pPr>
      <w:r>
        <w:rPr>
          <w:rFonts w:ascii="Courier New" w:cs="Courier New" w:eastAsia="Courier New" w:hAnsi="Courier New"/>
          <w:sz w:val="12"/>
          <w:szCs w:val="12"/>
          <w:color w:val="auto"/>
        </w:rPr>
        <w:t>(see instructions)</w:t>
      </w:r>
      <w:r>
        <w:rPr>
          <w:sz w:val="20"/>
          <w:szCs w:val="20"/>
          <w:color w:val="auto"/>
        </w:rPr>
        <w:tab/>
      </w:r>
      <w:r>
        <w:rPr>
          <w:rFonts w:ascii="Courier New" w:cs="Courier New" w:eastAsia="Courier New" w:hAnsi="Courier New"/>
          <w:sz w:val="11"/>
          <w:szCs w:val="11"/>
          <w:color w:val="auto"/>
        </w:rPr>
        <w:t>[]</w:t>
      </w:r>
    </w:p>
    <w:p>
      <w:pPr>
        <w:spacing w:after="0" w:line="112" w:lineRule="exact"/>
        <w:rPr>
          <w:sz w:val="24"/>
          <w:szCs w:val="24"/>
          <w:color w:val="auto"/>
        </w:rPr>
      </w:pPr>
    </w:p>
    <w:p>
      <w:pPr>
        <w:ind w:left="1688" w:right="5679" w:hanging="1688"/>
        <w:spacing w:after="0" w:line="347" w:lineRule="auto"/>
        <w:tabs>
          <w:tab w:leader="none" w:pos="1126"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5.5%</w:t>
      </w:r>
    </w:p>
    <w:p>
      <w:pPr>
        <w:spacing w:after="0" w:line="12" w:lineRule="exact"/>
        <w:rPr>
          <w:rFonts w:ascii="Courier New" w:cs="Courier New" w:eastAsia="Courier New" w:hAnsi="Courier New"/>
          <w:sz w:val="12"/>
          <w:szCs w:val="12"/>
          <w:color w:val="auto"/>
        </w:rPr>
      </w:pPr>
    </w:p>
    <w:p>
      <w:pPr>
        <w:ind w:left="1128" w:hanging="1128"/>
        <w:spacing w:after="0"/>
        <w:tabs>
          <w:tab w:leader="none" w:pos="112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spacing w:after="0" w:line="21" w:lineRule="exact"/>
        <w:rPr>
          <w:sz w:val="24"/>
          <w:szCs w:val="24"/>
          <w:color w:val="auto"/>
        </w:rPr>
      </w:pPr>
    </w:p>
    <w:p>
      <w:pPr>
        <w:ind w:left="1688"/>
        <w:spacing w:after="0"/>
        <w:rPr>
          <w:sz w:val="20"/>
          <w:szCs w:val="20"/>
          <w:color w:val="auto"/>
        </w:rPr>
      </w:pPr>
      <w:r>
        <w:rPr>
          <w:rFonts w:ascii="Courier New" w:cs="Courier New" w:eastAsia="Courier New" w:hAnsi="Courier New"/>
          <w:sz w:val="12"/>
          <w:szCs w:val="12"/>
          <w:color w:val="auto"/>
        </w:rPr>
        <w:t>IA</w:t>
      </w:r>
    </w:p>
    <w:p>
      <w:pPr>
        <w:spacing w:after="0" w:line="382" w:lineRule="exact"/>
        <w:rPr>
          <w:sz w:val="24"/>
          <w:szCs w:val="24"/>
          <w:color w:val="auto"/>
        </w:rPr>
      </w:pPr>
    </w:p>
    <w:p>
      <w:pPr>
        <w:ind w:left="8"/>
        <w:spacing w:after="0"/>
        <w:tabs>
          <w:tab w:leader="none" w:pos="2228" w:val="left"/>
          <w:tab w:leader="none" w:pos="3348" w:val="left"/>
        </w:tabs>
        <w:rPr>
          <w:sz w:val="20"/>
          <w:szCs w:val="20"/>
          <w:color w:val="auto"/>
        </w:rPr>
      </w:pPr>
      <w:r>
        <w:rPr>
          <w:rFonts w:ascii="Courier New" w:cs="Courier New" w:eastAsia="Courier New" w:hAnsi="Courier New"/>
          <w:sz w:val="12"/>
          <w:szCs w:val="12"/>
          <w:color w:val="auto"/>
        </w:rPr>
        <w:t>CUSIP No. 45031U101</w:t>
      </w:r>
      <w:r>
        <w:rPr>
          <w:sz w:val="20"/>
          <w:szCs w:val="20"/>
          <w:color w:val="auto"/>
        </w:rPr>
        <w:tab/>
      </w:r>
      <w:r>
        <w:rPr>
          <w:rFonts w:ascii="Courier New" w:cs="Courier New" w:eastAsia="Courier New" w:hAnsi="Courier New"/>
          <w:sz w:val="12"/>
          <w:szCs w:val="12"/>
          <w:color w:val="auto"/>
        </w:rPr>
        <w:t>13G</w:t>
      </w:r>
      <w:r>
        <w:rPr>
          <w:sz w:val="20"/>
          <w:szCs w:val="20"/>
          <w:color w:val="auto"/>
        </w:rPr>
        <w:tab/>
      </w:r>
      <w:r>
        <w:rPr>
          <w:rFonts w:ascii="Courier New" w:cs="Courier New" w:eastAsia="Courier New" w:hAnsi="Courier New"/>
          <w:sz w:val="11"/>
          <w:szCs w:val="11"/>
          <w:color w:val="auto"/>
        </w:rPr>
        <w:t>Page 2 of 3 Pages</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1.</w:t>
      </w:r>
    </w:p>
    <w:p>
      <w:pPr>
        <w:spacing w:after="0" w:line="20" w:lineRule="exact"/>
        <w:rPr>
          <w:sz w:val="24"/>
          <w:szCs w:val="24"/>
          <w:color w:val="auto"/>
        </w:rPr>
      </w:pPr>
    </w:p>
    <w:p>
      <w:pPr>
        <w:ind w:left="1128" w:hanging="566"/>
        <w:spacing w:after="0"/>
        <w:tabs>
          <w:tab w:leader="none" w:pos="112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of Issuer</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iStar Financial, Inc.</w:t>
      </w:r>
    </w:p>
    <w:p>
      <w:pPr>
        <w:spacing w:after="0" w:line="112" w:lineRule="exact"/>
        <w:rPr>
          <w:rFonts w:ascii="Courier New" w:cs="Courier New" w:eastAsia="Courier New" w:hAnsi="Courier New"/>
          <w:sz w:val="12"/>
          <w:szCs w:val="12"/>
          <w:color w:val="auto"/>
        </w:rPr>
      </w:pPr>
    </w:p>
    <w:p>
      <w:pPr>
        <w:ind w:left="8" w:right="5819" w:firstLine="554"/>
        <w:spacing w:after="0" w:line="390" w:lineRule="auto"/>
        <w:tabs>
          <w:tab w:leader="none" w:pos="1132"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Address of Issuer's Principal Executive Offices 1114 Avenue of the Americas, 39th Floor, New York, NY 10036</w:t>
      </w:r>
    </w:p>
    <w:p>
      <w:pPr>
        <w:ind w:left="8"/>
        <w:spacing w:after="0"/>
        <w:rPr>
          <w:sz w:val="20"/>
          <w:szCs w:val="20"/>
          <w:color w:val="auto"/>
        </w:rPr>
      </w:pPr>
      <w:r>
        <w:rPr>
          <w:rFonts w:ascii="Courier New" w:cs="Courier New" w:eastAsia="Courier New" w:hAnsi="Courier New"/>
          <w:sz w:val="12"/>
          <w:szCs w:val="12"/>
          <w:color w:val="auto"/>
        </w:rPr>
        <w:t>Item 2.</w:t>
      </w:r>
    </w:p>
    <w:p>
      <w:pPr>
        <w:spacing w:after="0" w:line="21" w:lineRule="exact"/>
        <w:rPr>
          <w:sz w:val="24"/>
          <w:szCs w:val="24"/>
          <w:color w:val="auto"/>
        </w:rPr>
      </w:pPr>
    </w:p>
    <w:p>
      <w:pPr>
        <w:jc w:val="right"/>
        <w:ind w:left="8" w:right="7639" w:firstLine="554"/>
        <w:spacing w:after="0" w:line="358" w:lineRule="auto"/>
        <w:tabs>
          <w:tab w:leader="none" w:pos="1132"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Name of Person Filing Diamond Hill Capital Management, Inc.</w:t>
      </w:r>
    </w:p>
    <w:p>
      <w:pPr>
        <w:spacing w:after="0" w:line="11" w:lineRule="exact"/>
        <w:rPr>
          <w:rFonts w:ascii="Courier New" w:cs="Courier New" w:eastAsia="Courier New" w:hAnsi="Courier New"/>
          <w:sz w:val="11"/>
          <w:szCs w:val="11"/>
          <w:color w:val="auto"/>
        </w:rPr>
      </w:pPr>
    </w:p>
    <w:p>
      <w:pPr>
        <w:ind w:left="8" w:right="5319" w:firstLine="554"/>
        <w:spacing w:after="0" w:line="347" w:lineRule="auto"/>
        <w:tabs>
          <w:tab w:leader="none" w:pos="1132"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the Principal Office or, if none, residence 325 John H. McConnell Blvd., Suite 200, Columbus, OH 43215</w:t>
      </w:r>
    </w:p>
    <w:p>
      <w:pPr>
        <w:spacing w:after="0" w:line="12" w:lineRule="exact"/>
        <w:rPr>
          <w:rFonts w:ascii="Courier New" w:cs="Courier New" w:eastAsia="Courier New" w:hAnsi="Courier New"/>
          <w:sz w:val="12"/>
          <w:szCs w:val="12"/>
          <w:color w:val="auto"/>
        </w:rPr>
      </w:pPr>
    </w:p>
    <w:p>
      <w:pPr>
        <w:ind w:left="1128" w:hanging="566"/>
        <w:spacing w:after="0"/>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Citizenship</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An Ohio Corporation</w:t>
      </w:r>
    </w:p>
    <w:p>
      <w:pPr>
        <w:spacing w:after="0" w:line="112" w:lineRule="exact"/>
        <w:rPr>
          <w:sz w:val="24"/>
          <w:szCs w:val="24"/>
          <w:color w:val="auto"/>
        </w:rPr>
      </w:pPr>
    </w:p>
    <w:p>
      <w:pPr>
        <w:ind w:left="1128" w:hanging="566"/>
        <w:spacing w:after="0"/>
        <w:tabs>
          <w:tab w:leader="none" w:pos="112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of Class of Securities</w:t>
      </w:r>
    </w:p>
    <w:p>
      <w:pPr>
        <w:spacing w:after="0" w:line="21" w:lineRule="exact"/>
        <w:rPr>
          <w:rFonts w:ascii="Courier New" w:cs="Courier New" w:eastAsia="Courier New" w:hAnsi="Courier New"/>
          <w:sz w:val="12"/>
          <w:szCs w:val="12"/>
          <w:color w:val="auto"/>
        </w:rPr>
      </w:pP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Common Stock</w:t>
      </w:r>
    </w:p>
    <w:p>
      <w:pPr>
        <w:spacing w:after="0" w:line="112" w:lineRule="exact"/>
        <w:rPr>
          <w:rFonts w:ascii="Courier New" w:cs="Courier New" w:eastAsia="Courier New" w:hAnsi="Courier New"/>
          <w:sz w:val="12"/>
          <w:szCs w:val="12"/>
          <w:color w:val="auto"/>
        </w:rPr>
      </w:pPr>
    </w:p>
    <w:p>
      <w:pPr>
        <w:ind w:left="1128" w:hanging="566"/>
        <w:spacing w:after="0"/>
        <w:tabs>
          <w:tab w:leader="none" w:pos="112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CUSIP Number</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45031U101</w:t>
      </w:r>
    </w:p>
    <w:p>
      <w:pPr>
        <w:spacing w:after="0" w:line="112" w:lineRule="exact"/>
        <w:rPr>
          <w:sz w:val="24"/>
          <w:szCs w:val="24"/>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1"/>
          <w:szCs w:val="11"/>
          <w:color w:val="auto"/>
        </w:rPr>
        <w:t>If this statement is filed pursuant to sections 240.13d-1(b)</w:t>
      </w:r>
    </w:p>
    <w:p>
      <w:pPr>
        <w:spacing w:after="0" w:line="2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or 240.13d-2(b) or (c), check whether the person filing is a:</w:t>
      </w:r>
    </w:p>
    <w:p>
      <w:pPr>
        <w:spacing w:after="0" w:line="111" w:lineRule="exact"/>
        <w:rPr>
          <w:sz w:val="24"/>
          <w:szCs w:val="24"/>
          <w:color w:val="auto"/>
        </w:rPr>
      </w:pPr>
    </w:p>
    <w:tbl>
      <w:tblPr>
        <w:tblLayout w:type="fixed"/>
        <w:tblInd w:w="568" w:type="dxa"/>
        <w:tblCellMar>
          <w:top w:w="0" w:type="dxa"/>
          <w:left w:w="0" w:type="dxa"/>
          <w:bottom w:w="0" w:type="dxa"/>
          <w:right w:w="0" w:type="dxa"/>
        </w:tblCellMar>
      </w:tblPr>
      <w:tr>
        <w:trPr>
          <w:trHeight w:val="136"/>
        </w:trPr>
        <w:tc>
          <w:tcPr>
            <w:tcW w:w="380" w:type="dxa"/>
            <w:vAlign w:val="bottom"/>
          </w:tcPr>
          <w:p>
            <w:pPr>
              <w:spacing w:after="0"/>
              <w:rPr>
                <w:sz w:val="20"/>
                <w:szCs w:val="20"/>
                <w:color w:val="auto"/>
              </w:rPr>
            </w:pPr>
            <w:r>
              <w:rPr>
                <w:rFonts w:ascii="Courier New" w:cs="Courier New" w:eastAsia="Courier New" w:hAnsi="Courier New"/>
                <w:sz w:val="12"/>
                <w:szCs w:val="12"/>
                <w:color w:val="auto"/>
              </w:rPr>
              <w:t>(a)</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64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Broker or dealer registered under section 15 of the</w:t>
            </w:r>
          </w:p>
        </w:tc>
      </w:tr>
      <w:tr>
        <w:trPr>
          <w:trHeight w:val="198"/>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2"/>
                <w:szCs w:val="12"/>
                <w:color w:val="auto"/>
                <w:w w:val="99"/>
              </w:rPr>
              <w:t>Act (15</w:t>
            </w:r>
          </w:p>
        </w:tc>
        <w:tc>
          <w:tcPr>
            <w:tcW w:w="500" w:type="dxa"/>
            <w:vAlign w:val="bottom"/>
          </w:tcPr>
          <w:p>
            <w:pPr>
              <w:ind w:left="40"/>
              <w:spacing w:after="0"/>
              <w:rPr>
                <w:sz w:val="20"/>
                <w:szCs w:val="20"/>
                <w:color w:val="auto"/>
              </w:rPr>
            </w:pPr>
            <w:r>
              <w:rPr>
                <w:rFonts w:ascii="Courier New" w:cs="Courier New" w:eastAsia="Courier New" w:hAnsi="Courier New"/>
                <w:sz w:val="12"/>
                <w:szCs w:val="12"/>
                <w:color w:val="auto"/>
              </w:rPr>
              <w:t>U.S.C.</w:t>
            </w:r>
          </w:p>
        </w:tc>
        <w:tc>
          <w:tcPr>
            <w:tcW w:w="3400" w:type="dxa"/>
            <w:vAlign w:val="bottom"/>
          </w:tcPr>
          <w:p>
            <w:pPr>
              <w:ind w:left="40"/>
              <w:spacing w:after="0"/>
              <w:rPr>
                <w:sz w:val="20"/>
                <w:szCs w:val="20"/>
                <w:color w:val="auto"/>
              </w:rPr>
            </w:pPr>
            <w:r>
              <w:rPr>
                <w:rFonts w:ascii="Courier New" w:cs="Courier New" w:eastAsia="Courier New" w:hAnsi="Courier New"/>
                <w:sz w:val="12"/>
                <w:szCs w:val="12"/>
                <w:color w:val="auto"/>
              </w:rPr>
              <w:t>78o).</w:t>
            </w:r>
          </w:p>
        </w:tc>
      </w:tr>
      <w:tr>
        <w:trPr>
          <w:trHeight w:val="270"/>
        </w:trPr>
        <w:tc>
          <w:tcPr>
            <w:tcW w:w="380" w:type="dxa"/>
            <w:vAlign w:val="bottom"/>
          </w:tcPr>
          <w:p>
            <w:pPr>
              <w:spacing w:after="0"/>
              <w:rPr>
                <w:sz w:val="20"/>
                <w:szCs w:val="20"/>
                <w:color w:val="auto"/>
              </w:rPr>
            </w:pPr>
            <w:r>
              <w:rPr>
                <w:rFonts w:ascii="Courier New" w:cs="Courier New" w:eastAsia="Courier New" w:hAnsi="Courier New"/>
                <w:sz w:val="12"/>
                <w:szCs w:val="12"/>
                <w:color w:val="auto"/>
              </w:rPr>
              <w:t>(b)</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640" w:type="dxa"/>
            <w:vAlign w:val="bottom"/>
            <w:gridSpan w:val="3"/>
          </w:tcPr>
          <w:p>
            <w:pPr>
              <w:ind w:left="220"/>
              <w:spacing w:after="0"/>
              <w:rPr>
                <w:sz w:val="20"/>
                <w:szCs w:val="20"/>
                <w:color w:val="auto"/>
              </w:rPr>
            </w:pPr>
            <w:r>
              <w:rPr>
                <w:rFonts w:ascii="Courier New" w:cs="Courier New" w:eastAsia="Courier New" w:hAnsi="Courier New"/>
                <w:sz w:val="12"/>
                <w:szCs w:val="12"/>
                <w:color w:val="auto"/>
                <w:w w:val="98"/>
              </w:rPr>
              <w:t>Bank as defined in section 3(a)(6) of the Act (15 U.S.C. 78c).</w:t>
            </w:r>
          </w:p>
        </w:tc>
      </w:tr>
      <w:tr>
        <w:trPr>
          <w:trHeight w:val="208"/>
        </w:trPr>
        <w:tc>
          <w:tcPr>
            <w:tcW w:w="380" w:type="dxa"/>
            <w:vAlign w:val="bottom"/>
          </w:tcPr>
          <w:p>
            <w:pPr>
              <w:spacing w:after="0"/>
              <w:rPr>
                <w:sz w:val="20"/>
                <w:szCs w:val="20"/>
                <w:color w:val="auto"/>
              </w:rPr>
            </w:pPr>
            <w:r>
              <w:rPr>
                <w:rFonts w:ascii="Courier New" w:cs="Courier New" w:eastAsia="Courier New" w:hAnsi="Courier New"/>
                <w:sz w:val="12"/>
                <w:szCs w:val="12"/>
                <w:color w:val="auto"/>
              </w:rPr>
              <w:t>(c)</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64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Insurance company as defined in section 3(a)(19) of the</w:t>
            </w:r>
          </w:p>
        </w:tc>
      </w:tr>
      <w:tr>
        <w:trPr>
          <w:trHeight w:val="198"/>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2"/>
                <w:szCs w:val="12"/>
                <w:color w:val="auto"/>
                <w:w w:val="99"/>
              </w:rPr>
              <w:t>Act (15</w:t>
            </w:r>
          </w:p>
        </w:tc>
        <w:tc>
          <w:tcPr>
            <w:tcW w:w="500" w:type="dxa"/>
            <w:vAlign w:val="bottom"/>
          </w:tcPr>
          <w:p>
            <w:pPr>
              <w:ind w:left="40"/>
              <w:spacing w:after="0"/>
              <w:rPr>
                <w:sz w:val="20"/>
                <w:szCs w:val="20"/>
                <w:color w:val="auto"/>
              </w:rPr>
            </w:pPr>
            <w:r>
              <w:rPr>
                <w:rFonts w:ascii="Courier New" w:cs="Courier New" w:eastAsia="Courier New" w:hAnsi="Courier New"/>
                <w:sz w:val="12"/>
                <w:szCs w:val="12"/>
                <w:color w:val="auto"/>
              </w:rPr>
              <w:t>U.S.C.</w:t>
            </w:r>
          </w:p>
        </w:tc>
        <w:tc>
          <w:tcPr>
            <w:tcW w:w="3400" w:type="dxa"/>
            <w:vAlign w:val="bottom"/>
          </w:tcPr>
          <w:p>
            <w:pPr>
              <w:ind w:left="40"/>
              <w:spacing w:after="0"/>
              <w:rPr>
                <w:sz w:val="20"/>
                <w:szCs w:val="20"/>
                <w:color w:val="auto"/>
              </w:rPr>
            </w:pPr>
            <w:r>
              <w:rPr>
                <w:rFonts w:ascii="Courier New" w:cs="Courier New" w:eastAsia="Courier New" w:hAnsi="Courier New"/>
                <w:sz w:val="12"/>
                <w:szCs w:val="12"/>
                <w:color w:val="auto"/>
              </w:rPr>
              <w:t>78c).</w:t>
            </w:r>
          </w:p>
        </w:tc>
      </w:tr>
      <w:tr>
        <w:trPr>
          <w:trHeight w:val="208"/>
        </w:trPr>
        <w:tc>
          <w:tcPr>
            <w:tcW w:w="380" w:type="dxa"/>
            <w:vAlign w:val="bottom"/>
          </w:tcPr>
          <w:p>
            <w:pPr>
              <w:spacing w:after="0"/>
              <w:rPr>
                <w:sz w:val="20"/>
                <w:szCs w:val="20"/>
                <w:color w:val="auto"/>
              </w:rPr>
            </w:pPr>
            <w:r>
              <w:rPr>
                <w:rFonts w:ascii="Courier New" w:cs="Courier New" w:eastAsia="Courier New" w:hAnsi="Courier New"/>
                <w:sz w:val="12"/>
                <w:szCs w:val="12"/>
                <w:color w:val="auto"/>
              </w:rPr>
              <w:t>(d)</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640" w:type="dxa"/>
            <w:vAlign w:val="bottom"/>
            <w:gridSpan w:val="3"/>
          </w:tcPr>
          <w:p>
            <w:pPr>
              <w:ind w:left="220"/>
              <w:spacing w:after="0"/>
              <w:rPr>
                <w:sz w:val="20"/>
                <w:szCs w:val="20"/>
                <w:color w:val="auto"/>
              </w:rPr>
            </w:pPr>
            <w:r>
              <w:rPr>
                <w:rFonts w:ascii="Courier New" w:cs="Courier New" w:eastAsia="Courier New" w:hAnsi="Courier New"/>
                <w:sz w:val="12"/>
                <w:szCs w:val="12"/>
                <w:color w:val="auto"/>
                <w:w w:val="96"/>
              </w:rPr>
              <w:t>Investment company registered under section 8 of the Investment</w:t>
            </w:r>
          </w:p>
        </w:tc>
      </w:tr>
      <w:tr>
        <w:trPr>
          <w:trHeight w:val="198"/>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9"/>
              </w:rPr>
              <w:t>Company Act of</w:t>
            </w:r>
          </w:p>
        </w:tc>
        <w:tc>
          <w:tcPr>
            <w:tcW w:w="3400" w:type="dxa"/>
            <w:vAlign w:val="bottom"/>
          </w:tcPr>
          <w:p>
            <w:pPr>
              <w:ind w:left="40"/>
              <w:spacing w:after="0"/>
              <w:rPr>
                <w:sz w:val="20"/>
                <w:szCs w:val="20"/>
                <w:color w:val="auto"/>
              </w:rPr>
            </w:pPr>
            <w:r>
              <w:rPr>
                <w:rFonts w:ascii="Courier New" w:cs="Courier New" w:eastAsia="Courier New" w:hAnsi="Courier New"/>
                <w:sz w:val="12"/>
                <w:szCs w:val="12"/>
                <w:color w:val="auto"/>
              </w:rPr>
              <w:t>1940 (15 U.S.C. 80a-8).</w:t>
            </w:r>
          </w:p>
        </w:tc>
      </w:tr>
    </w:tbl>
    <w:p>
      <w:pPr>
        <w:sectPr>
          <w:pgSz w:w="11900" w:h="16937" w:orient="portrait"/>
          <w:cols w:equalWidth="0" w:num="1">
            <w:col w:w="10247"/>
          </w:cols>
          <w:pgMar w:left="212" w:top="191" w:right="1440" w:bottom="0" w:gutter="0" w:footer="0" w:header="0"/>
        </w:sectPr>
      </w:pPr>
    </w:p>
    <w:bookmarkStart w:id="1" w:name="page2"/>
    <w:bookmarkEnd w:id="1"/>
    <w:p>
      <w:pPr>
        <w:ind w:left="1680" w:right="5179" w:hanging="1126"/>
        <w:spacing w:after="0" w:line="347" w:lineRule="auto"/>
        <w:tabs>
          <w:tab w:leader="none" w:pos="111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[X]An investment adviser in accordance with section 240.13d-1(b)(1)(ii)(E);</w:t>
      </w:r>
    </w:p>
    <w:p>
      <w:pPr>
        <w:spacing w:after="0" w:line="11" w:lineRule="exact"/>
        <w:rPr>
          <w:sz w:val="20"/>
          <w:szCs w:val="20"/>
          <w:color w:val="auto"/>
        </w:rPr>
      </w:pPr>
    </w:p>
    <w:tbl>
      <w:tblPr>
        <w:tblLayout w:type="fixed"/>
        <w:tblInd w:w="560" w:type="dxa"/>
        <w:tblCellMar>
          <w:top w:w="0" w:type="dxa"/>
          <w:left w:w="0" w:type="dxa"/>
          <w:bottom w:w="0" w:type="dxa"/>
          <w:right w:w="0" w:type="dxa"/>
        </w:tblCellMar>
      </w:tblPr>
      <w:tr>
        <w:trPr>
          <w:trHeight w:val="136"/>
        </w:trPr>
        <w:tc>
          <w:tcPr>
            <w:tcW w:w="380" w:type="dxa"/>
            <w:vAlign w:val="bottom"/>
          </w:tcPr>
          <w:p>
            <w:pPr>
              <w:spacing w:after="0"/>
              <w:rPr>
                <w:sz w:val="20"/>
                <w:szCs w:val="20"/>
                <w:color w:val="auto"/>
              </w:rPr>
            </w:pPr>
            <w:r>
              <w:rPr>
                <w:rFonts w:ascii="Courier New" w:cs="Courier New" w:eastAsia="Courier New" w:hAnsi="Courier New"/>
                <w:sz w:val="12"/>
                <w:szCs w:val="12"/>
                <w:color w:val="auto"/>
              </w:rPr>
              <w:t>(f)</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w w:val="98"/>
              </w:rPr>
              <w:t>An employee benefit plan or endowment fund in accordance</w:t>
            </w:r>
          </w:p>
        </w:tc>
        <w:tc>
          <w:tcPr>
            <w:tcW w:w="700" w:type="dxa"/>
            <w:vAlign w:val="bottom"/>
          </w:tcPr>
          <w:p>
            <w:pPr>
              <w:spacing w:after="0"/>
              <w:rPr>
                <w:sz w:val="20"/>
                <w:szCs w:val="20"/>
                <w:color w:val="auto"/>
              </w:rPr>
            </w:pPr>
            <w:r>
              <w:rPr>
                <w:rFonts w:ascii="Courier New" w:cs="Courier New" w:eastAsia="Courier New" w:hAnsi="Courier New"/>
                <w:sz w:val="12"/>
                <w:szCs w:val="12"/>
                <w:color w:val="auto"/>
              </w:rPr>
              <w:t>with</w:t>
            </w:r>
          </w:p>
        </w:tc>
      </w:tr>
      <w:tr>
        <w:trPr>
          <w:trHeight w:val="198"/>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rPr>
              <w:t>section 240.13d-1(b)(1)(ii)(F);</w:t>
            </w:r>
          </w:p>
        </w:tc>
        <w:tc>
          <w:tcPr>
            <w:tcW w:w="700" w:type="dxa"/>
            <w:vAlign w:val="bottom"/>
          </w:tcPr>
          <w:p>
            <w:pPr>
              <w:spacing w:after="0"/>
              <w:rPr>
                <w:sz w:val="17"/>
                <w:szCs w:val="17"/>
                <w:color w:val="auto"/>
              </w:rPr>
            </w:pPr>
          </w:p>
        </w:tc>
      </w:tr>
      <w:tr>
        <w:trPr>
          <w:trHeight w:val="208"/>
        </w:trPr>
        <w:tc>
          <w:tcPr>
            <w:tcW w:w="380" w:type="dxa"/>
            <w:vAlign w:val="bottom"/>
          </w:tcPr>
          <w:p>
            <w:pPr>
              <w:spacing w:after="0"/>
              <w:rPr>
                <w:sz w:val="20"/>
                <w:szCs w:val="20"/>
                <w:color w:val="auto"/>
              </w:rPr>
            </w:pPr>
            <w:r>
              <w:rPr>
                <w:rFonts w:ascii="Courier New" w:cs="Courier New" w:eastAsia="Courier New" w:hAnsi="Courier New"/>
                <w:sz w:val="12"/>
                <w:szCs w:val="12"/>
                <w:color w:val="auto"/>
              </w:rPr>
              <w:t>(g)</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w w:val="98"/>
              </w:rPr>
              <w:t>A parent holding company or control person in accordance</w:t>
            </w:r>
          </w:p>
        </w:tc>
        <w:tc>
          <w:tcPr>
            <w:tcW w:w="700" w:type="dxa"/>
            <w:vAlign w:val="bottom"/>
          </w:tcPr>
          <w:p>
            <w:pPr>
              <w:spacing w:after="0"/>
              <w:rPr>
                <w:sz w:val="20"/>
                <w:szCs w:val="20"/>
                <w:color w:val="auto"/>
              </w:rPr>
            </w:pPr>
            <w:r>
              <w:rPr>
                <w:rFonts w:ascii="Courier New" w:cs="Courier New" w:eastAsia="Courier New" w:hAnsi="Courier New"/>
                <w:sz w:val="12"/>
                <w:szCs w:val="12"/>
                <w:color w:val="auto"/>
              </w:rPr>
              <w:t>with</w:t>
            </w:r>
          </w:p>
        </w:tc>
      </w:tr>
      <w:tr>
        <w:trPr>
          <w:trHeight w:val="198"/>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rPr>
              <w:t>section 240.13d-1(b)(1)(ii)(G);</w:t>
            </w:r>
          </w:p>
        </w:tc>
        <w:tc>
          <w:tcPr>
            <w:tcW w:w="700" w:type="dxa"/>
            <w:vAlign w:val="bottom"/>
          </w:tcPr>
          <w:p>
            <w:pPr>
              <w:spacing w:after="0"/>
              <w:rPr>
                <w:sz w:val="17"/>
                <w:szCs w:val="17"/>
                <w:color w:val="auto"/>
              </w:rPr>
            </w:pPr>
          </w:p>
        </w:tc>
      </w:tr>
      <w:tr>
        <w:trPr>
          <w:trHeight w:val="208"/>
        </w:trPr>
        <w:tc>
          <w:tcPr>
            <w:tcW w:w="380" w:type="dxa"/>
            <w:vAlign w:val="bottom"/>
          </w:tcPr>
          <w:p>
            <w:pPr>
              <w:spacing w:after="0"/>
              <w:rPr>
                <w:sz w:val="20"/>
                <w:szCs w:val="20"/>
                <w:color w:val="auto"/>
              </w:rPr>
            </w:pPr>
            <w:r>
              <w:rPr>
                <w:rFonts w:ascii="Courier New" w:cs="Courier New" w:eastAsia="Courier New" w:hAnsi="Courier New"/>
                <w:sz w:val="12"/>
                <w:szCs w:val="12"/>
                <w:color w:val="auto"/>
              </w:rPr>
              <w:t>(h)</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w w:val="98"/>
              </w:rPr>
              <w:t>A savings associations as defined in Section 3(b) of the</w:t>
            </w:r>
          </w:p>
        </w:tc>
        <w:tc>
          <w:tcPr>
            <w:tcW w:w="700" w:type="dxa"/>
            <w:vAlign w:val="bottom"/>
          </w:tcPr>
          <w:p>
            <w:pPr>
              <w:spacing w:after="0"/>
              <w:rPr>
                <w:sz w:val="20"/>
                <w:szCs w:val="20"/>
                <w:color w:val="auto"/>
              </w:rPr>
            </w:pPr>
            <w:r>
              <w:rPr>
                <w:rFonts w:ascii="Courier New" w:cs="Courier New" w:eastAsia="Courier New" w:hAnsi="Courier New"/>
                <w:sz w:val="12"/>
                <w:szCs w:val="12"/>
                <w:color w:val="auto"/>
              </w:rPr>
              <w:t>Federal</w:t>
            </w:r>
          </w:p>
        </w:tc>
      </w:tr>
      <w:tr>
        <w:trPr>
          <w:trHeight w:val="198"/>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rPr>
              <w:t>Deposit Insurance Act (12 U.S.C. 1813);</w:t>
            </w:r>
          </w:p>
        </w:tc>
        <w:tc>
          <w:tcPr>
            <w:tcW w:w="700" w:type="dxa"/>
            <w:vAlign w:val="bottom"/>
          </w:tcPr>
          <w:p>
            <w:pPr>
              <w:spacing w:after="0"/>
              <w:rPr>
                <w:sz w:val="17"/>
                <w:szCs w:val="17"/>
                <w:color w:val="auto"/>
              </w:rPr>
            </w:pPr>
          </w:p>
        </w:tc>
      </w:tr>
      <w:tr>
        <w:trPr>
          <w:trHeight w:val="208"/>
        </w:trPr>
        <w:tc>
          <w:tcPr>
            <w:tcW w:w="380" w:type="dxa"/>
            <w:vAlign w:val="bottom"/>
          </w:tcPr>
          <w:p>
            <w:pPr>
              <w:spacing w:after="0"/>
              <w:rPr>
                <w:sz w:val="20"/>
                <w:szCs w:val="20"/>
                <w:color w:val="auto"/>
              </w:rPr>
            </w:pPr>
            <w:r>
              <w:rPr>
                <w:rFonts w:ascii="Courier New" w:cs="Courier New" w:eastAsia="Courier New" w:hAnsi="Courier New"/>
                <w:sz w:val="12"/>
                <w:szCs w:val="12"/>
                <w:color w:val="auto"/>
              </w:rPr>
              <w:t>(i)</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w w:val="98"/>
              </w:rPr>
              <w:t>A church plan that is excluded from the definition of an</w:t>
            </w:r>
          </w:p>
        </w:tc>
        <w:tc>
          <w:tcPr>
            <w:tcW w:w="700" w:type="dxa"/>
            <w:vAlign w:val="bottom"/>
          </w:tcPr>
          <w:p>
            <w:pPr>
              <w:spacing w:after="0"/>
              <w:rPr>
                <w:sz w:val="20"/>
                <w:szCs w:val="20"/>
                <w:color w:val="auto"/>
              </w:rPr>
            </w:pPr>
            <w:r>
              <w:rPr>
                <w:rFonts w:ascii="Courier New" w:cs="Courier New" w:eastAsia="Courier New" w:hAnsi="Courier New"/>
                <w:sz w:val="12"/>
                <w:szCs w:val="12"/>
                <w:color w:val="auto"/>
                <w:w w:val="94"/>
              </w:rPr>
              <w:t>investment</w:t>
            </w:r>
          </w:p>
        </w:tc>
      </w:tr>
      <w:tr>
        <w:trPr>
          <w:trHeight w:val="135"/>
        </w:trPr>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w w:val="98"/>
              </w:rPr>
              <w:t>company under section 3(c)(14) of the Investment Company</w:t>
            </w:r>
          </w:p>
        </w:tc>
        <w:tc>
          <w:tcPr>
            <w:tcW w:w="700" w:type="dxa"/>
            <w:vAlign w:val="bottom"/>
          </w:tcPr>
          <w:p>
            <w:pPr>
              <w:spacing w:after="0"/>
              <w:rPr>
                <w:sz w:val="11"/>
                <w:szCs w:val="11"/>
                <w:color w:val="auto"/>
              </w:rPr>
            </w:pPr>
          </w:p>
        </w:tc>
      </w:tr>
      <w:tr>
        <w:trPr>
          <w:trHeight w:val="198"/>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rPr>
              <w:t>Act of 1940 (15 U.S.C. 80a-3);</w:t>
            </w:r>
          </w:p>
        </w:tc>
        <w:tc>
          <w:tcPr>
            <w:tcW w:w="700" w:type="dxa"/>
            <w:vAlign w:val="bottom"/>
          </w:tcPr>
          <w:p>
            <w:pPr>
              <w:spacing w:after="0"/>
              <w:rPr>
                <w:sz w:val="17"/>
                <w:szCs w:val="17"/>
                <w:color w:val="auto"/>
              </w:rPr>
            </w:pPr>
          </w:p>
        </w:tc>
      </w:tr>
      <w:tr>
        <w:trPr>
          <w:trHeight w:val="270"/>
        </w:trPr>
        <w:tc>
          <w:tcPr>
            <w:tcW w:w="380" w:type="dxa"/>
            <w:vAlign w:val="bottom"/>
          </w:tcPr>
          <w:p>
            <w:pPr>
              <w:spacing w:after="0"/>
              <w:rPr>
                <w:sz w:val="20"/>
                <w:szCs w:val="20"/>
                <w:color w:val="auto"/>
              </w:rPr>
            </w:pPr>
            <w:r>
              <w:rPr>
                <w:rFonts w:ascii="Courier New" w:cs="Courier New" w:eastAsia="Courier New" w:hAnsi="Courier New"/>
                <w:sz w:val="12"/>
                <w:szCs w:val="12"/>
                <w:color w:val="auto"/>
              </w:rPr>
              <w:t>(j)</w:t>
            </w: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4220" w:type="dxa"/>
            <w:vAlign w:val="bottom"/>
          </w:tcPr>
          <w:p>
            <w:pPr>
              <w:ind w:left="220"/>
              <w:spacing w:after="0"/>
              <w:rPr>
                <w:sz w:val="20"/>
                <w:szCs w:val="20"/>
                <w:color w:val="auto"/>
              </w:rPr>
            </w:pPr>
            <w:r>
              <w:rPr>
                <w:rFonts w:ascii="Courier New" w:cs="Courier New" w:eastAsia="Courier New" w:hAnsi="Courier New"/>
                <w:sz w:val="12"/>
                <w:szCs w:val="12"/>
                <w:color w:val="auto"/>
                <w:w w:val="96"/>
              </w:rPr>
              <w:t>Group, in accordance with section 240.13d-1(b)(1)(ii)(J).</w:t>
            </w:r>
          </w:p>
        </w:tc>
        <w:tc>
          <w:tcPr>
            <w:tcW w:w="700" w:type="dxa"/>
            <w:vAlign w:val="bottom"/>
          </w:tcPr>
          <w:p>
            <w:pPr>
              <w:spacing w:after="0"/>
              <w:rPr>
                <w:sz w:val="23"/>
                <w:szCs w:val="23"/>
                <w:color w:val="auto"/>
              </w:rPr>
            </w:pPr>
          </w:p>
        </w:tc>
      </w:tr>
    </w:tbl>
    <w:p>
      <w:pPr>
        <w:spacing w:after="0" w:line="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4.</w:t>
      </w:r>
      <w:r>
        <w:rPr>
          <w:sz w:val="20"/>
          <w:szCs w:val="20"/>
          <w:color w:val="auto"/>
        </w:rPr>
        <w:tab/>
      </w:r>
      <w:r>
        <w:rPr>
          <w:rFonts w:ascii="Courier New" w:cs="Courier New" w:eastAsia="Courier New" w:hAnsi="Courier New"/>
          <w:sz w:val="11"/>
          <w:szCs w:val="11"/>
          <w:color w:val="auto"/>
        </w:rPr>
        <w:t>Ownership.</w:t>
      </w:r>
    </w:p>
    <w:p>
      <w:pPr>
        <w:spacing w:after="0" w:line="134" w:lineRule="exact"/>
        <w:rPr>
          <w:sz w:val="20"/>
          <w:szCs w:val="20"/>
          <w:color w:val="auto"/>
        </w:rPr>
      </w:pPr>
    </w:p>
    <w:p>
      <w:pPr>
        <w:ind w:right="4699"/>
        <w:spacing w:after="0" w:line="347" w:lineRule="auto"/>
        <w:rPr>
          <w:sz w:val="20"/>
          <w:szCs w:val="20"/>
          <w:color w:val="auto"/>
        </w:rPr>
      </w:pPr>
      <w:r>
        <w:rPr>
          <w:rFonts w:ascii="Courier New" w:cs="Courier New" w:eastAsia="Courier New" w:hAnsi="Courier New"/>
          <w:sz w:val="12"/>
          <w:szCs w:val="12"/>
          <w:color w:val="auto"/>
        </w:rPr>
        <w:t>Provide the following information regarding the aggregate number and percentage of the class of securities of the issuer identified in Item 1.</w:t>
      </w:r>
    </w:p>
    <w:p>
      <w:pPr>
        <w:spacing w:after="0" w:line="147" w:lineRule="exact"/>
        <w:rPr>
          <w:sz w:val="20"/>
          <w:szCs w:val="20"/>
          <w:color w:val="auto"/>
        </w:rPr>
      </w:pPr>
    </w:p>
    <w:p>
      <w:pPr>
        <w:ind w:left="1680" w:hanging="1126"/>
        <w:spacing w:after="0"/>
        <w:tabs>
          <w:tab w:leader="none" w:pos="168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  4,644,073</w:t>
      </w:r>
    </w:p>
    <w:p>
      <w:pPr>
        <w:spacing w:after="0" w:line="134" w:lineRule="exact"/>
        <w:rPr>
          <w:rFonts w:ascii="Courier New" w:cs="Courier New" w:eastAsia="Courier New" w:hAnsi="Courier New"/>
          <w:sz w:val="12"/>
          <w:szCs w:val="12"/>
          <w:color w:val="auto"/>
        </w:rPr>
      </w:pPr>
    </w:p>
    <w:p>
      <w:pPr>
        <w:ind w:left="1680" w:hanging="1126"/>
        <w:spacing w:after="0"/>
        <w:tabs>
          <w:tab w:leader="none" w:pos="168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5.5%</w:t>
      </w:r>
    </w:p>
    <w:p>
      <w:pPr>
        <w:spacing w:after="0" w:line="134" w:lineRule="exact"/>
        <w:rPr>
          <w:rFonts w:ascii="Courier New" w:cs="Courier New" w:eastAsia="Courier New" w:hAnsi="Courier New"/>
          <w:sz w:val="12"/>
          <w:szCs w:val="12"/>
          <w:color w:val="auto"/>
        </w:rPr>
      </w:pPr>
    </w:p>
    <w:p>
      <w:pPr>
        <w:ind w:left="1680" w:hanging="1126"/>
        <w:spacing w:after="0"/>
        <w:tabs>
          <w:tab w:leader="none" w:pos="168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the person has:</w:t>
      </w:r>
    </w:p>
    <w:p>
      <w:pPr>
        <w:spacing w:after="0" w:line="134" w:lineRule="exact"/>
        <w:rPr>
          <w:rFonts w:ascii="Courier New" w:cs="Courier New" w:eastAsia="Courier New" w:hAnsi="Courier New"/>
          <w:sz w:val="12"/>
          <w:szCs w:val="12"/>
          <w:color w:val="auto"/>
        </w:rPr>
      </w:pPr>
    </w:p>
    <w:p>
      <w:pPr>
        <w:ind w:left="2240" w:hanging="562"/>
        <w:spacing w:after="0"/>
        <w:tabs>
          <w:tab w:leader="none" w:pos="224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4,412,721</w:t>
      </w:r>
    </w:p>
    <w:p>
      <w:pPr>
        <w:spacing w:after="0" w:line="134" w:lineRule="exact"/>
        <w:rPr>
          <w:rFonts w:ascii="Courier New" w:cs="Courier New" w:eastAsia="Courier New" w:hAnsi="Courier New"/>
          <w:sz w:val="12"/>
          <w:szCs w:val="12"/>
          <w:color w:val="auto"/>
        </w:rPr>
      </w:pPr>
    </w:p>
    <w:p>
      <w:pPr>
        <w:ind w:left="2240" w:hanging="562"/>
        <w:spacing w:after="0"/>
        <w:tabs>
          <w:tab w:leader="none" w:pos="224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  0</w:t>
      </w:r>
    </w:p>
    <w:p>
      <w:pPr>
        <w:spacing w:after="0" w:line="134" w:lineRule="exact"/>
        <w:rPr>
          <w:rFonts w:ascii="Courier New" w:cs="Courier New" w:eastAsia="Courier New" w:hAnsi="Courier New"/>
          <w:sz w:val="12"/>
          <w:szCs w:val="12"/>
          <w:color w:val="auto"/>
        </w:rPr>
      </w:pPr>
    </w:p>
    <w:p>
      <w:pPr>
        <w:ind w:left="2240" w:hanging="562"/>
        <w:spacing w:after="0"/>
        <w:tabs>
          <w:tab w:leader="none" w:pos="2240" w:val="left"/>
        </w:tabs>
        <w:numPr>
          <w:ilvl w:val="1"/>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Sole power to dispose or to direct the disposition of  4,644,073</w:t>
      </w:r>
    </w:p>
    <w:p>
      <w:pPr>
        <w:spacing w:after="0" w:line="145" w:lineRule="exact"/>
        <w:rPr>
          <w:rFonts w:ascii="Courier New" w:cs="Courier New" w:eastAsia="Courier New" w:hAnsi="Courier New"/>
          <w:sz w:val="11"/>
          <w:szCs w:val="11"/>
          <w:color w:val="auto"/>
        </w:rPr>
      </w:pPr>
    </w:p>
    <w:p>
      <w:pPr>
        <w:ind w:left="2240" w:hanging="562"/>
        <w:spacing w:after="0"/>
        <w:tabs>
          <w:tab w:leader="none" w:pos="2240"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  0</w:t>
      </w:r>
    </w:p>
    <w:p>
      <w:pPr>
        <w:spacing w:after="0" w:line="134" w:lineRule="exact"/>
        <w:rPr>
          <w:sz w:val="20"/>
          <w:szCs w:val="20"/>
          <w:color w:val="auto"/>
        </w:rPr>
      </w:pPr>
    </w:p>
    <w:p>
      <w:pPr>
        <w:ind w:right="4839"/>
        <w:spacing w:after="0" w:line="347" w:lineRule="auto"/>
        <w:rPr>
          <w:sz w:val="20"/>
          <w:szCs w:val="20"/>
          <w:color w:val="auto"/>
        </w:rPr>
      </w:pPr>
      <w:r>
        <w:rPr>
          <w:rFonts w:ascii="Courier New" w:cs="Courier New" w:eastAsia="Courier New" w:hAnsi="Courier New"/>
          <w:sz w:val="12"/>
          <w:szCs w:val="12"/>
          <w:color w:val="auto"/>
        </w:rPr>
        <w:t>Instruction. For computations regarding securities which represent a right to acquire an underlying security see section 240.13d-3(d)(1).</w:t>
      </w:r>
    </w:p>
    <w:p>
      <w:pPr>
        <w:spacing w:after="0" w:line="1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5.</w:t>
      </w:r>
      <w:r>
        <w:rPr>
          <w:sz w:val="20"/>
          <w:szCs w:val="20"/>
          <w:color w:val="auto"/>
        </w:rPr>
        <w:tab/>
      </w:r>
      <w:r>
        <w:rPr>
          <w:rFonts w:ascii="Courier New" w:cs="Courier New" w:eastAsia="Courier New" w:hAnsi="Courier New"/>
          <w:sz w:val="11"/>
          <w:szCs w:val="11"/>
          <w:color w:val="auto"/>
        </w:rPr>
        <w:t>Ownership of Five Percent or Less of a Class.</w:t>
      </w:r>
    </w:p>
    <w:p>
      <w:pPr>
        <w:spacing w:after="0" w:line="134" w:lineRule="exact"/>
        <w:rPr>
          <w:sz w:val="20"/>
          <w:szCs w:val="20"/>
          <w:color w:val="auto"/>
        </w:rPr>
      </w:pPr>
    </w:p>
    <w:p>
      <w:pPr>
        <w:ind w:right="4759"/>
        <w:spacing w:after="0" w:line="292"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Instruction. Dissolution of a group requires a response to this item.</w:t>
      </w:r>
    </w:p>
    <w:p>
      <w:pPr>
        <w:spacing w:after="0" w:line="13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6.</w:t>
      </w:r>
      <w:r>
        <w:rPr>
          <w:sz w:val="20"/>
          <w:szCs w:val="20"/>
          <w:color w:val="auto"/>
        </w:rPr>
        <w:tab/>
      </w:r>
      <w:r>
        <w:rPr>
          <w:rFonts w:ascii="Courier New" w:cs="Courier New" w:eastAsia="Courier New" w:hAnsi="Courier New"/>
          <w:sz w:val="11"/>
          <w:szCs w:val="11"/>
          <w:color w:val="auto"/>
        </w:rPr>
        <w:t>Ownership of More than Five Percent on Behalf of Another Person.</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Not Applicable</w:t>
      </w:r>
    </w:p>
    <w:p>
      <w:pPr>
        <w:spacing w:after="0" w:line="112" w:lineRule="exact"/>
        <w:rPr>
          <w:sz w:val="20"/>
          <w:szCs w:val="20"/>
          <w:color w:val="auto"/>
        </w:rPr>
      </w:pPr>
    </w:p>
    <w:p>
      <w:pPr>
        <w:ind w:right="4699"/>
        <w:spacing w:after="0" w:line="257" w:lineRule="auto"/>
        <w:rPr>
          <w:sz w:val="20"/>
          <w:szCs w:val="20"/>
          <w:color w:val="auto"/>
        </w:rPr>
      </w:pPr>
      <w:r>
        <w:rPr>
          <w:rFonts w:ascii="Courier New" w:cs="Courier New" w:eastAsia="Courier New" w:hAnsi="Courier New"/>
          <w:sz w:val="12"/>
          <w:szCs w:val="12"/>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Not Applicable</w:t>
      </w:r>
    </w:p>
    <w:p>
      <w:pPr>
        <w:spacing w:after="0" w:line="11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8.</w:t>
      </w:r>
      <w:r>
        <w:rPr>
          <w:sz w:val="20"/>
          <w:szCs w:val="20"/>
          <w:color w:val="auto"/>
        </w:rPr>
        <w:tab/>
      </w:r>
      <w:r>
        <w:rPr>
          <w:rFonts w:ascii="Courier New" w:cs="Courier New" w:eastAsia="Courier New" w:hAnsi="Courier New"/>
          <w:sz w:val="11"/>
          <w:szCs w:val="11"/>
          <w:color w:val="auto"/>
        </w:rPr>
        <w:t>Identification and Classification of Members of the Group.</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Not Applicable</w:t>
      </w:r>
    </w:p>
    <w:p>
      <w:pPr>
        <w:spacing w:after="0" w:line="11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9.</w:t>
      </w:r>
      <w:r>
        <w:rPr>
          <w:sz w:val="20"/>
          <w:szCs w:val="20"/>
          <w:color w:val="auto"/>
        </w:rPr>
        <w:tab/>
      </w:r>
      <w:r>
        <w:rPr>
          <w:rFonts w:ascii="Courier New" w:cs="Courier New" w:eastAsia="Courier New" w:hAnsi="Courier New"/>
          <w:sz w:val="11"/>
          <w:szCs w:val="11"/>
          <w:color w:val="auto"/>
        </w:rPr>
        <w:t>Notice of Dissolution of Group.</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Not Applicable</w:t>
      </w:r>
    </w:p>
    <w:p>
      <w:pPr>
        <w:spacing w:after="0" w:line="11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134" w:lineRule="exact"/>
        <w:rPr>
          <w:sz w:val="20"/>
          <w:szCs w:val="20"/>
          <w:color w:val="auto"/>
        </w:rPr>
      </w:pPr>
    </w:p>
    <w:p>
      <w:pPr>
        <w:ind w:left="1680" w:right="3579" w:hanging="1126"/>
        <w:spacing w:after="0" w:line="347" w:lineRule="auto"/>
        <w:tabs>
          <w:tab w:leader="none" w:pos="168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2" w:lineRule="exact"/>
        <w:rPr>
          <w:rFonts w:ascii="Courier New" w:cs="Courier New" w:eastAsia="Courier New" w:hAnsi="Courier New"/>
          <w:sz w:val="12"/>
          <w:szCs w:val="12"/>
          <w:color w:val="auto"/>
        </w:rPr>
      </w:pPr>
    </w:p>
    <w:p>
      <w:pPr>
        <w:ind w:left="1680" w:right="3439"/>
        <w:spacing w:after="0" w:line="25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2220" w:val="left"/>
          <w:tab w:leader="none" w:pos="3340" w:val="left"/>
        </w:tabs>
        <w:rPr>
          <w:sz w:val="20"/>
          <w:szCs w:val="20"/>
          <w:color w:val="auto"/>
        </w:rPr>
      </w:pPr>
      <w:r>
        <w:rPr>
          <w:rFonts w:ascii="Courier New" w:cs="Courier New" w:eastAsia="Courier New" w:hAnsi="Courier New"/>
          <w:sz w:val="12"/>
          <w:szCs w:val="12"/>
          <w:color w:val="auto"/>
        </w:rPr>
        <w:t>CUSIP No. 45031U101</w:t>
      </w:r>
      <w:r>
        <w:rPr>
          <w:sz w:val="20"/>
          <w:szCs w:val="20"/>
          <w:color w:val="auto"/>
        </w:rPr>
        <w:tab/>
      </w:r>
      <w:r>
        <w:rPr>
          <w:rFonts w:ascii="Courier New" w:cs="Courier New" w:eastAsia="Courier New" w:hAnsi="Courier New"/>
          <w:sz w:val="12"/>
          <w:szCs w:val="12"/>
          <w:color w:val="auto"/>
        </w:rPr>
        <w:t>13G</w:t>
      </w:r>
      <w:r>
        <w:rPr>
          <w:sz w:val="20"/>
          <w:szCs w:val="20"/>
          <w:color w:val="auto"/>
        </w:rPr>
        <w:tab/>
      </w:r>
      <w:r>
        <w:rPr>
          <w:rFonts w:ascii="Courier New" w:cs="Courier New" w:eastAsia="Courier New" w:hAnsi="Courier New"/>
          <w:sz w:val="11"/>
          <w:szCs w:val="11"/>
          <w:color w:val="auto"/>
        </w:rPr>
        <w:t>Page 3 of 3 Pages</w:t>
      </w:r>
    </w:p>
    <w:p>
      <w:pPr>
        <w:spacing w:after="0" w:line="134" w:lineRule="exact"/>
        <w:rPr>
          <w:sz w:val="20"/>
          <w:szCs w:val="20"/>
          <w:color w:val="auto"/>
        </w:rPr>
      </w:pPr>
    </w:p>
    <w:p>
      <w:pPr>
        <w:ind w:right="4699"/>
        <w:spacing w:after="0" w:line="390" w:lineRule="auto"/>
        <w:rPr>
          <w:sz w:val="20"/>
          <w:szCs w:val="20"/>
          <w:color w:val="auto"/>
        </w:rPr>
      </w:pPr>
      <w:r>
        <w:rPr>
          <w:rFonts w:ascii="Courier New" w:cs="Courier New" w:eastAsia="Courier New" w:hAnsi="Courier New"/>
          <w:sz w:val="11"/>
          <w:szCs w:val="11"/>
          <w:color w:val="auto"/>
        </w:rPr>
        <w:t>After reasonable inquiry and to the best of my knowledge and belief, I certify that the information set forth in this statement is true, complete and correct.</w:t>
      </w:r>
    </w:p>
    <w:p>
      <w:pPr>
        <w:spacing w:after="0"/>
        <w:rPr>
          <w:sz w:val="20"/>
          <w:szCs w:val="20"/>
          <w:color w:val="auto"/>
        </w:rPr>
      </w:pPr>
      <w:r>
        <w:rPr>
          <w:rFonts w:ascii="Courier New" w:cs="Courier New" w:eastAsia="Courier New" w:hAnsi="Courier New"/>
          <w:sz w:val="12"/>
          <w:szCs w:val="12"/>
          <w:color w:val="auto"/>
        </w:rPr>
        <w:t>2/6/2013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Date</w:t>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Gary Young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Signature</w:t>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Gary Young, Chief Compliance Officer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Name/Title</w:t>
      </w:r>
    </w:p>
    <w:sectPr>
      <w:pgSz w:w="11900" w:h="16838" w:orient="portrait"/>
      <w:cols w:equalWidth="0" w:num="1">
        <w:col w:w="10239"/>
      </w:cols>
      <w:pgMar w:left="220" w:top="2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1"/>
    </w:lvl>
    <w:lvl w:ilvl="1">
      <w:lvlJc w:val="left"/>
      <w:lvlText w:val="%2."/>
      <w:numFmt w:val="decimal"/>
      <w:start w:val="5"/>
    </w:lvl>
  </w:abstractNum>
  <w:abstractNum w:abstractNumId="7">
    <w:nsid w:val="1190CDE7"/>
    <w:multiLevelType w:val="hybridMultilevel"/>
    <w:lvl w:ilvl="0">
      <w:lvlJc w:val="left"/>
      <w:lvlText w:val="%1."/>
      <w:numFmt w:val="decimal"/>
      <w:start w:val="9"/>
    </w:lvl>
    <w:lvl w:ilvl="1">
      <w:lvlJc w:val="left"/>
      <w:lvlText w:val="%2"/>
      <w:numFmt w:val="decimal"/>
      <w:start w:val="1"/>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4"/>
    </w:lvl>
  </w:abstractNum>
  <w:abstractNum w:abstractNumId="12">
    <w:nsid w:val="DED7263"/>
    <w:multiLevelType w:val="hybridMultilevel"/>
    <w:lvl w:ilvl="0">
      <w:lvlJc w:val="left"/>
      <w:lvlText w:val="(%1)"/>
      <w:numFmt w:val="lowerLetter"/>
      <w:start w:val="5"/>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2019-12-06T22:32:31Z</dcterms:created>
  <dcterms:modified xsi:type="dcterms:W3CDTF">2019-12-06T22:32:31Z</dcterms:modified>
</cp:coreProperties>
</file>