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933450</wp:posOffset>
            </wp:positionH>
            <wp:positionV relativeFrom="page">
              <wp:posOffset>362585</wp:posOffset>
            </wp:positionV>
            <wp:extent cx="5681345" cy="27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81345" cy="2730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19050</wp:posOffset>
            </wp:positionH>
            <wp:positionV relativeFrom="paragraph">
              <wp:posOffset>-166370</wp:posOffset>
            </wp:positionV>
            <wp:extent cx="568134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81345" cy="698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ind w:left="2520"/>
        <w:spacing w:after="0"/>
        <w:rPr>
          <w:sz w:val="20"/>
          <w:szCs w:val="20"/>
          <w:color w:val="auto"/>
        </w:rPr>
      </w:pPr>
      <w:r>
        <w:rPr>
          <w:rFonts w:ascii="Times New Roman" w:cs="Times New Roman" w:eastAsia="Times New Roman" w:hAnsi="Times New Roman"/>
          <w:sz w:val="10"/>
          <w:szCs w:val="10"/>
          <w:color w:val="auto"/>
        </w:rPr>
        <w:t>_______________________________________________________________________________</w:t>
      </w:r>
    </w:p>
    <w:p>
      <w:pPr>
        <w:jc w:val="center"/>
        <w:spacing w:after="0"/>
        <w:rPr>
          <w:sz w:val="20"/>
          <w:szCs w:val="20"/>
          <w:color w:val="auto"/>
        </w:rPr>
      </w:pPr>
      <w:r>
        <w:rPr>
          <w:rFonts w:ascii="Times New Roman" w:cs="Times New Roman" w:eastAsia="Times New Roman" w:hAnsi="Times New Roman"/>
          <w:sz w:val="24"/>
          <w:szCs w:val="24"/>
          <w:b w:val="1"/>
          <w:bCs w:val="1"/>
          <w:color w:val="auto"/>
        </w:rPr>
        <w:t>FORM 8-K</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Date of Report (Date of earliest event reported): August 5, 2025</w:t>
      </w:r>
    </w:p>
    <w:p>
      <w:pPr>
        <w:spacing w:after="0" w:line="18"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0"/>
          <w:szCs w:val="10"/>
          <w:color w:val="auto"/>
        </w:rPr>
        <w:t>_______________________________________________________________________________</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Safehold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ectPr>
          <w:pgSz w:w="11900" w:h="16838" w:orient="portrait"/>
          <w:cols w:equalWidth="0" w:num="1">
            <w:col w:w="9019"/>
          </w:cols>
          <w:pgMar w:left="1440" w:top="644" w:right="1440" w:bottom="1440" w:gutter="0" w:footer="0" w:header="0"/>
        </w:sectPr>
      </w:pPr>
    </w:p>
    <w:p>
      <w:pPr>
        <w:spacing w:after="0" w:line="190"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2"/>
          <w:szCs w:val="12"/>
          <w:b w:val="1"/>
          <w:bCs w:val="1"/>
          <w:color w:val="auto"/>
        </w:rPr>
        <w:t>Maryland</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jc w:val="center"/>
        <w:ind w:right="1780"/>
        <w:spacing w:after="0"/>
        <w:rPr>
          <w:sz w:val="20"/>
          <w:szCs w:val="20"/>
          <w:color w:val="auto"/>
        </w:rPr>
      </w:pPr>
      <w:r>
        <w:rPr>
          <w:rFonts w:ascii="Times New Roman" w:cs="Times New Roman" w:eastAsia="Times New Roman" w:hAnsi="Times New Roman"/>
          <w:sz w:val="12"/>
          <w:szCs w:val="12"/>
          <w:b w:val="1"/>
          <w:bCs w:val="1"/>
          <w:color w:val="auto"/>
        </w:rPr>
        <w:t>001-15371</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95-6881527</w:t>
      </w:r>
    </w:p>
    <w:p>
      <w:pPr>
        <w:spacing w:after="0" w:line="47" w:lineRule="exact"/>
        <w:rPr>
          <w:sz w:val="24"/>
          <w:szCs w:val="24"/>
          <w:color w:val="auto"/>
        </w:rPr>
      </w:pPr>
    </w:p>
    <w:p>
      <w:pPr>
        <w:sectPr>
          <w:pgSz w:w="11900" w:h="16838" w:orient="portrait"/>
          <w:cols w:equalWidth="0" w:num="3">
            <w:col w:w="3480" w:space="720"/>
            <w:col w:w="2340" w:space="720"/>
            <w:col w:w="1759"/>
          </w:cols>
          <w:pgMar w:left="1440" w:top="644" w:right="1440" w:bottom="1440" w:gutter="0" w:footer="0" w:header="0"/>
          <w:type w:val="continuous"/>
        </w:sectPr>
      </w:pPr>
    </w:p>
    <w:p>
      <w:pPr>
        <w:jc w:val="center"/>
        <w:ind w:right="480"/>
        <w:spacing w:after="0"/>
        <w:rPr>
          <w:sz w:val="20"/>
          <w:szCs w:val="20"/>
          <w:color w:val="auto"/>
        </w:rPr>
      </w:pPr>
      <w:r>
        <w:rPr>
          <w:rFonts w:ascii="Times New Roman" w:cs="Times New Roman" w:eastAsia="Times New Roman" w:hAnsi="Times New Roman"/>
          <w:sz w:val="12"/>
          <w:szCs w:val="12"/>
          <w:color w:val="auto"/>
        </w:rPr>
        <w:t>(State or other jurisdiction of</w:t>
      </w:r>
    </w:p>
    <w:p>
      <w:pPr>
        <w:spacing w:after="0" w:line="29"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3"/>
          <w:szCs w:val="13"/>
          <w:color w:val="auto"/>
        </w:rPr>
        <w:t>incorporation)</w:t>
      </w:r>
    </w:p>
    <w:p>
      <w:pPr>
        <w:spacing w:after="0" w:line="20" w:lineRule="exact"/>
        <w:rPr>
          <w:sz w:val="24"/>
          <w:szCs w:val="24"/>
          <w:color w:val="auto"/>
        </w:rPr>
      </w:pPr>
      <w:r>
        <w:rPr>
          <w:sz w:val="24"/>
          <w:szCs w:val="24"/>
          <w:color w:val="auto"/>
        </w:rPr>
        <w:br w:type="column"/>
      </w:r>
    </w:p>
    <w:p>
      <w:pPr>
        <w:jc w:val="center"/>
        <w:ind w:right="1320"/>
        <w:spacing w:after="0"/>
        <w:rPr>
          <w:sz w:val="20"/>
          <w:szCs w:val="20"/>
          <w:color w:val="auto"/>
        </w:rPr>
      </w:pPr>
      <w:r>
        <w:rPr>
          <w:rFonts w:ascii="Times New Roman" w:cs="Times New Roman" w:eastAsia="Times New Roman" w:hAnsi="Times New Roman"/>
          <w:sz w:val="12"/>
          <w:szCs w:val="12"/>
          <w:color w:val="auto"/>
        </w:rPr>
        <w:t>(Commission File</w:t>
      </w:r>
    </w:p>
    <w:p>
      <w:pPr>
        <w:spacing w:after="0" w:line="29"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3"/>
          <w:szCs w:val="13"/>
          <w:color w:val="auto"/>
        </w:rPr>
        <w:t>Number)</w:t>
      </w:r>
    </w:p>
    <w:p>
      <w:pPr>
        <w:spacing w:after="0" w:line="20" w:lineRule="exact"/>
        <w:rPr>
          <w:sz w:val="24"/>
          <w:szCs w:val="24"/>
          <w:color w:val="auto"/>
        </w:rPr>
      </w:pPr>
      <w:r>
        <w:rPr>
          <w:sz w:val="24"/>
          <w:szCs w:val="24"/>
          <w:color w:val="auto"/>
        </w:rPr>
        <w:br w:type="column"/>
      </w:r>
    </w:p>
    <w:p>
      <w:pPr>
        <w:jc w:val="center"/>
        <w:ind w:right="839"/>
        <w:spacing w:after="0"/>
        <w:rPr>
          <w:sz w:val="20"/>
          <w:szCs w:val="20"/>
          <w:color w:val="auto"/>
        </w:rPr>
      </w:pPr>
      <w:r>
        <w:rPr>
          <w:rFonts w:ascii="Times New Roman" w:cs="Times New Roman" w:eastAsia="Times New Roman" w:hAnsi="Times New Roman"/>
          <w:sz w:val="13"/>
          <w:szCs w:val="13"/>
          <w:color w:val="auto"/>
        </w:rPr>
        <w:t>(IRS Employer</w:t>
      </w:r>
    </w:p>
    <w:p>
      <w:pPr>
        <w:spacing w:after="0" w:line="18"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2"/>
          <w:szCs w:val="12"/>
          <w:color w:val="auto"/>
        </w:rPr>
        <w:t>Identification Number)</w:t>
      </w:r>
    </w:p>
    <w:p>
      <w:pPr>
        <w:spacing w:after="0" w:line="211" w:lineRule="exact"/>
        <w:rPr>
          <w:sz w:val="24"/>
          <w:szCs w:val="24"/>
          <w:color w:val="auto"/>
        </w:rPr>
      </w:pPr>
    </w:p>
    <w:p>
      <w:pPr>
        <w:sectPr>
          <w:pgSz w:w="11900" w:h="16838" w:orient="portrait"/>
          <w:cols w:equalWidth="0" w:num="3">
            <w:col w:w="3300" w:space="720"/>
            <w:col w:w="2240" w:space="720"/>
            <w:col w:w="2039"/>
          </w:cols>
          <w:pgMar w:left="1440" w:top="644" w:right="1440" w:bottom="1440" w:gutter="0" w:footer="0" w:header="0"/>
          <w:type w:val="continuous"/>
        </w:sectPr>
      </w:pPr>
    </w:p>
    <w:p>
      <w:pPr>
        <w:spacing w:after="0" w:line="214"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2"/>
          <w:szCs w:val="12"/>
          <w:b w:val="1"/>
          <w:bCs w:val="1"/>
          <w:color w:val="auto"/>
        </w:rPr>
        <w:t>1114 Avenue of the Americas</w:t>
      </w:r>
    </w:p>
    <w:p>
      <w:pPr>
        <w:sectPr>
          <w:pgSz w:w="11900" w:h="16838" w:orient="portrait"/>
          <w:cols w:equalWidth="0" w:num="1">
            <w:col w:w="9019"/>
          </w:cols>
          <w:pgMar w:left="1440" w:top="644" w:right="1440" w:bottom="1440" w:gutter="0" w:footer="0" w:header="0"/>
          <w:type w:val="continuous"/>
        </w:sectPr>
      </w:pPr>
    </w:p>
    <w:p>
      <w:pPr>
        <w:spacing w:after="0" w:line="45"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3"/>
          <w:szCs w:val="13"/>
          <w:b w:val="1"/>
          <w:bCs w:val="1"/>
          <w:color w:val="auto"/>
        </w:rPr>
        <w:t>39th Floor</w:t>
      </w:r>
    </w:p>
    <w:p>
      <w:pPr>
        <w:spacing w:after="0" w:line="20"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3"/>
          <w:szCs w:val="13"/>
          <w:b w:val="1"/>
          <w:bCs w:val="1"/>
          <w:color w:val="auto"/>
        </w:rPr>
        <w:t>New York  ,  NY</w:t>
      </w:r>
    </w:p>
    <w:p>
      <w:pPr>
        <w:spacing w:after="0" w:line="12"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2"/>
          <w:szCs w:val="12"/>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839"/>
        <w:spacing w:after="0"/>
        <w:rPr>
          <w:sz w:val="20"/>
          <w:szCs w:val="20"/>
          <w:color w:val="auto"/>
        </w:rPr>
      </w:pPr>
      <w:r>
        <w:rPr>
          <w:rFonts w:ascii="Times New Roman" w:cs="Times New Roman" w:eastAsia="Times New Roman" w:hAnsi="Times New Roman"/>
          <w:sz w:val="13"/>
          <w:szCs w:val="13"/>
          <w:b w:val="1"/>
          <w:bCs w:val="1"/>
          <w:color w:val="auto"/>
        </w:rPr>
        <w:t>10036</w:t>
      </w:r>
    </w:p>
    <w:p>
      <w:pPr>
        <w:spacing w:after="0" w:line="20" w:lineRule="exact"/>
        <w:rPr>
          <w:sz w:val="24"/>
          <w:szCs w:val="24"/>
          <w:color w:val="auto"/>
        </w:rPr>
      </w:pPr>
    </w:p>
    <w:p>
      <w:pPr>
        <w:jc w:val="center"/>
        <w:ind w:right="1839"/>
        <w:spacing w:after="0"/>
        <w:rPr>
          <w:sz w:val="20"/>
          <w:szCs w:val="20"/>
          <w:color w:val="auto"/>
        </w:rPr>
      </w:pPr>
      <w:r>
        <w:rPr>
          <w:rFonts w:ascii="Times New Roman" w:cs="Times New Roman" w:eastAsia="Times New Roman" w:hAnsi="Times New Roman"/>
          <w:sz w:val="13"/>
          <w:szCs w:val="13"/>
          <w:color w:val="auto"/>
        </w:rPr>
        <w:t>(Zip Code)</w:t>
      </w:r>
    </w:p>
    <w:p>
      <w:pPr>
        <w:spacing w:after="0" w:line="177" w:lineRule="exact"/>
        <w:rPr>
          <w:sz w:val="24"/>
          <w:szCs w:val="24"/>
          <w:color w:val="auto"/>
        </w:rPr>
      </w:pPr>
    </w:p>
    <w:p>
      <w:pPr>
        <w:sectPr>
          <w:pgSz w:w="11900" w:h="16838" w:orient="portrait"/>
          <w:cols w:equalWidth="0" w:num="2">
            <w:col w:w="5880" w:space="720"/>
            <w:col w:w="2419"/>
          </w:cols>
          <w:pgMar w:left="1440" w:top="644"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3"/>
          <w:szCs w:val="13"/>
          <w:color w:val="auto"/>
        </w:rPr>
        <w:t xml:space="preserve">Registrant’s telephone number, including area code: </w:t>
      </w:r>
      <w:r>
        <w:rPr>
          <w:rFonts w:ascii="Times New Roman" w:cs="Times New Roman" w:eastAsia="Times New Roman" w:hAnsi="Times New Roman"/>
          <w:sz w:val="13"/>
          <w:szCs w:val="13"/>
          <w:b w:val="1"/>
          <w:bCs w:val="1"/>
          <w:color w:val="auto"/>
        </w:rPr>
        <w:t>(212) 930-9400</w:t>
      </w:r>
    </w:p>
    <w:p>
      <w:pPr>
        <w:spacing w:after="0" w:line="44" w:lineRule="exact"/>
        <w:rPr>
          <w:sz w:val="24"/>
          <w:szCs w:val="24"/>
          <w:color w:val="auto"/>
        </w:rPr>
      </w:pPr>
    </w:p>
    <w:p>
      <w:pPr>
        <w:ind w:left="2540"/>
        <w:spacing w:after="0"/>
        <w:rPr>
          <w:sz w:val="20"/>
          <w:szCs w:val="20"/>
          <w:color w:val="auto"/>
        </w:rPr>
      </w:pPr>
      <w:r>
        <w:rPr>
          <w:rFonts w:ascii="Times New Roman" w:cs="Times New Roman" w:eastAsia="Times New Roman" w:hAnsi="Times New Roman"/>
          <w:sz w:val="10"/>
          <w:szCs w:val="10"/>
          <w:color w:val="auto"/>
        </w:rPr>
        <w:t>_______________________________________________________________________________</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N/A</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(Former name or former address, if changed since last report.)</w:t>
      </w:r>
    </w:p>
    <w:p>
      <w:pPr>
        <w:spacing w:after="0" w:line="16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w:t>
      </w:r>
    </w:p>
    <w:p>
      <w:pPr>
        <w:spacing w:after="0" w:line="2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auto"/>
        </w:rPr>
        <w:t>General Instruction A.2. below):</w:t>
      </w:r>
    </w:p>
    <w:p>
      <w:pPr>
        <w:spacing w:after="0" w:line="168" w:lineRule="exact"/>
        <w:rPr>
          <w:sz w:val="24"/>
          <w:szCs w:val="24"/>
          <w:color w:val="auto"/>
        </w:rPr>
      </w:pPr>
    </w:p>
    <w:p>
      <w:pPr>
        <w:ind w:left="180" w:hanging="147"/>
        <w:spacing w:after="0"/>
        <w:tabs>
          <w:tab w:leader="none" w:pos="18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173" w:lineRule="exact"/>
        <w:rPr>
          <w:rFonts w:ascii="MS PGothic" w:cs="MS PGothic" w:eastAsia="MS PGothic" w:hAnsi="MS PGothic"/>
          <w:sz w:val="13"/>
          <w:szCs w:val="13"/>
          <w:color w:val="auto"/>
        </w:rPr>
      </w:pPr>
    </w:p>
    <w:p>
      <w:pPr>
        <w:ind w:left="180" w:hanging="147"/>
        <w:spacing w:after="0"/>
        <w:tabs>
          <w:tab w:leader="none" w:pos="18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173" w:lineRule="exact"/>
        <w:rPr>
          <w:rFonts w:ascii="MS PGothic" w:cs="MS PGothic" w:eastAsia="MS PGothic" w:hAnsi="MS PGothic"/>
          <w:sz w:val="13"/>
          <w:szCs w:val="13"/>
          <w:color w:val="auto"/>
        </w:rPr>
      </w:pPr>
    </w:p>
    <w:p>
      <w:pPr>
        <w:ind w:left="180" w:hanging="147"/>
        <w:spacing w:after="0"/>
        <w:tabs>
          <w:tab w:leader="none" w:pos="18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173" w:lineRule="exact"/>
        <w:rPr>
          <w:rFonts w:ascii="MS PGothic" w:cs="MS PGothic" w:eastAsia="MS PGothic" w:hAnsi="MS PGothic"/>
          <w:sz w:val="13"/>
          <w:szCs w:val="13"/>
          <w:color w:val="auto"/>
        </w:rPr>
      </w:pPr>
    </w:p>
    <w:p>
      <w:pPr>
        <w:ind w:left="180" w:hanging="147"/>
        <w:spacing w:after="0"/>
        <w:tabs>
          <w:tab w:leader="none" w:pos="18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174" w:lineRule="exact"/>
        <w:rPr>
          <w:sz w:val="24"/>
          <w:szCs w:val="24"/>
          <w:color w:val="auto"/>
        </w:rPr>
      </w:pPr>
    </w:p>
    <w:p>
      <w:pPr>
        <w:ind w:left="40" w:right="79"/>
        <w:spacing w:after="0" w:line="288"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6" w:lineRule="exact"/>
        <w:rPr>
          <w:sz w:val="24"/>
          <w:szCs w:val="24"/>
          <w:color w:val="auto"/>
        </w:rPr>
      </w:pPr>
    </w:p>
    <w:p>
      <w:pPr>
        <w:ind w:left="4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95" w:lineRule="exact"/>
        <w:rPr>
          <w:sz w:val="24"/>
          <w:szCs w:val="24"/>
          <w:color w:val="auto"/>
        </w:rPr>
      </w:pPr>
    </w:p>
    <w:p>
      <w:pPr>
        <w:ind w:left="40" w:right="59"/>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4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247" w:lineRule="exact"/>
        <w:rPr>
          <w:sz w:val="24"/>
          <w:szCs w:val="24"/>
          <w:color w:val="auto"/>
        </w:rPr>
      </w:pPr>
    </w:p>
    <w:tbl>
      <w:tblPr>
        <w:tblLayout w:type="fixed"/>
        <w:tblInd w:w="4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25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24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9"/>
              </w:rPr>
              <w:t>Trading Symbol(s)</w:t>
            </w:r>
          </w:p>
        </w:tc>
        <w:tc>
          <w:tcPr>
            <w:tcW w:w="4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Name of each exchange on which registered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60" w:type="dxa"/>
            <w:vAlign w:val="bottom"/>
            <w:vMerge w:val="restart"/>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60" w:type="dxa"/>
            <w:vAlign w:val="bottom"/>
            <w:vMerge w:val="restart"/>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0" w:type="dxa"/>
            <w:vAlign w:val="bottom"/>
            <w:vMerge w:val="continue"/>
          </w:tcPr>
          <w:p>
            <w:pPr>
              <w:spacing w:after="0"/>
              <w:rPr>
                <w:sz w:val="13"/>
                <w:szCs w:val="1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Common Stock</w:t>
            </w:r>
          </w:p>
        </w:tc>
        <w:tc>
          <w:tcPr>
            <w:tcW w:w="260" w:type="dxa"/>
            <w:vAlign w:val="bottom"/>
            <w:vMerge w:val="continue"/>
          </w:tcPr>
          <w:p>
            <w:pPr>
              <w:spacing w:after="0"/>
              <w:rPr>
                <w:sz w:val="13"/>
                <w:szCs w:val="13"/>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SAFE</w:t>
            </w:r>
          </w:p>
        </w:tc>
        <w:tc>
          <w:tcPr>
            <w:tcW w:w="260" w:type="dxa"/>
            <w:vAlign w:val="bottom"/>
            <w:vMerge w:val="continue"/>
          </w:tcPr>
          <w:p>
            <w:pPr>
              <w:spacing w:after="0"/>
              <w:rPr>
                <w:sz w:val="13"/>
                <w:szCs w:val="13"/>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NYSE</w:t>
            </w:r>
          </w:p>
        </w:tc>
        <w:tc>
          <w:tcPr>
            <w:tcW w:w="0" w:type="dxa"/>
            <w:vAlign w:val="bottom"/>
          </w:tcPr>
          <w:p>
            <w:pPr>
              <w:spacing w:after="0"/>
              <w:rPr>
                <w:sz w:val="1"/>
                <w:szCs w:val="1"/>
                <w:color w:val="auto"/>
              </w:rPr>
            </w:pPr>
          </w:p>
        </w:tc>
      </w:tr>
      <w:tr>
        <w:trPr>
          <w:trHeight w:val="91"/>
        </w:trPr>
        <w:tc>
          <w:tcPr>
            <w:tcW w:w="20" w:type="dxa"/>
            <w:vAlign w:val="bottom"/>
            <w:tcBorders>
              <w:bottom w:val="single" w:sz="8" w:color="auto"/>
            </w:tcBorders>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1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40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27"/>
        </w:trPr>
        <w:tc>
          <w:tcPr>
            <w:tcW w:w="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44" w:right="1440" w:bottom="1440" w:gutter="0" w:footer="0" w:header="0"/>
          <w:type w:val="continuous"/>
        </w:sectPr>
      </w:pPr>
    </w:p>
    <w:bookmarkStart w:id="1" w:name="page2"/>
    <w:bookmarkEnd w:id="1"/>
    <w:p>
      <w:pPr>
        <w:ind w:left="40"/>
        <w:spacing w:after="0"/>
        <w:tabs>
          <w:tab w:leader="none" w:pos="1040" w:val="left"/>
        </w:tabs>
        <w:rPr>
          <w:sz w:val="20"/>
          <w:szCs w:val="20"/>
          <w:color w:val="auto"/>
        </w:rPr>
      </w:pPr>
      <w:r>
        <w:rPr>
          <w:rFonts w:ascii="Times New Roman" w:cs="Times New Roman" w:eastAsia="Times New Roman" w:hAnsi="Times New Roman"/>
          <w:sz w:val="14"/>
          <w:szCs w:val="14"/>
          <w:b w:val="1"/>
          <w:bCs w:val="1"/>
          <w:color w:val="auto"/>
        </w:rPr>
        <w:t>Item 2.02</w:t>
      </w:r>
      <w:r>
        <w:rPr>
          <w:sz w:val="20"/>
          <w:szCs w:val="20"/>
          <w:color w:val="auto"/>
        </w:rPr>
        <w:tab/>
      </w:r>
      <w:r>
        <w:rPr>
          <w:rFonts w:ascii="Times New Roman" w:cs="Times New Roman" w:eastAsia="Times New Roman" w:hAnsi="Times New Roman"/>
          <w:sz w:val="14"/>
          <w:szCs w:val="14"/>
          <w:b w:val="1"/>
          <w:bCs w:val="1"/>
          <w:color w:val="auto"/>
        </w:rPr>
        <w:t>Results of Operations and Financial Condition.</w:t>
      </w:r>
    </w:p>
    <w:p>
      <w:pPr>
        <w:spacing w:after="0" w:line="186" w:lineRule="exact"/>
        <w:rPr>
          <w:sz w:val="20"/>
          <w:szCs w:val="20"/>
          <w:color w:val="auto"/>
        </w:rPr>
      </w:pPr>
    </w:p>
    <w:p>
      <w:pPr>
        <w:jc w:val="both"/>
        <w:ind w:left="40" w:right="39" w:firstLine="517"/>
        <w:spacing w:after="0" w:line="275" w:lineRule="auto"/>
        <w:rPr>
          <w:sz w:val="20"/>
          <w:szCs w:val="20"/>
          <w:color w:val="auto"/>
        </w:rPr>
      </w:pPr>
      <w:r>
        <w:rPr>
          <w:rFonts w:ascii="Times New Roman" w:cs="Times New Roman" w:eastAsia="Times New Roman" w:hAnsi="Times New Roman"/>
          <w:sz w:val="14"/>
          <w:szCs w:val="14"/>
          <w:color w:val="auto"/>
        </w:rPr>
        <w:t>On August 5, 2025, Safehold Inc. issued an earnings release and made available on its website an earnings presentation for the quarter ended June 30, 2025. A copy of the earnings release and earnings presentation are attached as Exhibit 99.1 and Exhibit 99.2, respectively, hereto and incorporated herein by reference.</w:t>
      </w:r>
    </w:p>
    <w:p>
      <w:pPr>
        <w:spacing w:after="0" w:line="137" w:lineRule="exact"/>
        <w:rPr>
          <w:sz w:val="20"/>
          <w:szCs w:val="20"/>
          <w:color w:val="auto"/>
        </w:rPr>
      </w:pPr>
    </w:p>
    <w:p>
      <w:pPr>
        <w:jc w:val="both"/>
        <w:ind w:left="40" w:right="39" w:firstLine="517"/>
        <w:spacing w:after="0" w:line="269" w:lineRule="auto"/>
        <w:rPr>
          <w:sz w:val="20"/>
          <w:szCs w:val="20"/>
          <w:color w:val="auto"/>
        </w:rPr>
      </w:pPr>
      <w:r>
        <w:rPr>
          <w:rFonts w:ascii="Times New Roman" w:cs="Times New Roman" w:eastAsia="Times New Roman" w:hAnsi="Times New Roman"/>
          <w:sz w:val="14"/>
          <w:szCs w:val="14"/>
          <w:color w:val="auto"/>
        </w:rPr>
        <w:t>The information in this Current Report, including the exhibits hereto, is being furnished and shall not be deemed “filed” for purposes of Section 18 of the Securities Exchange Act of 1934, as amended, or otherwise subject to the liabilities of that Section. The information in this Current Report shall not be incorporated by reference into any registration statement or other document pursuant to the Securities Act of 1933, as amended, unless it is specifically incorporated by reference therein.</w:t>
      </w:r>
    </w:p>
    <w:p>
      <w:pPr>
        <w:spacing w:after="0" w:line="139" w:lineRule="exact"/>
        <w:rPr>
          <w:sz w:val="20"/>
          <w:szCs w:val="20"/>
          <w:color w:val="auto"/>
        </w:rPr>
      </w:pPr>
    </w:p>
    <w:p>
      <w:pPr>
        <w:ind w:left="40"/>
        <w:spacing w:after="0"/>
        <w:tabs>
          <w:tab w:leader="none" w:pos="1040" w:val="left"/>
        </w:tabs>
        <w:rPr>
          <w:sz w:val="20"/>
          <w:szCs w:val="20"/>
          <w:color w:val="auto"/>
        </w:rPr>
      </w:pPr>
      <w:r>
        <w:rPr>
          <w:rFonts w:ascii="Times New Roman" w:cs="Times New Roman" w:eastAsia="Times New Roman" w:hAnsi="Times New Roman"/>
          <w:sz w:val="14"/>
          <w:szCs w:val="14"/>
          <w:b w:val="1"/>
          <w:bCs w:val="1"/>
          <w:color w:val="auto"/>
        </w:rPr>
        <w:t>Item 7.01</w:t>
      </w:r>
      <w:r>
        <w:rPr>
          <w:sz w:val="20"/>
          <w:szCs w:val="20"/>
          <w:color w:val="auto"/>
        </w:rPr>
        <w:tab/>
      </w:r>
      <w:r>
        <w:rPr>
          <w:rFonts w:ascii="Times New Roman" w:cs="Times New Roman" w:eastAsia="Times New Roman" w:hAnsi="Times New Roman"/>
          <w:sz w:val="14"/>
          <w:szCs w:val="14"/>
          <w:b w:val="1"/>
          <w:bCs w:val="1"/>
          <w:color w:val="auto"/>
        </w:rPr>
        <w:t>Regulation FD Disclosure.</w:t>
      </w:r>
    </w:p>
    <w:p>
      <w:pPr>
        <w:spacing w:after="0" w:line="186" w:lineRule="exact"/>
        <w:rPr>
          <w:sz w:val="20"/>
          <w:szCs w:val="20"/>
          <w:color w:val="auto"/>
        </w:rPr>
      </w:pPr>
    </w:p>
    <w:p>
      <w:pPr>
        <w:jc w:val="both"/>
        <w:ind w:left="40" w:right="39" w:firstLine="517"/>
        <w:spacing w:after="0" w:line="294" w:lineRule="auto"/>
        <w:rPr>
          <w:sz w:val="20"/>
          <w:szCs w:val="20"/>
          <w:color w:val="auto"/>
        </w:rPr>
      </w:pPr>
      <w:r>
        <w:rPr>
          <w:rFonts w:ascii="Times New Roman" w:cs="Times New Roman" w:eastAsia="Times New Roman" w:hAnsi="Times New Roman"/>
          <w:sz w:val="14"/>
          <w:szCs w:val="14"/>
          <w:color w:val="auto"/>
        </w:rPr>
        <w:t>On August 5, 2025, Safehold Inc. made available on its website an earnings presentation for the quarter ended June 30, 2025. A copy of the earnings presentation is attached as Exhibit 99.2 hereto and incorporated by reference.</w:t>
      </w:r>
    </w:p>
    <w:p>
      <w:pPr>
        <w:spacing w:after="0" w:line="123" w:lineRule="exact"/>
        <w:rPr>
          <w:sz w:val="20"/>
          <w:szCs w:val="20"/>
          <w:color w:val="auto"/>
        </w:rPr>
      </w:pPr>
    </w:p>
    <w:p>
      <w:pPr>
        <w:jc w:val="both"/>
        <w:ind w:left="40" w:right="39" w:firstLine="517"/>
        <w:spacing w:after="0" w:line="269" w:lineRule="auto"/>
        <w:rPr>
          <w:sz w:val="20"/>
          <w:szCs w:val="20"/>
          <w:color w:val="auto"/>
        </w:rPr>
      </w:pPr>
      <w:r>
        <w:rPr>
          <w:rFonts w:ascii="Times New Roman" w:cs="Times New Roman" w:eastAsia="Times New Roman" w:hAnsi="Times New Roman"/>
          <w:sz w:val="14"/>
          <w:szCs w:val="14"/>
          <w:color w:val="auto"/>
        </w:rPr>
        <w:t>The earnings presentation, including Exhibit 99.2 hereto, is being furnished and shall not be deemed “filed” for purposes of Section 18 of the Securities Exchange Act of 1934, as amended, or otherwise subject to the liabilities of that Section. The information in this Current Report shall not be incorporated by reference into any registration statement or other document pursuant to the Securities Act of 1933, as amended, unless it is specifically incorporated by reference therein.</w:t>
      </w:r>
    </w:p>
    <w:p>
      <w:pPr>
        <w:spacing w:after="0" w:line="139" w:lineRule="exact"/>
        <w:rPr>
          <w:sz w:val="20"/>
          <w:szCs w:val="20"/>
          <w:color w:val="auto"/>
        </w:rPr>
      </w:pPr>
    </w:p>
    <w:p>
      <w:pPr>
        <w:ind w:left="40"/>
        <w:spacing w:after="0"/>
        <w:tabs>
          <w:tab w:leader="none" w:pos="1040" w:val="left"/>
        </w:tabs>
        <w:rPr>
          <w:sz w:val="20"/>
          <w:szCs w:val="20"/>
          <w:color w:val="auto"/>
        </w:rPr>
      </w:pPr>
      <w:r>
        <w:rPr>
          <w:rFonts w:ascii="Times New Roman" w:cs="Times New Roman" w:eastAsia="Times New Roman" w:hAnsi="Times New Roman"/>
          <w:sz w:val="14"/>
          <w:szCs w:val="14"/>
          <w:b w:val="1"/>
          <w:bCs w:val="1"/>
          <w:color w:val="auto"/>
        </w:rPr>
        <w:t>Item 9.01</w:t>
      </w:r>
      <w:r>
        <w:rPr>
          <w:sz w:val="20"/>
          <w:szCs w:val="20"/>
          <w:color w:val="auto"/>
        </w:rPr>
        <w:tab/>
      </w:r>
      <w:r>
        <w:rPr>
          <w:rFonts w:ascii="Times New Roman" w:cs="Times New Roman" w:eastAsia="Times New Roman" w:hAnsi="Times New Roman"/>
          <w:sz w:val="14"/>
          <w:szCs w:val="14"/>
          <w:b w:val="1"/>
          <w:bCs w:val="1"/>
          <w:color w:val="auto"/>
        </w:rPr>
        <w:t>Financial Statements and Exhibits.</w:t>
      </w:r>
    </w:p>
    <w:p>
      <w:pPr>
        <w:spacing w:after="0" w:line="186" w:lineRule="exact"/>
        <w:rPr>
          <w:sz w:val="20"/>
          <w:szCs w:val="20"/>
          <w:color w:val="auto"/>
        </w:rPr>
      </w:pPr>
    </w:p>
    <w:p>
      <w:pPr>
        <w:ind w:left="40"/>
        <w:spacing w:after="0"/>
        <w:tabs>
          <w:tab w:leader="none" w:pos="1040" w:val="left"/>
        </w:tabs>
        <w:rPr>
          <w:sz w:val="20"/>
          <w:szCs w:val="20"/>
          <w:color w:val="auto"/>
        </w:rPr>
      </w:pPr>
      <w:r>
        <w:rPr>
          <w:rFonts w:ascii="Times New Roman" w:cs="Times New Roman" w:eastAsia="Times New Roman" w:hAnsi="Times New Roman"/>
          <w:sz w:val="14"/>
          <w:szCs w:val="14"/>
          <w:color w:val="auto"/>
        </w:rPr>
        <w:t>Exhibit 99.1</w:t>
      </w:r>
      <w:r>
        <w:rPr>
          <w:sz w:val="20"/>
          <w:szCs w:val="20"/>
          <w:color w:val="auto"/>
        </w:rPr>
        <w:tab/>
      </w:r>
      <w:r>
        <w:rPr>
          <w:rFonts w:ascii="Times New Roman" w:cs="Times New Roman" w:eastAsia="Times New Roman" w:hAnsi="Times New Roman"/>
          <w:sz w:val="14"/>
          <w:szCs w:val="14"/>
          <w:u w:val="single" w:color="auto"/>
          <w:color w:val="0000EE"/>
        </w:rPr>
        <w:t>Earnings Release</w:t>
      </w:r>
      <w:r>
        <w:rPr>
          <w:rFonts w:ascii="Times New Roman" w:cs="Times New Roman" w:eastAsia="Times New Roman" w:hAnsi="Times New Roman"/>
          <w:sz w:val="14"/>
          <w:szCs w:val="14"/>
          <w:color w:val="000000"/>
        </w:rPr>
        <w:t>.</w:t>
      </w:r>
    </w:p>
    <w:p>
      <w:pPr>
        <w:spacing w:after="0" w:line="184" w:lineRule="exact"/>
        <w:rPr>
          <w:sz w:val="20"/>
          <w:szCs w:val="20"/>
          <w:color w:val="auto"/>
        </w:rPr>
      </w:pPr>
    </w:p>
    <w:p>
      <w:pPr>
        <w:ind w:left="40"/>
        <w:spacing w:after="0"/>
        <w:tabs>
          <w:tab w:leader="none" w:pos="1040" w:val="left"/>
        </w:tabs>
        <w:rPr>
          <w:sz w:val="20"/>
          <w:szCs w:val="20"/>
          <w:color w:val="auto"/>
        </w:rPr>
      </w:pPr>
      <w:r>
        <w:rPr>
          <w:rFonts w:ascii="Times New Roman" w:cs="Times New Roman" w:eastAsia="Times New Roman" w:hAnsi="Times New Roman"/>
          <w:sz w:val="14"/>
          <w:szCs w:val="14"/>
          <w:color w:val="auto"/>
        </w:rPr>
        <w:t>Exhibit 99.2</w:t>
      </w:r>
      <w:r>
        <w:rPr>
          <w:sz w:val="20"/>
          <w:szCs w:val="20"/>
          <w:color w:val="auto"/>
        </w:rPr>
        <w:tab/>
      </w:r>
      <w:r>
        <w:rPr>
          <w:rFonts w:ascii="Times New Roman" w:cs="Times New Roman" w:eastAsia="Times New Roman" w:hAnsi="Times New Roman"/>
          <w:sz w:val="14"/>
          <w:szCs w:val="14"/>
          <w:u w:val="single" w:color="auto"/>
          <w:color w:val="0000EE"/>
        </w:rPr>
        <w:t>Earnings Presentation</w:t>
      </w:r>
      <w:r>
        <w:rPr>
          <w:rFonts w:ascii="Times New Roman" w:cs="Times New Roman" w:eastAsia="Times New Roman" w:hAnsi="Times New Roman"/>
          <w:sz w:val="14"/>
          <w:szCs w:val="14"/>
          <w:color w:val="000000"/>
        </w:rPr>
        <w:t>.</w:t>
      </w:r>
    </w:p>
    <w:p>
      <w:pPr>
        <w:spacing w:after="0" w:line="184" w:lineRule="exact"/>
        <w:rPr>
          <w:sz w:val="20"/>
          <w:szCs w:val="20"/>
          <w:color w:val="auto"/>
        </w:rPr>
      </w:pPr>
    </w:p>
    <w:p>
      <w:pPr>
        <w:ind w:left="40"/>
        <w:spacing w:after="0"/>
        <w:tabs>
          <w:tab w:leader="none" w:pos="1040" w:val="left"/>
        </w:tabs>
        <w:rPr>
          <w:sz w:val="20"/>
          <w:szCs w:val="20"/>
          <w:color w:val="auto"/>
        </w:rPr>
      </w:pPr>
      <w:r>
        <w:rPr>
          <w:rFonts w:ascii="Times New Roman" w:cs="Times New Roman" w:eastAsia="Times New Roman" w:hAnsi="Times New Roman"/>
          <w:sz w:val="14"/>
          <w:szCs w:val="14"/>
          <w:color w:val="auto"/>
        </w:rPr>
        <w:t>Exhibit 104</w:t>
      </w:r>
      <w:r>
        <w:rPr>
          <w:sz w:val="20"/>
          <w:szCs w:val="20"/>
          <w:color w:val="auto"/>
        </w:rPr>
        <w:tab/>
      </w:r>
      <w:r>
        <w:rPr>
          <w:rFonts w:ascii="Times New Roman" w:cs="Times New Roman" w:eastAsia="Times New Roman" w:hAnsi="Times New Roman"/>
          <w:sz w:val="14"/>
          <w:szCs w:val="14"/>
          <w:color w:val="auto"/>
        </w:rPr>
        <w:t>Inline XBRL for the cover page of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721360</wp:posOffset>
            </wp:positionV>
            <wp:extent cx="5681345"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81345" cy="2032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SIGNATURE</w:t>
      </w:r>
    </w:p>
    <w:p>
      <w:pPr>
        <w:spacing w:after="0" w:line="186" w:lineRule="exact"/>
        <w:rPr>
          <w:sz w:val="20"/>
          <w:szCs w:val="20"/>
          <w:color w:val="auto"/>
        </w:rPr>
      </w:pPr>
    </w:p>
    <w:p>
      <w:pPr>
        <w:ind w:left="40" w:right="259" w:firstLine="517"/>
        <w:spacing w:after="0" w:line="294"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8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Safehold Inc.</w:t>
            </w:r>
          </w:p>
        </w:tc>
      </w:tr>
      <w:tr>
        <w:trPr>
          <w:trHeight w:val="346"/>
        </w:trPr>
        <w:tc>
          <w:tcPr>
            <w:tcW w:w="2880" w:type="dxa"/>
            <w:vAlign w:val="bottom"/>
          </w:tcPr>
          <w:p>
            <w:pPr>
              <w:spacing w:after="0"/>
              <w:rPr>
                <w:sz w:val="20"/>
                <w:szCs w:val="20"/>
                <w:color w:val="auto"/>
              </w:rPr>
            </w:pPr>
            <w:r>
              <w:rPr>
                <w:rFonts w:ascii="Times New Roman" w:cs="Times New Roman" w:eastAsia="Times New Roman" w:hAnsi="Times New Roman"/>
                <w:sz w:val="14"/>
                <w:szCs w:val="14"/>
                <w:color w:val="auto"/>
              </w:rPr>
              <w:t>Date:  August 5, 2025</w:t>
            </w:r>
          </w:p>
        </w:tc>
        <w:tc>
          <w:tcPr>
            <w:tcW w:w="180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By:</w:t>
            </w:r>
          </w:p>
        </w:tc>
        <w:tc>
          <w:tcPr>
            <w:tcW w:w="100" w:type="dxa"/>
            <w:vAlign w:val="bottom"/>
          </w:tcPr>
          <w:p>
            <w:pPr>
              <w:spacing w:after="0"/>
              <w:rPr>
                <w:sz w:val="24"/>
                <w:szCs w:val="24"/>
                <w:color w:val="auto"/>
              </w:rPr>
            </w:pPr>
          </w:p>
        </w:tc>
        <w:tc>
          <w:tcPr>
            <w:tcW w:w="4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BRETT ASNAS</w:t>
            </w:r>
          </w:p>
        </w:tc>
      </w:tr>
      <w:tr>
        <w:trPr>
          <w:trHeight w:val="147"/>
        </w:trPr>
        <w:tc>
          <w:tcPr>
            <w:tcW w:w="28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1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Brett Asnas</w:t>
            </w:r>
          </w:p>
        </w:tc>
      </w:tr>
      <w:tr>
        <w:trPr>
          <w:trHeight w:val="188"/>
        </w:trPr>
        <w:tc>
          <w:tcPr>
            <w:tcW w:w="28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6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Chief Financial Officer</w:t>
            </w:r>
          </w:p>
        </w:tc>
      </w:tr>
      <w:tr>
        <w:trPr>
          <w:trHeight w:val="984"/>
        </w:trPr>
        <w:tc>
          <w:tcPr>
            <w:tcW w:w="28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3" w:right="1440" w:bottom="1440" w:gutter="0" w:footer="0" w:header="0"/>
        </w:sectPr>
      </w:pPr>
    </w:p>
    <w:bookmarkStart w:id="3" w:name="page4"/>
    <w:bookmarkEnd w:id="3"/>
    <w:p>
      <w:pPr>
        <w:ind w:left="3440"/>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-97790</wp:posOffset>
            </wp:positionV>
            <wp:extent cx="6776720" cy="78238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76720" cy="7823835"/>
                    </a:xfrm>
                    <a:prstGeom prst="rect">
                      <a:avLst/>
                    </a:prstGeom>
                    <a:noFill/>
                  </pic:spPr>
                </pic:pic>
              </a:graphicData>
            </a:graphic>
          </wp:anchor>
        </w:drawing>
      </w:r>
    </w:p>
    <w:p>
      <w:pPr>
        <w:sectPr>
          <w:pgSz w:w="11900" w:h="16838" w:orient="portrait"/>
          <w:cols w:equalWidth="0" w:num="1">
            <w:col w:w="9019"/>
          </w:cols>
          <w:pgMar w:left="1440" w:top="306" w:right="1440"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386080</wp:posOffset>
            </wp:positionH>
            <wp:positionV relativeFrom="page">
              <wp:posOffset>88900</wp:posOffset>
            </wp:positionV>
            <wp:extent cx="6776720" cy="78238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76720" cy="782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386080</wp:posOffset>
            </wp:positionH>
            <wp:positionV relativeFrom="page">
              <wp:posOffset>88900</wp:posOffset>
            </wp:positionV>
            <wp:extent cx="6776720" cy="78238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76720" cy="782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4"/>
          <w:szCs w:val="14"/>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17780</wp:posOffset>
            </wp:positionV>
            <wp:extent cx="6913245" cy="54279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13245" cy="542798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248920</wp:posOffset>
            </wp:positionH>
            <wp:positionV relativeFrom="page">
              <wp:posOffset>88900</wp:posOffset>
            </wp:positionV>
            <wp:extent cx="6913245" cy="54279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13245" cy="542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248920</wp:posOffset>
            </wp:positionH>
            <wp:positionV relativeFrom="page">
              <wp:posOffset>88900</wp:posOffset>
            </wp:positionV>
            <wp:extent cx="6913245" cy="54279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13245" cy="542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248920</wp:posOffset>
            </wp:positionH>
            <wp:positionV relativeFrom="page">
              <wp:posOffset>88900</wp:posOffset>
            </wp:positionV>
            <wp:extent cx="6913245" cy="54279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13245" cy="542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248920</wp:posOffset>
            </wp:positionH>
            <wp:positionV relativeFrom="page">
              <wp:posOffset>88900</wp:posOffset>
            </wp:positionV>
            <wp:extent cx="6913245" cy="54279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13245" cy="542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248920</wp:posOffset>
            </wp:positionH>
            <wp:positionV relativeFrom="page">
              <wp:posOffset>88900</wp:posOffset>
            </wp:positionV>
            <wp:extent cx="6913245" cy="54279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13245" cy="542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248920</wp:posOffset>
            </wp:positionH>
            <wp:positionV relativeFrom="page">
              <wp:posOffset>88900</wp:posOffset>
            </wp:positionV>
            <wp:extent cx="6913245" cy="54279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13245" cy="542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248920</wp:posOffset>
            </wp:positionH>
            <wp:positionV relativeFrom="page">
              <wp:posOffset>88900</wp:posOffset>
            </wp:positionV>
            <wp:extent cx="6913245" cy="54279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13245" cy="542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248920</wp:posOffset>
            </wp:positionH>
            <wp:positionV relativeFrom="page">
              <wp:posOffset>88900</wp:posOffset>
            </wp:positionV>
            <wp:extent cx="6913245" cy="54279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13245" cy="542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248920</wp:posOffset>
            </wp:positionH>
            <wp:positionV relativeFrom="page">
              <wp:posOffset>88900</wp:posOffset>
            </wp:positionV>
            <wp:extent cx="6913245" cy="54279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13245" cy="542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248920</wp:posOffset>
            </wp:positionH>
            <wp:positionV relativeFrom="page">
              <wp:posOffset>88900</wp:posOffset>
            </wp:positionV>
            <wp:extent cx="6913245" cy="54279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13245" cy="542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248920</wp:posOffset>
            </wp:positionH>
            <wp:positionV relativeFrom="page">
              <wp:posOffset>88900</wp:posOffset>
            </wp:positionV>
            <wp:extent cx="6913245" cy="54279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13245" cy="542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248920</wp:posOffset>
            </wp:positionH>
            <wp:positionV relativeFrom="page">
              <wp:posOffset>88900</wp:posOffset>
            </wp:positionV>
            <wp:extent cx="6913245" cy="54279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13245" cy="542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248920</wp:posOffset>
            </wp:positionH>
            <wp:positionV relativeFrom="page">
              <wp:posOffset>88900</wp:posOffset>
            </wp:positionV>
            <wp:extent cx="6913245" cy="54279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13245" cy="542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248920</wp:posOffset>
            </wp:positionH>
            <wp:positionV relativeFrom="page">
              <wp:posOffset>88900</wp:posOffset>
            </wp:positionV>
            <wp:extent cx="6913245" cy="54279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13245" cy="542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248920</wp:posOffset>
            </wp:positionH>
            <wp:positionV relativeFrom="page">
              <wp:posOffset>88900</wp:posOffset>
            </wp:positionV>
            <wp:extent cx="6913245" cy="54279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13245" cy="542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248920</wp:posOffset>
            </wp:positionH>
            <wp:positionV relativeFrom="page">
              <wp:posOffset>88900</wp:posOffset>
            </wp:positionV>
            <wp:extent cx="6913245" cy="54279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13245" cy="5427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248920</wp:posOffset>
            </wp:positionH>
            <wp:positionV relativeFrom="page">
              <wp:posOffset>88900</wp:posOffset>
            </wp:positionV>
            <wp:extent cx="6913245" cy="54279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13245" cy="54279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2025-08-06T14:55:46Z</dcterms:created>
  <dcterms:modified xsi:type="dcterms:W3CDTF">2025-08-06T14:55:46Z</dcterms:modified>
</cp:coreProperties>
</file>